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7.0 -->
  <w:body>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45"/>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5"/>
          <w:jc w:val="center"/>
        </w:trPr>
        <w:tc>
          <w:tcPr>
            <w:tcW w:w="10245" w:type="dxa"/>
            <w:tcBorders>
              <w:top w:val="single" w:sz="16"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2"/>
        </w:rPr>
      </w:pPr>
      <w:bookmarkStart w:id="0" w:name="Section1"/>
      <w:bookmarkEnd w:id="0"/>
    </w:p>
    <w:p w:rsidR="00A77B3E">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2"/>
        </w:rPr>
      </w:pPr>
      <w:r>
        <w:rPr>
          <w:rFonts w:ascii="Times New Roman" w:eastAsia="Times New Roman" w:hAnsi="Times New Roman" w:cs="Times New Roman"/>
          <w:b/>
          <w:sz w:val="22"/>
        </w:rPr>
        <w:t>UNITED STATES</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2"/>
        </w:rPr>
      </w:pPr>
      <w:r>
        <w:rPr>
          <w:rFonts w:ascii="Times New Roman" w:eastAsia="Times New Roman" w:hAnsi="Times New Roman" w:cs="Times New Roman"/>
          <w:b/>
          <w:sz w:val="22"/>
        </w:rPr>
        <w:t>SECURITIES AND EXCHANGE COMMISSION</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2"/>
        </w:rPr>
      </w:pPr>
      <w:r>
        <w:rPr>
          <w:rFonts w:ascii="Times New Roman" w:eastAsia="Times New Roman" w:hAnsi="Times New Roman" w:cs="Times New Roman"/>
          <w:b/>
          <w:sz w:val="22"/>
        </w:rPr>
        <w:t>Washington D.C. 20549</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8"/>
        </w:rPr>
      </w:pPr>
      <w:r>
        <w:rPr>
          <w:rFonts w:ascii="Times New Roman" w:eastAsia="Times New Roman" w:hAnsi="Times New Roman" w:cs="Times New Roman"/>
          <w:b/>
          <w:sz w:val="28"/>
        </w:rPr>
        <w:t xml:space="preserve">FORM </w:t>
      </w:r>
      <w:r>
        <w:rPr>
          <w:rFonts w:ascii="Times New Roman" w:eastAsia="Times New Roman" w:hAnsi="Times New Roman" w:cs="Times New Roman"/>
          <w:b/>
          <w:sz w:val="28"/>
        </w:rPr>
        <w:t>10-Q</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8"/>
        </w:rPr>
      </w:pP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(Mark One)</w:t>
      </w:r>
    </w:p>
    <w:tbl>
      <w:tblPr>
        <w:tblW w:w="104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5"/>
        <w:gridCol w:w="9795"/>
      </w:tblGrid>
      <w:tr>
        <w:tblPrEx>
          <w:tblW w:w="104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43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Wingdings" w:eastAsia="Wingdings" w:hAnsi="Wingdings" w:cs="Wingdings"/>
                <w:color w:val="000000"/>
                <w:sz w:val="20"/>
              </w:rPr>
              <w:t>☒</w:t>
            </w:r>
          </w:p>
        </w:tc>
        <w:tc>
          <w:tcPr>
            <w:tcW w:w="979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QUARTERLY REPORT PURSUANT TO SECTION 13 OR 15(d) OF THE SECURITIES EXCHANGE ACT OF 1934</w:t>
            </w:r>
          </w:p>
        </w:tc>
      </w:tr>
    </w:tbl>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For the quarterly period ended </w:t>
      </w:r>
      <w:r>
        <w:rPr>
          <w:rFonts w:ascii="Times New Roman" w:eastAsia="Times New Roman" w:hAnsi="Times New Roman" w:cs="Times New Roman"/>
          <w:sz w:val="20"/>
        </w:rPr>
        <w:t>March 31, 2021</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tbl>
      <w:tblPr>
        <w:tblW w:w="104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5"/>
        <w:gridCol w:w="9795"/>
      </w:tblGrid>
      <w:tr>
        <w:tblPrEx>
          <w:tblW w:w="104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43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Wingdings" w:eastAsia="Wingdings" w:hAnsi="Wingdings" w:cs="Wingdings"/>
                <w:color w:val="000000"/>
                <w:sz w:val="20"/>
              </w:rPr>
              <w:t>☐</w:t>
            </w:r>
          </w:p>
        </w:tc>
        <w:tc>
          <w:tcPr>
            <w:tcW w:w="979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TRANSITION REPORT PURSUANT TO SECTION 13 OR 15(d) OF THE SECURITIES EXCHANGE ACT OF 1934</w:t>
            </w:r>
          </w:p>
        </w:tc>
      </w:tr>
    </w:tbl>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sz w:val="20"/>
        </w:rPr>
        <w:t> For the transition period from _________________ to _________________</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Commission File No.: </w:t>
      </w:r>
      <w:r>
        <w:rPr>
          <w:rFonts w:ascii="Times New Roman" w:eastAsia="Times New Roman" w:hAnsi="Times New Roman" w:cs="Times New Roman"/>
          <w:sz w:val="20"/>
        </w:rPr>
        <w:t>001-37703</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36"/>
        </w:rPr>
      </w:pPr>
      <w:r>
        <w:rPr>
          <w:rFonts w:ascii="Times New Roman" w:eastAsia="Times New Roman" w:hAnsi="Times New Roman" w:cs="Times New Roman"/>
          <w:b/>
          <w:sz w:val="36"/>
        </w:rPr>
        <w:t>IZEA WORLDWIDE, INC.</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sz w:val="20"/>
        </w:rPr>
        <w:t>(Exact name of registrant as specified in its charter)</w:t>
      </w:r>
    </w:p>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435"/>
        <w:gridCol w:w="4905"/>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Nevada</w:t>
            </w:r>
          </w:p>
        </w:tc>
        <w:tc>
          <w:tcPr>
            <w:tcW w:w="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37-1530765</w:t>
            </w:r>
          </w:p>
        </w:tc>
      </w:tr>
      <w:tr>
        <w:tblPrEx>
          <w:tblW w:w="10450" w:type="dxa"/>
          <w:jc w:val="center"/>
          <w:tblInd w:w="0" w:type="dxa"/>
          <w:tblCellMar>
            <w:left w:w="108" w:type="dxa"/>
            <w:right w:w="108" w:type="dxa"/>
          </w:tblCellMar>
        </w:tblPrEx>
        <w:trPr>
          <w:cantSplit/>
          <w:trHeight w:hRule="exact" w:val="495"/>
          <w:jc w:val="center"/>
        </w:trPr>
        <w:tc>
          <w:tcPr>
            <w:tcW w:w="490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line="240" w:lineRule="auto"/>
              <w:ind w:left="0" w:right="0"/>
              <w:jc w:val="center"/>
            </w:pPr>
            <w:r>
              <w:rPr>
                <w:rFonts w:ascii="Times New Roman" w:eastAsia="Times New Roman" w:hAnsi="Times New Roman" w:cs="Times New Roman"/>
                <w:color w:val="000000"/>
                <w:sz w:val="20"/>
              </w:rPr>
              <w:t>(State or other jurisdiction of</w:t>
            </w:r>
          </w:p>
          <w:p>
            <w:pPr>
              <w:spacing w:after="30" w:line="240" w:lineRule="auto"/>
              <w:ind w:left="0" w:right="0"/>
              <w:jc w:val="center"/>
            </w:pPr>
            <w:r>
              <w:rPr>
                <w:rFonts w:ascii="Times New Roman" w:eastAsia="Times New Roman" w:hAnsi="Times New Roman" w:cs="Times New Roman"/>
                <w:color w:val="000000"/>
                <w:sz w:val="20"/>
              </w:rPr>
              <w:t>incorporation or organization)</w:t>
            </w:r>
          </w:p>
        </w:tc>
        <w:tc>
          <w:tcPr>
            <w:tcW w:w="43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 </w:t>
            </w:r>
          </w:p>
        </w:tc>
        <w:tc>
          <w:tcPr>
            <w:tcW w:w="490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line="240" w:lineRule="auto"/>
              <w:ind w:left="0" w:right="0"/>
              <w:jc w:val="center"/>
            </w:pPr>
            <w:r>
              <w:rPr>
                <w:rFonts w:ascii="Times New Roman" w:eastAsia="Times New Roman" w:hAnsi="Times New Roman" w:cs="Times New Roman"/>
                <w:color w:val="000000"/>
                <w:sz w:val="20"/>
              </w:rPr>
              <w:t>(I.R.S. Employer</w:t>
            </w:r>
          </w:p>
          <w:p>
            <w:pPr>
              <w:spacing w:after="30" w:line="240" w:lineRule="auto"/>
              <w:ind w:left="0" w:right="0"/>
              <w:jc w:val="center"/>
            </w:pPr>
            <w:r>
              <w:rPr>
                <w:rFonts w:ascii="Times New Roman" w:eastAsia="Times New Roman" w:hAnsi="Times New Roman" w:cs="Times New Roman"/>
                <w:color w:val="000000"/>
                <w:sz w:val="20"/>
              </w:rPr>
              <w:t>Identification No.)</w:t>
            </w:r>
          </w:p>
        </w:tc>
      </w:tr>
    </w:tbl>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10"/>
        </w:rPr>
      </w:pPr>
    </w:p>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435"/>
        <w:gridCol w:w="4905"/>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center"/>
        </w:trPr>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0" w:line="240"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501 N. Orlando Avenue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Suite 313</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PMB 247</w:t>
            </w:r>
          </w:p>
          <w:p>
            <w:pPr>
              <w:pageBreakBefore w:val="0"/>
              <w:numPr>
                <w:ilvl w:val="0"/>
                <w:numId w:val="0"/>
              </w:numPr>
              <w:spacing w:before="0" w:after="30" w:line="240"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Winter Park</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FL</w:t>
            </w:r>
          </w:p>
        </w:tc>
        <w:tc>
          <w:tcPr>
            <w:tcW w:w="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20"/>
              </w:rPr>
              <w:t> </w:t>
            </w:r>
          </w:p>
        </w:tc>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32789</w:t>
            </w:r>
          </w:p>
        </w:tc>
      </w:tr>
      <w:tr>
        <w:tblPrEx>
          <w:tblW w:w="10450" w:type="dxa"/>
          <w:jc w:val="center"/>
          <w:tblInd w:w="0" w:type="dxa"/>
          <w:tblCellMar>
            <w:left w:w="108" w:type="dxa"/>
            <w:right w:w="108" w:type="dxa"/>
          </w:tblCellMar>
        </w:tblPrEx>
        <w:trPr>
          <w:cantSplit/>
          <w:trHeight w:hRule="exact" w:val="300"/>
          <w:jc w:val="center"/>
        </w:trPr>
        <w:tc>
          <w:tcPr>
            <w:tcW w:w="490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40" w:lineRule="auto"/>
              <w:ind w:left="0" w:right="0"/>
              <w:jc w:val="center"/>
            </w:pPr>
            <w:r>
              <w:rPr>
                <w:rFonts w:ascii="Times New Roman" w:eastAsia="Times New Roman" w:hAnsi="Times New Roman" w:cs="Times New Roman"/>
                <w:color w:val="000000"/>
                <w:sz w:val="18"/>
              </w:rPr>
              <w:t>(Address of principal executive offices)</w:t>
            </w:r>
          </w:p>
        </w:tc>
        <w:tc>
          <w:tcPr>
            <w:tcW w:w="43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 </w:t>
            </w:r>
          </w:p>
        </w:tc>
        <w:tc>
          <w:tcPr>
            <w:tcW w:w="490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40" w:lineRule="auto"/>
              <w:ind w:left="0" w:right="0"/>
              <w:jc w:val="center"/>
            </w:pPr>
            <w:r>
              <w:rPr>
                <w:rFonts w:ascii="Times New Roman" w:eastAsia="Times New Roman" w:hAnsi="Times New Roman" w:cs="Times New Roman"/>
                <w:color w:val="000000"/>
                <w:sz w:val="18"/>
              </w:rPr>
              <w:t>(Zip Code)</w:t>
            </w:r>
          </w:p>
        </w:tc>
      </w:tr>
    </w:tbl>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Registrant’s telephone number, including area code:   </w:t>
      </w:r>
      <w:r>
        <w:rPr>
          <w:rFonts w:ascii="Times New Roman" w:eastAsia="Times New Roman" w:hAnsi="Times New Roman" w:cs="Times New Roman"/>
          <w:b/>
          <w:sz w:val="20"/>
        </w:rPr>
        <w:t>(</w:t>
      </w:r>
      <w:r>
        <w:rPr>
          <w:rFonts w:ascii="Times New Roman" w:eastAsia="Times New Roman" w:hAnsi="Times New Roman" w:cs="Times New Roman"/>
          <w:b/>
          <w:sz w:val="20"/>
        </w:rPr>
        <w:t>407</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674-6911</w:t>
      </w:r>
    </w:p>
    <w:p w:rsidR="00A77B3E">
      <w:pPr>
        <w:keepNext w:val="0"/>
        <w:keepLines w:val="0"/>
        <w:pageBreakBefore w:val="0"/>
        <w:widowControl/>
        <w:numPr>
          <w:ilvl w:val="0"/>
          <w:numId w:val="0"/>
        </w:numPr>
        <w:spacing w:before="120" w:after="0" w:line="288" w:lineRule="auto"/>
        <w:ind w:left="0" w:right="0" w:firstLine="0"/>
        <w:jc w:val="center"/>
        <w:outlineLvl w:val="9"/>
        <w:rPr>
          <w:rFonts w:ascii="Times New Roman" w:eastAsia="Times New Roman" w:hAnsi="Times New Roman" w:cs="Times New Roman"/>
          <w:b/>
          <w:sz w:val="20"/>
        </w:rPr>
      </w:pPr>
    </w:p>
    <w:p w:rsidR="00A77B3E">
      <w:pPr>
        <w:keepNext w:val="0"/>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sz w:val="18"/>
        </w:rPr>
      </w:pPr>
      <w:r>
        <w:rPr>
          <w:rFonts w:ascii="Times New Roman" w:eastAsia="Times New Roman" w:hAnsi="Times New Roman" w:cs="Times New Roman"/>
          <w:sz w:val="18"/>
        </w:rPr>
        <w:t xml:space="preserve">Securities registered pursuant to Section 12(b) of the Act: </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95"/>
        <w:gridCol w:w="105"/>
        <w:gridCol w:w="1665"/>
        <w:gridCol w:w="105"/>
        <w:gridCol w:w="3975"/>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05"/>
          <w:jc w:val="left"/>
        </w:trPr>
        <w:tc>
          <w:tcPr>
            <w:tcW w:w="43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Title of each class</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Trading Symbol(s)</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97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Name of each exchange on which registered</w:t>
            </w:r>
          </w:p>
        </w:tc>
      </w:tr>
      <w:tr>
        <w:tblPrEx>
          <w:tblW w:w="10450" w:type="dxa"/>
          <w:jc w:val="left"/>
          <w:tblInd w:w="0" w:type="dxa"/>
          <w:tblCellMar>
            <w:left w:w="108" w:type="dxa"/>
            <w:right w:w="108" w:type="dxa"/>
          </w:tblCellMar>
        </w:tblPrEx>
        <w:trPr>
          <w:cantSplit/>
          <w:trHeight w:hRule="exact" w:val="300"/>
          <w:jc w:val="left"/>
        </w:trPr>
        <w:tc>
          <w:tcPr>
            <w:tcW w:w="439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40" w:lineRule="auto"/>
              <w:ind w:left="0" w:right="0"/>
              <w:jc w:val="center"/>
            </w:pPr>
            <w:r>
              <w:rPr>
                <w:rFonts w:ascii="Times New Roman" w:eastAsia="Times New Roman" w:hAnsi="Times New Roman" w:cs="Times New Roman"/>
                <w:b/>
                <w:color w:val="000000"/>
                <w:sz w:val="20"/>
              </w:rPr>
              <w:t>Common Stock, par value $0.0001 per share</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6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after="30" w:line="240" w:lineRule="auto"/>
              <w:ind w:left="0" w:right="0"/>
              <w:jc w:val="center"/>
            </w:pPr>
            <w:r>
              <w:rPr>
                <w:rFonts w:ascii="Times New Roman" w:eastAsia="Times New Roman" w:hAnsi="Times New Roman" w:cs="Times New Roman"/>
                <w:b/>
                <w:color w:val="000000"/>
                <w:sz w:val="20"/>
              </w:rPr>
              <w:t>IZEA</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75" w:type="dxa"/>
            <w:tcBorders>
              <w:top w:val="single" w:sz="8" w:space="0" w:color="000000"/>
              <w:left w:val="nil"/>
              <w:bottom w:val="nil"/>
              <w:right w:val="nil"/>
            </w:tcBorders>
            <w:tcMar>
              <w:top w:w="0" w:type="dxa"/>
              <w:left w:w="53" w:type="dxa"/>
              <w:bottom w:w="0" w:type="dxa"/>
              <w:right w:w="53" w:type="dxa"/>
            </w:tcMar>
            <w:vAlign w:val="top"/>
          </w:tcPr>
          <w:p>
            <w:pPr>
              <w:pageBreakBefore w:val="0"/>
              <w:numPr>
                <w:ilvl w:val="0"/>
                <w:numId w:val="0"/>
              </w:numPr>
              <w:spacing w:before="55" w:after="30" w:line="240"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The </w:t>
            </w:r>
            <w:r>
              <w:rPr>
                <w:rFonts w:ascii="Times New Roman" w:eastAsia="Times New Roman" w:hAnsi="Times New Roman" w:cs="Times New Roman"/>
                <w:b/>
                <w:sz w:val="20"/>
              </w:rPr>
              <w:t>Nasdaq</w:t>
            </w:r>
            <w:r>
              <w:rPr>
                <w:rFonts w:ascii="Times New Roman" w:eastAsia="Times New Roman" w:hAnsi="Times New Roman" w:cs="Times New Roman"/>
                <w:b/>
                <w:sz w:val="20"/>
              </w:rPr>
              <w:t xml:space="preserve"> Capital Market</w:t>
            </w:r>
          </w:p>
        </w:tc>
      </w:tr>
    </w:tbl>
    <w:p w:rsidR="00A77B3E">
      <w:pPr>
        <w:keepNext w:val="0"/>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sz w:val="18"/>
        </w:rPr>
      </w:pPr>
      <w:r>
        <w:rPr>
          <w:rFonts w:ascii="Times New Roman" w:eastAsia="Times New Roman" w:hAnsi="Times New Roman" w:cs="Times New Roman"/>
          <w:sz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xml:space="preserve">  No  </w:t>
      </w:r>
      <w:r>
        <w:rPr>
          <w:rFonts w:ascii="Times New Roman" w:eastAsia="Times New Roman" w:hAnsi="Times New Roman" w:cs="Times New Roman"/>
          <w:sz w:val="20"/>
        </w:rPr>
        <w:t>☐</w:t>
      </w:r>
    </w:p>
    <w:p w:rsidR="00A77B3E">
      <w:pPr>
        <w:keepNext w:val="0"/>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sz w:val="18"/>
        </w:rPr>
      </w:pPr>
      <w:r>
        <w:rPr>
          <w:rFonts w:ascii="Times New Roman" w:eastAsia="Times New Roman" w:hAnsi="Times New Roman" w:cs="Times New Roman"/>
          <w:sz w:val="18"/>
        </w:rPr>
        <w:t>Indicate by check mark whether the registrant has submitted electronically every Interactive Data File required to be submitted pursuant to Rule 405 of Regulation S-T during the preceding 12 months (or for such shorter period that the registrant was required to submit and post such files).  </w:t>
      </w:r>
      <w:r>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xml:space="preserve">    No  </w:t>
      </w:r>
      <w:r>
        <w:rPr>
          <w:rFonts w:ascii="Times New Roman" w:eastAsia="Times New Roman" w:hAnsi="Times New Roman" w:cs="Times New Roman"/>
          <w:sz w:val="20"/>
        </w:rPr>
        <w:t>☐</w:t>
      </w:r>
    </w:p>
    <w:p w:rsidR="00A77B3E">
      <w:pPr>
        <w:keepNext w:val="0"/>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sz w:val="18"/>
        </w:rPr>
      </w:pPr>
      <w:r>
        <w:rPr>
          <w:rFonts w:ascii="Times New Roman" w:eastAsia="Times New Roman" w:hAnsi="Times New Roman" w:cs="Times New Roman"/>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70"/>
        <w:gridCol w:w="315"/>
        <w:gridCol w:w="5640"/>
        <w:gridCol w:w="2220"/>
        <w:gridCol w:w="31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77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Large accelerated filer</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c>
          <w:tcPr>
            <w:tcW w:w="56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Accelerated filer</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w:t>
            </w:r>
          </w:p>
        </w:tc>
      </w:tr>
      <w:tr>
        <w:tblPrEx>
          <w:tblW w:w="10465" w:type="dxa"/>
          <w:jc w:val="left"/>
          <w:tblInd w:w="0" w:type="dxa"/>
          <w:tblCellMar>
            <w:left w:w="108" w:type="dxa"/>
            <w:right w:w="108" w:type="dxa"/>
          </w:tblCellMar>
        </w:tblPrEx>
        <w:trPr>
          <w:cantSplit/>
          <w:trHeight w:hRule="exact" w:val="285"/>
          <w:jc w:val="left"/>
        </w:trPr>
        <w:tc>
          <w:tcPr>
            <w:tcW w:w="177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Non-accelerated filer</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c>
          <w:tcPr>
            <w:tcW w:w="56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Smaller reporting company</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r>
      <w:tr>
        <w:tblPrEx>
          <w:tblW w:w="10465" w:type="dxa"/>
          <w:jc w:val="left"/>
          <w:tblInd w:w="0" w:type="dxa"/>
          <w:tblCellMar>
            <w:left w:w="108" w:type="dxa"/>
            <w:right w:w="108" w:type="dxa"/>
          </w:tblCellMar>
        </w:tblPrEx>
        <w:trPr>
          <w:cantSplit/>
          <w:trHeight w:hRule="exact" w:val="285"/>
          <w:jc w:val="left"/>
        </w:trPr>
        <w:tc>
          <w:tcPr>
            <w:tcW w:w="177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1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564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22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18"/>
              </w:rPr>
              <w:t>Emerging growth company</w:t>
            </w:r>
          </w:p>
        </w:tc>
        <w:tc>
          <w:tcPr>
            <w:tcW w:w="31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18"/>
              </w:rPr>
              <w:t>☐</w:t>
            </w:r>
          </w:p>
        </w:tc>
      </w:tr>
    </w:tbl>
    <w:p w:rsidR="00A77B3E">
      <w:pPr>
        <w:keepNext w:val="0"/>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sz w:val="18"/>
        </w:rPr>
        <w:t>If an emerging growth company, indicate by check mark if the registrant has elected not to use the extended transition period for complying with any new or revised financial accounting standards provided pursuant to Section 13(a) of the Exchange Act.</w:t>
      </w:r>
      <w:r>
        <w:rPr>
          <w:rFonts w:ascii="Times New Roman" w:eastAsia="Times New Roman" w:hAnsi="Times New Roman" w:cs="Times New Roman"/>
          <w:sz w:val="18"/>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xml:space="preserve"> </w:t>
      </w:r>
    </w:p>
    <w:p w:rsidR="00A77B3E">
      <w:pPr>
        <w:keepNext w:val="0"/>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b/>
          <w:sz w:val="18"/>
        </w:rPr>
      </w:pPr>
      <w:r>
        <w:rPr>
          <w:rFonts w:ascii="Times New Roman" w:eastAsia="Times New Roman" w:hAnsi="Times New Roman" w:cs="Times New Roman"/>
          <w:sz w:val="18"/>
        </w:rPr>
        <w:t>Indicate by check mark whether the registrant is a shell company (as defined in Rule 12b-2 of the Exchange Act).  Yes  </w:t>
      </w:r>
      <w:r>
        <w:rPr>
          <w:rFonts w:ascii="Times New Roman" w:eastAsia="Times New Roman" w:hAnsi="Times New Roman" w:cs="Times New Roman"/>
          <w:sz w:val="20"/>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 </w:t>
      </w:r>
      <w:r>
        <w:rPr>
          <w:rFonts w:ascii="Times New Roman" w:eastAsia="Times New Roman" w:hAnsi="Times New Roman" w:cs="Times New Roman"/>
          <w:sz w:val="18"/>
        </w:rPr>
        <w:t>No</w:t>
      </w:r>
      <w:r>
        <w:rPr>
          <w:rFonts w:ascii="Times New Roman" w:eastAsia="Times New Roman" w:hAnsi="Times New Roman" w:cs="Times New Roman"/>
          <w:sz w:val="18"/>
        </w:rPr>
        <w:t> </w:t>
      </w:r>
      <w:r>
        <w:rPr>
          <w:rFonts w:ascii="Times New Roman" w:eastAsia="Times New Roman" w:hAnsi="Times New Roman" w:cs="Times New Roman"/>
          <w:sz w:val="18"/>
        </w:rPr>
        <w:t> </w:t>
      </w:r>
      <w:r>
        <w:rPr>
          <w:rFonts w:ascii="Times New Roman" w:eastAsia="Times New Roman" w:hAnsi="Times New Roman" w:cs="Times New Roman"/>
          <w:sz w:val="20"/>
        </w:rPr>
        <w:t>☒</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18"/>
        </w:rPr>
      </w:pP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18"/>
        </w:rPr>
      </w:pPr>
      <w:r>
        <w:rPr>
          <w:rFonts w:ascii="Times New Roman" w:eastAsia="Times New Roman" w:hAnsi="Times New Roman" w:cs="Times New Roman"/>
          <w:sz w:val="18"/>
        </w:rPr>
        <w:t xml:space="preserve"> As of </w:t>
      </w:r>
      <w:r>
        <w:rPr>
          <w:rFonts w:ascii="Times New Roman" w:eastAsia="Times New Roman" w:hAnsi="Times New Roman" w:cs="Times New Roman"/>
          <w:sz w:val="18"/>
        </w:rPr>
        <w:t>May 10, 2021</w:t>
      </w:r>
      <w:r>
        <w:rPr>
          <w:rFonts w:ascii="Times New Roman" w:eastAsia="Times New Roman" w:hAnsi="Times New Roman" w:cs="Times New Roman"/>
          <w:sz w:val="18"/>
        </w:rPr>
        <w:t xml:space="preserve">, there were </w:t>
      </w:r>
      <w:r>
        <w:rPr>
          <w:rFonts w:ascii="Times New Roman" w:eastAsia="Times New Roman" w:hAnsi="Times New Roman" w:cs="Times New Roman"/>
          <w:sz w:val="18"/>
        </w:rPr>
        <w:t>61,726,599</w:t>
      </w:r>
      <w:r>
        <w:rPr>
          <w:rFonts w:ascii="Times New Roman" w:eastAsia="Times New Roman" w:hAnsi="Times New Roman" w:cs="Times New Roman"/>
          <w:sz w:val="18"/>
        </w:rPr>
        <w:t xml:space="preserve"> shares of our common stock outstanding.</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18"/>
        </w:rPr>
      </w:pPr>
    </w:p>
    <w:p w:rsidR="00A77B3E">
      <w:pPr>
        <w:keepNext w:val="0"/>
        <w:keepLines w:val="0"/>
        <w:pageBreakBefore w:val="0"/>
        <w:widowControl/>
        <w:numPr>
          <w:ilvl w:val="0"/>
          <w:numId w:val="0"/>
        </w:numPr>
        <w:spacing w:before="0" w:after="0" w:line="288" w:lineRule="auto"/>
        <w:ind w:left="0" w:right="0" w:firstLine="720"/>
        <w:jc w:val="center"/>
        <w:outlineLvl w:val="9"/>
        <w:rPr>
          <w:rFonts w:ascii="Times New Roman" w:eastAsia="Times New Roman" w:hAnsi="Times New Roman" w:cs="Times New Roman"/>
          <w:b/>
          <w:sz w:val="18"/>
        </w:rPr>
      </w:pPr>
    </w:p>
    <w:p w:rsidR="00A77B3E">
      <w:pPr>
        <w:keepNext w:val="0"/>
        <w:keepLines w:val="0"/>
        <w:pageBreakBefore w:val="0"/>
        <w:widowControl/>
        <w:numPr>
          <w:ilvl w:val="0"/>
          <w:numId w:val="0"/>
        </w:numPr>
        <w:spacing w:before="0" w:after="0" w:line="288" w:lineRule="auto"/>
        <w:ind w:left="0" w:right="0" w:firstLine="720"/>
        <w:jc w:val="center"/>
        <w:outlineLvl w:val="9"/>
        <w:rPr>
          <w:rFonts w:ascii="Times New Roman" w:eastAsia="Times New Roman" w:hAnsi="Times New Roman" w:cs="Times New Roman"/>
          <w:b/>
          <w:sz w:val="20"/>
        </w:rPr>
        <w:sectPr>
          <w:headerReference w:type="default" r:id="rId4"/>
          <w:footerReference w:type="default" r:id="rId5"/>
          <w:type w:val="continuous"/>
          <w:pgSz w:w="12240" w:h="15840"/>
          <w:pgMar w:top="855" w:right="990" w:bottom="855" w:left="990" w:header="270" w:footer="270" w:gutter="0"/>
          <w:cols w:space="708"/>
          <w:docGrid w:linePitch="360"/>
        </w:sectPr>
      </w:pPr>
    </w:p>
    <w:p>
      <w:pPr>
        <w:keepNext w:val="0"/>
        <w:keepLines w:val="0"/>
        <w:pageBreakBefore w:val="0"/>
        <w:widowControl/>
        <w:numPr>
          <w:ilvl w:val="0"/>
          <w:numId w:val="0"/>
        </w:numPr>
        <w:tabs>
          <w:tab w:val="left" w:pos="6920"/>
          <w:tab w:val="left" w:pos="7200"/>
          <w:tab w:val="left" w:pos="7920"/>
          <w:tab w:val="left" w:pos="8640"/>
          <w:tab w:val="left" w:pos="9360"/>
          <w:tab w:val="left" w:pos="10080"/>
          <w:tab w:val="left" w:pos="10800"/>
          <w:tab w:val="left" w:pos="11520"/>
        </w:tabs>
        <w:spacing w:before="0" w:after="0" w:line="288" w:lineRule="auto"/>
        <w:ind w:left="0" w:right="0" w:firstLine="0"/>
        <w:jc w:val="center"/>
        <w:outlineLvl w:val="0"/>
        <w:rPr>
          <w:rFonts w:ascii="Times New Roman" w:eastAsia="Times New Roman" w:hAnsi="Times New Roman" w:cs="Times New Roman"/>
          <w:sz w:val="20"/>
        </w:rPr>
      </w:pPr>
      <w:bookmarkStart w:id="1" w:name="Section2"/>
      <w:bookmarkEnd w:id="1"/>
      <w:r>
        <w:rPr>
          <w:rFonts w:ascii="Times New Roman" w:eastAsia="Times New Roman" w:hAnsi="Times New Roman" w:cs="Times New Roman"/>
          <w:sz w:val="20"/>
        </w:rPr>
        <w:t>Q</w:t>
      </w:r>
      <w:r>
        <w:rPr>
          <w:rFonts w:ascii="Times New Roman" w:eastAsia="Times New Roman" w:hAnsi="Times New Roman" w:cs="Times New Roman"/>
          <w:sz w:val="20"/>
        </w:rPr>
        <w:t>uarterly</w:t>
      </w:r>
      <w:r>
        <w:rPr>
          <w:rFonts w:ascii="Times New Roman" w:eastAsia="Times New Roman" w:hAnsi="Times New Roman" w:cs="Times New Roman"/>
          <w:sz w:val="20"/>
        </w:rPr>
        <w:t xml:space="preserve"> Report on Form 10-</w:t>
      </w:r>
      <w:r>
        <w:rPr>
          <w:rFonts w:ascii="Times New Roman" w:eastAsia="Times New Roman" w:hAnsi="Times New Roman" w:cs="Times New Roman"/>
          <w:sz w:val="20"/>
        </w:rPr>
        <w:t>Q</w:t>
      </w:r>
      <w:r>
        <w:rPr>
          <w:rFonts w:ascii="Times New Roman" w:eastAsia="Times New Roman" w:hAnsi="Times New Roman" w:cs="Times New Roman"/>
          <w:sz w:val="20"/>
        </w:rPr>
        <w:t xml:space="preserve"> for the period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Table of Contents</w:t>
      </w:r>
    </w:p>
    <w:p>
      <w:pPr>
        <w:keepNext w:val="0"/>
        <w:keepLines w:val="0"/>
        <w:pageBreakBefore w:val="0"/>
        <w:widowControl/>
        <w:numPr>
          <w:ilvl w:val="0"/>
          <w:numId w:val="0"/>
        </w:numPr>
        <w:spacing w:before="0" w:after="10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705"/>
        <w:gridCol w:w="55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85"/>
          <w:jc w:val="left"/>
        </w:trPr>
        <w:tc>
          <w:tcPr>
            <w:tcW w:w="9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5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Page</w:t>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PART I. FINANCIAL INFORMATION</w:t>
            </w:r>
          </w:p>
        </w:tc>
        <w:tc>
          <w:tcPr>
            <w:tcW w:w="5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4" w:history="1">
              <w:r>
                <w:rPr>
                  <w:rFonts w:ascii="Times New Roman" w:eastAsia="Times New Roman" w:hAnsi="Times New Roman" w:cs="Times New Roman"/>
                  <w:color w:val="0000FF"/>
                  <w:sz w:val="20"/>
                  <w:u w:val="single"/>
                </w:rPr>
                <w:t>Item 1.     Financial Statements</w:t>
              </w:r>
            </w:hyperlink>
          </w:p>
        </w:tc>
        <w:tc>
          <w:tcPr>
            <w:tcW w:w="5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170" w:right="0" w:firstLine="0"/>
              <w:jc w:val="left"/>
              <w:outlineLvl w:val="9"/>
              <w:rPr>
                <w:rFonts w:ascii="Times New Roman" w:eastAsia="Times New Roman" w:hAnsi="Times New Roman" w:cs="Times New Roman"/>
                <w:sz w:val="20"/>
              </w:rPr>
            </w:pPr>
            <w:hyperlink w:anchor="Section5" w:history="1">
              <w:r>
                <w:rPr>
                  <w:rFonts w:ascii="Times New Roman" w:eastAsia="Times New Roman" w:hAnsi="Times New Roman" w:cs="Times New Roman"/>
                  <w:color w:val="0000FF"/>
                  <w:sz w:val="20"/>
                  <w:u w:val="single"/>
                </w:rPr>
                <w:t>Unaudited Consolidated Balance Sheets as of March 31, 2021 and December 31, 2020</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Section5</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1</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495"/>
          <w:jc w:val="left"/>
        </w:trPr>
        <w:tc>
          <w:tcPr>
            <w:tcW w:w="9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170" w:right="0" w:firstLine="0"/>
              <w:jc w:val="left"/>
              <w:outlineLvl w:val="9"/>
              <w:rPr>
                <w:rFonts w:ascii="Times New Roman" w:eastAsia="Times New Roman" w:hAnsi="Times New Roman" w:cs="Times New Roman"/>
                <w:sz w:val="20"/>
              </w:rPr>
            </w:pPr>
            <w:hyperlink w:anchor="Section6" w:history="1">
              <w:r>
                <w:rPr>
                  <w:rFonts w:ascii="Times New Roman" w:eastAsia="Times New Roman" w:hAnsi="Times New Roman" w:cs="Times New Roman"/>
                  <w:color w:val="0000FF"/>
                  <w:sz w:val="20"/>
                  <w:u w:val="single"/>
                </w:rPr>
                <w:t>Unaudited Consolidated Statements of Operations and Comprehensive Loss for the three months ended March 31, 2021 and 2020</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Section6</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3</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495"/>
          <w:jc w:val="left"/>
        </w:trPr>
        <w:tc>
          <w:tcPr>
            <w:tcW w:w="9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170" w:right="0" w:firstLine="0"/>
              <w:jc w:val="left"/>
              <w:outlineLvl w:val="9"/>
              <w:rPr>
                <w:rFonts w:ascii="Times New Roman" w:eastAsia="Times New Roman" w:hAnsi="Times New Roman" w:cs="Times New Roman"/>
                <w:sz w:val="20"/>
              </w:rPr>
            </w:pPr>
            <w:hyperlink w:anchor="Section7" w:history="1">
              <w:r>
                <w:rPr>
                  <w:rFonts w:ascii="Times New Roman" w:eastAsia="Times New Roman" w:hAnsi="Times New Roman" w:cs="Times New Roman"/>
                  <w:color w:val="0000FF"/>
                  <w:sz w:val="20"/>
                  <w:u w:val="single"/>
                </w:rPr>
                <w:t>Unaudited Consolidated Statements of Stockholders’ Equity for the  three months ended March 31, 2021 and 2020</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Section7</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1170" w:right="0" w:firstLine="0"/>
              <w:jc w:val="left"/>
              <w:outlineLvl w:val="9"/>
              <w:rPr>
                <w:rFonts w:ascii="Times New Roman" w:eastAsia="Times New Roman" w:hAnsi="Times New Roman" w:cs="Times New Roman"/>
                <w:sz w:val="20"/>
              </w:rPr>
            </w:pPr>
            <w:hyperlink w:anchor="Section8" w:history="1">
              <w:r>
                <w:rPr>
                  <w:rFonts w:ascii="Times New Roman" w:eastAsia="Times New Roman" w:hAnsi="Times New Roman" w:cs="Times New Roman"/>
                  <w:color w:val="0000FF"/>
                  <w:sz w:val="20"/>
                  <w:u w:val="single"/>
                </w:rPr>
                <w:t>Unaudited Consolidated Statements of Cash Flows for the three months ended March 31, 2021 and 2020</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Section8</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7</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1170" w:right="0" w:firstLine="0"/>
              <w:jc w:val="left"/>
              <w:outlineLvl w:val="9"/>
              <w:rPr>
                <w:rFonts w:ascii="Times New Roman" w:eastAsia="Times New Roman" w:hAnsi="Times New Roman" w:cs="Times New Roman"/>
                <w:sz w:val="20"/>
              </w:rPr>
            </w:pPr>
            <w:hyperlink w:anchor="Section9" w:history="1">
              <w:r>
                <w:rPr>
                  <w:rFonts w:ascii="Times New Roman" w:eastAsia="Times New Roman" w:hAnsi="Times New Roman" w:cs="Times New Roman"/>
                  <w:color w:val="0000FF"/>
                  <w:sz w:val="20"/>
                  <w:u w:val="single"/>
                </w:rPr>
                <w:t>Notes to the Unaudited Consolidated Financial Statements</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Section9</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8</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21" w:history="1">
              <w:r>
                <w:rPr>
                  <w:rFonts w:ascii="Times New Roman" w:eastAsia="Times New Roman" w:hAnsi="Times New Roman" w:cs="Times New Roman"/>
                  <w:color w:val="0000FF"/>
                  <w:sz w:val="20"/>
                  <w:u w:val="single"/>
                </w:rPr>
                <w:t>Item 2.     Management’s Discussion and Analysis of Financial Condition and Results of Operations</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Section21</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29</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31" w:history="1">
              <w:r>
                <w:rPr>
                  <w:rFonts w:ascii="Times New Roman" w:eastAsia="Times New Roman" w:hAnsi="Times New Roman" w:cs="Times New Roman"/>
                  <w:color w:val="0000FF"/>
                  <w:sz w:val="20"/>
                  <w:u w:val="single"/>
                </w:rPr>
                <w:t>Item 3.     Quantitative and Qualitative Disclosures About Market Risk</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Section31</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38</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32" w:history="1">
              <w:r>
                <w:rPr>
                  <w:rFonts w:ascii="Times New Roman" w:eastAsia="Times New Roman" w:hAnsi="Times New Roman" w:cs="Times New Roman"/>
                  <w:color w:val="0000FF"/>
                  <w:sz w:val="20"/>
                  <w:u w:val="single"/>
                </w:rPr>
                <w:t>Item 4.     Controls and Procedures</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Section32</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39</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5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PART II. OTHER INFORMATION</w:t>
            </w:r>
          </w:p>
        </w:tc>
        <w:tc>
          <w:tcPr>
            <w:tcW w:w="5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34" w:history="1">
              <w:r>
                <w:rPr>
                  <w:rFonts w:ascii="Times New Roman" w:eastAsia="Times New Roman" w:hAnsi="Times New Roman" w:cs="Times New Roman"/>
                  <w:color w:val="0000FF"/>
                  <w:sz w:val="20"/>
                  <w:u w:val="single"/>
                </w:rPr>
                <w:t>Item 1.     Legal Proceedings</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Section34</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41</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35" w:history="1">
              <w:r>
                <w:rPr>
                  <w:rFonts w:ascii="Times New Roman" w:eastAsia="Times New Roman" w:hAnsi="Times New Roman" w:cs="Times New Roman"/>
                  <w:color w:val="0000FF"/>
                  <w:sz w:val="20"/>
                  <w:u w:val="single"/>
                </w:rPr>
                <w:t>Item 1A.  Risk Factors</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Section35</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41</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36" w:history="1">
              <w:r>
                <w:rPr>
                  <w:rFonts w:ascii="Times New Roman" w:eastAsia="Times New Roman" w:hAnsi="Times New Roman" w:cs="Times New Roman"/>
                  <w:color w:val="0000FF"/>
                  <w:sz w:val="20"/>
                  <w:u w:val="single"/>
                </w:rPr>
                <w:t>Item 2.     Unregistered Sales of Equity Securities and Use of Proceeds</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Section36</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41</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37" w:history="1">
              <w:r>
                <w:rPr>
                  <w:rFonts w:ascii="Times New Roman" w:eastAsia="Times New Roman" w:hAnsi="Times New Roman" w:cs="Times New Roman"/>
                  <w:color w:val="0000FF"/>
                  <w:sz w:val="20"/>
                  <w:u w:val="single"/>
                </w:rPr>
                <w:t>Item 3.     Defaults Upon Senior Securities</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Section37</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42</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285"/>
          <w:jc w:val="left"/>
        </w:trPr>
        <w:tc>
          <w:tcPr>
            <w:tcW w:w="97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38" w:history="1">
              <w:r>
                <w:rPr>
                  <w:rFonts w:ascii="Times New Roman" w:eastAsia="Times New Roman" w:hAnsi="Times New Roman" w:cs="Times New Roman"/>
                  <w:color w:val="0000FF"/>
                  <w:sz w:val="20"/>
                  <w:u w:val="single"/>
                </w:rPr>
                <w:t>Item 4.     Mine Safety Disclosures</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Section38</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42</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315"/>
          <w:jc w:val="left"/>
        </w:trPr>
        <w:tc>
          <w:tcPr>
            <w:tcW w:w="9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39" w:history="1">
              <w:r>
                <w:rPr>
                  <w:rFonts w:ascii="Times New Roman" w:eastAsia="Times New Roman" w:hAnsi="Times New Roman" w:cs="Times New Roman"/>
                  <w:color w:val="0000FF"/>
                  <w:sz w:val="20"/>
                  <w:u w:val="single"/>
                </w:rPr>
                <w:t>Item 5.     Other Information</w:t>
              </w:r>
            </w:hyperlink>
          </w:p>
        </w:tc>
        <w:tc>
          <w:tcPr>
            <w:tcW w:w="55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Section39</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42</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315"/>
          <w:jc w:val="left"/>
        </w:trPr>
        <w:tc>
          <w:tcPr>
            <w:tcW w:w="97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40" w:history="1">
              <w:r>
                <w:rPr>
                  <w:rFonts w:ascii="Times New Roman" w:eastAsia="Times New Roman" w:hAnsi="Times New Roman" w:cs="Times New Roman"/>
                  <w:color w:val="0000FF"/>
                  <w:sz w:val="20"/>
                  <w:u w:val="single"/>
                </w:rPr>
                <w:t>Item 6.     Exhibits</w:t>
              </w:r>
            </w:hyperlink>
          </w:p>
        </w:tc>
        <w:tc>
          <w:tcPr>
            <w:tcW w:w="55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Section40</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43</w:t>
            </w:r>
            <w:r>
              <w:rPr>
                <w:rFonts w:ascii="Times New Roman" w:eastAsia="Times New Roman" w:hAnsi="Times New Roman" w:cs="Times New Roman"/>
                <w:color w:val="0000FF"/>
                <w:sz w:val="20"/>
                <w:u w:val="single"/>
              </w:rPr>
              <w:fldChar w:fldCharType="end"/>
            </w:r>
          </w:p>
        </w:tc>
      </w:tr>
      <w:tr>
        <w:tblPrEx>
          <w:tblW w:w="10465" w:type="dxa"/>
          <w:jc w:val="left"/>
          <w:tblInd w:w="0" w:type="dxa"/>
          <w:tblCellMar>
            <w:left w:w="108" w:type="dxa"/>
            <w:right w:w="108" w:type="dxa"/>
          </w:tblCellMar>
        </w:tblPrEx>
        <w:trPr>
          <w:cantSplit/>
          <w:trHeight w:hRule="exact" w:val="315"/>
          <w:jc w:val="left"/>
        </w:trPr>
        <w:tc>
          <w:tcPr>
            <w:tcW w:w="97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55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15"/>
          <w:jc w:val="left"/>
        </w:trPr>
        <w:tc>
          <w:tcPr>
            <w:tcW w:w="970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w:anchor="Section41" w:history="1">
              <w:r>
                <w:rPr>
                  <w:rFonts w:ascii="Times New Roman" w:eastAsia="Times New Roman" w:hAnsi="Times New Roman" w:cs="Times New Roman"/>
                  <w:color w:val="0000FF"/>
                  <w:sz w:val="20"/>
                  <w:u w:val="single"/>
                </w:rPr>
                <w:t>Signatures</w:t>
              </w:r>
            </w:hyperlink>
          </w:p>
        </w:tc>
        <w:tc>
          <w:tcPr>
            <w:tcW w:w="555" w:type="dxa"/>
            <w:tcBorders>
              <w:top w:val="nil"/>
              <w:left w:val="nil"/>
              <w:bottom w:val="nil"/>
              <w:right w:val="nil"/>
            </w:tcBorders>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Section41</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45</w:t>
            </w:r>
            <w:r>
              <w:rPr>
                <w:rFonts w:ascii="Times New Roman" w:eastAsia="Times New Roman" w:hAnsi="Times New Roman" w:cs="Times New Roman"/>
                <w:color w:val="0000FF"/>
                <w:sz w:val="20"/>
                <w:u w:val="single"/>
              </w:rPr>
              <w:fldChar w:fldCharType="end"/>
            </w: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sectPr>
          <w:footerReference w:type="default" r:id="rId6"/>
          <w:type w:val="continuous"/>
          <w:pgSz w:w="12240" w:h="15840"/>
          <w:pgMar w:top="855" w:right="990" w:bottom="855" w:left="990" w:header="270" w:footer="270"/>
          <w:pgNumType w:fmt="lowerRoman" w:start="1"/>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2" w:name="Section3"/>
      <w:bookmarkEnd w:id="2"/>
      <w:r>
        <w:rPr>
          <w:rFonts w:ascii="Times New Roman" w:eastAsia="Times New Roman" w:hAnsi="Times New Roman" w:cs="Times New Roman"/>
          <w:b/>
          <w:sz w:val="20"/>
        </w:rPr>
        <w:t xml:space="preserve">PART I </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sectPr>
          <w:pgSz w:w="12240" w:h="15840"/>
          <w:pgMar w:top="855" w:right="990" w:bottom="855" w:left="990" w:header="270" w:footer="270"/>
          <w:pgNumType w:start="1"/>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3" w:name="Section4"/>
      <w:bookmarkEnd w:id="3"/>
      <w:r>
        <w:rPr>
          <w:rFonts w:ascii="Times New Roman" w:eastAsia="Times New Roman" w:hAnsi="Times New Roman" w:cs="Times New Roman"/>
          <w:b/>
          <w:sz w:val="20"/>
        </w:rPr>
        <w:t xml:space="preserve">ITEM </w:t>
      </w:r>
      <w:r>
        <w:rPr>
          <w:rFonts w:ascii="Times New Roman" w:eastAsia="Times New Roman" w:hAnsi="Times New Roman" w:cs="Times New Roman"/>
          <w:b/>
          <w:sz w:val="20"/>
        </w:rPr>
        <w:t>1</w:t>
      </w:r>
      <w:r>
        <w:rPr>
          <w:rFonts w:ascii="Times New Roman" w:eastAsia="Times New Roman" w:hAnsi="Times New Roman" w:cs="Times New Roman"/>
          <w:b/>
          <w:sz w:val="20"/>
        </w:rPr>
        <w:t xml:space="preserve"> – FINANCIAL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sz w:val="20"/>
        </w:rPr>
      </w:pPr>
      <w:bookmarkStart w:id="4" w:name="Section5"/>
      <w:bookmarkEnd w:id="4"/>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Unaudited </w:t>
      </w:r>
      <w:r>
        <w:rPr>
          <w:rFonts w:ascii="Times New Roman" w:eastAsia="Times New Roman" w:hAnsi="Times New Roman" w:cs="Times New Roman"/>
          <w:sz w:val="20"/>
        </w:rPr>
        <w:t>Consolidated Balance Sheets</w:t>
      </w:r>
    </w:p>
    <w:tbl>
      <w:tblPr>
        <w:tblW w:w="104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155"/>
        <w:gridCol w:w="160"/>
        <w:gridCol w:w="1240"/>
        <w:gridCol w:w="100"/>
        <w:gridCol w:w="75"/>
        <w:gridCol w:w="160"/>
        <w:gridCol w:w="1240"/>
        <w:gridCol w:w="100"/>
      </w:tblGrid>
      <w:tr>
        <w:tblPrEx>
          <w:tblW w:w="104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center"/>
        </w:trPr>
        <w:tc>
          <w:tcPr>
            <w:tcW w:w="71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March 31,</w:t>
            </w:r>
            <w:r>
              <w:br/>
            </w:r>
            <w:r>
              <w:rPr>
                <w:rFonts w:ascii="Times New Roman" w:eastAsia="Times New Roman" w:hAnsi="Times New Roman" w:cs="Times New Roman"/>
                <w:color w:val="000000"/>
                <w:sz w:val="18"/>
              </w:rPr>
              <w:t>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w:t>
            </w:r>
            <w:r>
              <w:br/>
            </w:r>
            <w:r>
              <w:rPr>
                <w:rFonts w:ascii="Times New Roman" w:eastAsia="Times New Roman" w:hAnsi="Times New Roman" w:cs="Times New Roman"/>
                <w:color w:val="000000"/>
                <w:sz w:val="18"/>
              </w:rPr>
              <w:t>2020</w:t>
            </w: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Assets</w:t>
            </w: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Current assets:</w:t>
            </w: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Cash and cash equivalents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65,465,588 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33,045,225 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Accounts receivable, net</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4,071,940 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5,207,205 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Prepaid expenses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380,407 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199,294 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Other current assets</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48,340 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74,467 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current assets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69,966,275 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38,526,191 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center"/>
          <w:tblInd w:w="0" w:type="dxa"/>
          <w:tblCellMar>
            <w:left w:w="108" w:type="dxa"/>
            <w:right w:w="108" w:type="dxa"/>
          </w:tblCellMar>
        </w:tblPrEx>
        <w:trPr>
          <w:cantSplit/>
          <w:trHeight w:hRule="exact" w:val="19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xml:space="preserve">Property and equipment, net </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219,563 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230,918 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Goodwill</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4,016,722 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4,016,722 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Intangible assets, net</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288,889 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505,556 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xml:space="preserve">Software development costs, net </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1,356,308 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1,472,684 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color w:val="000000"/>
                <w:sz w:val="20"/>
              </w:rPr>
              <w:t>Total assets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75,847,757 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44,752,071 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center"/>
          <w:tblInd w:w="0" w:type="dxa"/>
          <w:tblCellMar>
            <w:left w:w="108" w:type="dxa"/>
            <w:right w:w="108" w:type="dxa"/>
          </w:tblCellMar>
        </w:tblPrEx>
        <w:trPr>
          <w:cantSplit/>
          <w:trHeight w:hRule="exact" w:val="16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Liabilities and Stockholders’ Equity</w:t>
            </w:r>
          </w:p>
        </w:tc>
        <w:tc>
          <w:tcPr>
            <w:tcW w:w="150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Current liabilities:</w:t>
            </w: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Accounts payable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1,675,520 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1,880,144 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Accrued expenses</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1,680,722 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1,924,973 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Contract liabilities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7,222,120 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7,180,264 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Current portion of notes payable</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1,797,976 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1,477,139 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current liabilities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12,376,338 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12,462,520 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center"/>
          <w:tblInd w:w="0" w:type="dxa"/>
          <w:tblCellMar>
            <w:left w:w="108" w:type="dxa"/>
            <w:right w:w="108" w:type="dxa"/>
          </w:tblCellMar>
        </w:tblPrEx>
        <w:trPr>
          <w:cantSplit/>
          <w:trHeight w:hRule="exact" w:val="19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Finance obligation, less current portion</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34,292 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43,808 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Notes payable, less current portion</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138,900 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459,383 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liabilities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12,549,530 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12,965,711 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Commitments and Contingencies (Note 7)</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19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Stockholders’ equity:</w:t>
            </w: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r>
      <w:tr>
        <w:tblPrEx>
          <w:tblW w:w="10435" w:type="dxa"/>
          <w:jc w:val="center"/>
          <w:tblInd w:w="0" w:type="dxa"/>
          <w:tblCellMar>
            <w:left w:w="108" w:type="dxa"/>
            <w:right w:w="108" w:type="dxa"/>
          </w:tblCellMar>
        </w:tblPrEx>
        <w:trPr>
          <w:cantSplit/>
          <w:trHeight w:hRule="exact" w:val="49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225"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Preferred stock; </w:t>
            </w:r>
            <w:r>
              <w:rPr>
                <w:rFonts w:ascii="Times New Roman" w:eastAsia="Times New Roman" w:hAnsi="Times New Roman" w:cs="Times New Roman"/>
                <w:sz w:val="20"/>
              </w:rPr>
              <w:t>$0.0001</w:t>
            </w:r>
            <w:r>
              <w:rPr>
                <w:rFonts w:ascii="Times New Roman" w:eastAsia="Times New Roman" w:hAnsi="Times New Roman" w:cs="Times New Roman"/>
                <w:sz w:val="20"/>
              </w:rPr>
              <w:t xml:space="preserve"> par value; </w:t>
            </w:r>
            <w:r>
              <w:rPr>
                <w:rFonts w:ascii="Times New Roman" w:eastAsia="Times New Roman" w:hAnsi="Times New Roman" w:cs="Times New Roman"/>
                <w:sz w:val="20"/>
              </w:rPr>
              <w:t>10,000,000</w:t>
            </w:r>
            <w:r>
              <w:rPr>
                <w:rFonts w:ascii="Times New Roman" w:eastAsia="Times New Roman" w:hAnsi="Times New Roman" w:cs="Times New Roman"/>
                <w:sz w:val="20"/>
              </w:rPr>
              <w:t xml:space="preserve"> shares authorized; </w:t>
            </w:r>
            <w:r>
              <w:rPr>
                <w:rFonts w:ascii="Times New Roman" w:eastAsia="Times New Roman" w:hAnsi="Times New Roman" w:cs="Times New Roman"/>
                <w:sz w:val="20"/>
              </w:rPr>
              <w:t>no</w:t>
            </w:r>
            <w:r>
              <w:rPr>
                <w:rFonts w:ascii="Times New Roman" w:eastAsia="Times New Roman" w:hAnsi="Times New Roman" w:cs="Times New Roman"/>
                <w:sz w:val="20"/>
              </w:rPr>
              <w:t xml:space="preserve"> shares issued and outstanding</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49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225"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Common stock; </w:t>
            </w:r>
            <w:r>
              <w:rPr>
                <w:rFonts w:ascii="Times New Roman" w:eastAsia="Times New Roman" w:hAnsi="Times New Roman" w:cs="Times New Roman"/>
                <w:sz w:val="20"/>
              </w:rPr>
              <w:t>$0.0001</w:t>
            </w:r>
            <w:r>
              <w:rPr>
                <w:rFonts w:ascii="Times New Roman" w:eastAsia="Times New Roman" w:hAnsi="Times New Roman" w:cs="Times New Roman"/>
                <w:sz w:val="20"/>
              </w:rPr>
              <w:t xml:space="preserve"> par value; </w:t>
            </w:r>
            <w:r>
              <w:rPr>
                <w:rFonts w:ascii="Times New Roman" w:eastAsia="Times New Roman" w:hAnsi="Times New Roman" w:cs="Times New Roman"/>
                <w:sz w:val="20"/>
              </w:rPr>
              <w:t>200,000,000</w:t>
            </w:r>
            <w:r>
              <w:rPr>
                <w:rFonts w:ascii="Times New Roman" w:eastAsia="Times New Roman" w:hAnsi="Times New Roman" w:cs="Times New Roman"/>
                <w:sz w:val="20"/>
              </w:rPr>
              <w:t xml:space="preserve"> shares authorized; </w:t>
            </w:r>
            <w:r>
              <w:rPr>
                <w:rFonts w:ascii="Times New Roman" w:eastAsia="Times New Roman" w:hAnsi="Times New Roman" w:cs="Times New Roman"/>
                <w:sz w:val="20"/>
              </w:rPr>
              <w:t>59,123,449</w:t>
            </w:r>
            <w:r>
              <w:rPr>
                <w:rFonts w:ascii="Times New Roman" w:eastAsia="Times New Roman" w:hAnsi="Times New Roman" w:cs="Times New Roman"/>
                <w:sz w:val="20"/>
              </w:rPr>
              <w:t xml:space="preserve"> and  </w:t>
            </w:r>
            <w:r>
              <w:rPr>
                <w:rFonts w:ascii="Times New Roman" w:eastAsia="Times New Roman" w:hAnsi="Times New Roman" w:cs="Times New Roman"/>
                <w:sz w:val="20"/>
              </w:rPr>
              <w:t>50,050,167</w:t>
            </w:r>
            <w:r>
              <w:rPr>
                <w:rFonts w:ascii="Times New Roman" w:eastAsia="Times New Roman" w:hAnsi="Times New Roman" w:cs="Times New Roman"/>
                <w:sz w:val="20"/>
              </w:rPr>
              <w:t>, respectively, issued and outstanding</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5,912 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Additional paid-in capital</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135,919,529 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102,416,131 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Accumulated deficit</w:t>
            </w: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(72,627,214)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(70,634,776)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stockholders’ equity</w:t>
            </w: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63,298,227 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31,786,360 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720"/>
              <w:jc w:val="left"/>
            </w:pPr>
            <w:r>
              <w:rPr>
                <w:rFonts w:ascii="Times New Roman" w:eastAsia="Times New Roman" w:hAnsi="Times New Roman" w:cs="Times New Roman"/>
                <w:color w:val="000000"/>
                <w:sz w:val="20"/>
              </w:rPr>
              <w:t>Total liabilities and stockholders’ equity</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75,847,757 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44,752,071 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sz w:val="20"/>
        </w:rPr>
      </w:pPr>
      <w:bookmarkStart w:id="5" w:name="Section6"/>
      <w:bookmarkEnd w:id="5"/>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w:t>
      </w:r>
      <w:r>
        <w:rPr>
          <w:rFonts w:ascii="Times New Roman" w:eastAsia="Times New Roman" w:hAnsi="Times New Roman" w:cs="Times New Roman"/>
          <w:sz w:val="20"/>
        </w:rPr>
        <w:t xml:space="preserve">udited </w:t>
      </w:r>
      <w:r>
        <w:rPr>
          <w:rFonts w:ascii="Times New Roman" w:eastAsia="Times New Roman" w:hAnsi="Times New Roman" w:cs="Times New Roman"/>
          <w:sz w:val="20"/>
        </w:rPr>
        <w:t>Consolidated Statements of Operations and Comprehensive Loss</w:t>
      </w:r>
    </w:p>
    <w:p>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00"/>
        <w:gridCol w:w="60"/>
        <w:gridCol w:w="160"/>
        <w:gridCol w:w="1345"/>
        <w:gridCol w:w="100"/>
        <w:gridCol w:w="75"/>
        <w:gridCol w:w="160"/>
        <w:gridCol w:w="1345"/>
        <w:gridCol w:w="100"/>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69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 March 31,</w:t>
            </w:r>
          </w:p>
        </w:tc>
      </w:tr>
      <w:tr>
        <w:tblPrEx>
          <w:tblW w:w="10450"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2020</w:t>
            </w: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5,375,632 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4,763,668 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center"/>
          <w:tblInd w:w="0" w:type="dxa"/>
          <w:tblCellMar>
            <w:left w:w="108" w:type="dxa"/>
            <w:right w:w="108" w:type="dxa"/>
          </w:tblCellMar>
        </w:tblPrEx>
        <w:trPr>
          <w:cantSplit/>
          <w:trHeight w:hRule="exact" w:val="165"/>
          <w:jc w:val="center"/>
        </w:trPr>
        <w:tc>
          <w:tcPr>
            <w:tcW w:w="69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Costs and expenses: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 xml:space="preserve">Cost of revenue (exclusive of amortization)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2,404,752 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2,140,517 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Sales and marketing</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2,078,323 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1,523,143 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General and administrative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2,535,147 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2,417,838 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Impairment of goodwill</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Depreciation and amortization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365,529 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501,269 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costs and expenses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7,383,751 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10,882,767 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50" w:type="dxa"/>
          <w:jc w:val="center"/>
          <w:tblInd w:w="0" w:type="dxa"/>
          <w:tblCellMar>
            <w:left w:w="108" w:type="dxa"/>
            <w:right w:w="108" w:type="dxa"/>
          </w:tblCellMar>
        </w:tblPrEx>
        <w:trPr>
          <w:cantSplit/>
          <w:trHeight w:hRule="exact" w:val="165"/>
          <w:jc w:val="center"/>
        </w:trPr>
        <w:tc>
          <w:tcPr>
            <w:tcW w:w="69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Loss from operations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(2,008,119)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(6,119,099)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165"/>
          <w:jc w:val="center"/>
        </w:trPr>
        <w:tc>
          <w:tcPr>
            <w:tcW w:w="69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Other income (expense):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Interest expense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(13,793)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(6,618)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Other income (expense),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29,474 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(37,744)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other income (expense), net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15,681 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(44,362)</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50" w:type="dxa"/>
          <w:jc w:val="center"/>
          <w:tblInd w:w="0" w:type="dxa"/>
          <w:tblCellMar>
            <w:left w:w="108" w:type="dxa"/>
            <w:right w:w="108" w:type="dxa"/>
          </w:tblCellMar>
        </w:tblPrEx>
        <w:trPr>
          <w:cantSplit/>
          <w:trHeight w:hRule="exact" w:val="165"/>
          <w:jc w:val="center"/>
        </w:trPr>
        <w:tc>
          <w:tcPr>
            <w:tcW w:w="69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Net loss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(1,992,438)</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(6,163,461)</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center"/>
          <w:tblInd w:w="0" w:type="dxa"/>
          <w:tblCellMar>
            <w:left w:w="108" w:type="dxa"/>
            <w:right w:w="108" w:type="dxa"/>
          </w:tblCellMar>
        </w:tblPrEx>
        <w:trPr>
          <w:cantSplit/>
          <w:trHeight w:hRule="exact" w:val="165"/>
          <w:jc w:val="center"/>
        </w:trPr>
        <w:tc>
          <w:tcPr>
            <w:tcW w:w="69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495"/>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Weighted average common shares outstanding – basic and diluted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56,334,219 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34,681,198 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Basic and diluted loss per common share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(0.04)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(0.18)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See accompanying notes to the </w:t>
      </w:r>
      <w:r>
        <w:rPr>
          <w:rFonts w:ascii="Times New Roman" w:eastAsia="Times New Roman" w:hAnsi="Times New Roman" w:cs="Times New Roman"/>
          <w:i/>
          <w:sz w:val="20"/>
        </w:rPr>
        <w:t xml:space="preserve">unaudited </w:t>
      </w:r>
      <w:r>
        <w:rPr>
          <w:rFonts w:ascii="Times New Roman" w:eastAsia="Times New Roman" w:hAnsi="Times New Roman" w:cs="Times New Roman"/>
          <w:i/>
          <w:sz w:val="20"/>
        </w:rPr>
        <w:t>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sz w:val="20"/>
        </w:rPr>
      </w:pPr>
      <w:bookmarkStart w:id="6" w:name="Section7"/>
      <w:bookmarkEnd w:id="6"/>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Unaudited </w:t>
      </w:r>
      <w:r>
        <w:rPr>
          <w:rFonts w:ascii="Times New Roman" w:eastAsia="Times New Roman" w:hAnsi="Times New Roman" w:cs="Times New Roman"/>
          <w:sz w:val="20"/>
        </w:rPr>
        <w:t>Consolidated Statements of Stockholders’ Equity</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Three Months Ended </w:t>
      </w:r>
      <w:r>
        <w:rPr>
          <w:rFonts w:ascii="Times New Roman" w:eastAsia="Times New Roman" w:hAnsi="Times New Roman" w:cs="Times New Roman"/>
          <w:sz w:val="20"/>
        </w:rPr>
        <w:t>March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2021</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i/>
          <w:sz w:val="20"/>
          <w:u w:val="single"/>
        </w:rPr>
      </w:pP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60"/>
        <w:gridCol w:w="75"/>
        <w:gridCol w:w="980"/>
        <w:gridCol w:w="100"/>
        <w:gridCol w:w="75"/>
        <w:gridCol w:w="160"/>
        <w:gridCol w:w="565"/>
        <w:gridCol w:w="100"/>
        <w:gridCol w:w="75"/>
        <w:gridCol w:w="160"/>
        <w:gridCol w:w="895"/>
        <w:gridCol w:w="100"/>
        <w:gridCol w:w="75"/>
        <w:gridCol w:w="160"/>
        <w:gridCol w:w="925"/>
        <w:gridCol w:w="100"/>
        <w:gridCol w:w="75"/>
        <w:gridCol w:w="160"/>
        <w:gridCol w:w="820"/>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5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6"/>
              </w:rPr>
              <w:t>Additional</w:t>
            </w:r>
          </w:p>
          <w:p>
            <w:pPr>
              <w:spacing w:after="30" w:line="240" w:lineRule="auto"/>
              <w:ind w:left="0" w:right="0"/>
              <w:jc w:val="center"/>
            </w:pP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6"/>
              </w:rPr>
              <w:t>Total</w:t>
            </w:r>
          </w:p>
          <w:p>
            <w:pPr>
              <w:spacing w:after="30" w:line="240" w:lineRule="auto"/>
              <w:ind w:left="0" w:right="0"/>
              <w:jc w:val="center"/>
            </w:pPr>
            <w:r>
              <w:rPr>
                <w:rFonts w:ascii="Times New Roman" w:eastAsia="Times New Roman" w:hAnsi="Times New Roman" w:cs="Times New Roman"/>
                <w:color w:val="000000"/>
                <w:sz w:val="16"/>
              </w:rPr>
              <w:t>Stockholders’</w:t>
            </w:r>
          </w:p>
        </w:tc>
      </w:tr>
      <w:tr>
        <w:tblPrEx>
          <w:tblW w:w="10465" w:type="dxa"/>
          <w:jc w:val="center"/>
          <w:tblInd w:w="0" w:type="dxa"/>
          <w:tblCellMar>
            <w:left w:w="108" w:type="dxa"/>
            <w:right w:w="108" w:type="dxa"/>
          </w:tblCellMar>
        </w:tblPrEx>
        <w:trPr>
          <w:cantSplit/>
          <w:trHeight w:hRule="exact" w:val="225"/>
          <w:jc w:val="center"/>
        </w:trPr>
        <w:tc>
          <w:tcPr>
            <w:tcW w:w="45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6"/>
              </w:rPr>
              <w:t>Shares</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Equity</w:t>
            </w: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18"/>
              </w:rPr>
              <w:t>Balance, December 31,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34,634,172 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3,464 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74,099,328 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(60,384,769)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13,718,023 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purchase plan issuances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97,655 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31,240 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31,250 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(2,326)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(2,326)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41,224 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129,568 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129,571 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(6,163,461)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(6,163,461)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b/>
                <w:color w:val="000000"/>
                <w:sz w:val="18"/>
              </w:rPr>
              <w:t>Balance, March 31,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34,773,051 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3,477 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74,257,810 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(66,548,230)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7,713,057 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60"/>
        <w:gridCol w:w="75"/>
        <w:gridCol w:w="980"/>
        <w:gridCol w:w="100"/>
        <w:gridCol w:w="75"/>
        <w:gridCol w:w="160"/>
        <w:gridCol w:w="565"/>
        <w:gridCol w:w="100"/>
        <w:gridCol w:w="75"/>
        <w:gridCol w:w="160"/>
        <w:gridCol w:w="895"/>
        <w:gridCol w:w="100"/>
        <w:gridCol w:w="75"/>
        <w:gridCol w:w="160"/>
        <w:gridCol w:w="925"/>
        <w:gridCol w:w="100"/>
        <w:gridCol w:w="75"/>
        <w:gridCol w:w="160"/>
        <w:gridCol w:w="820"/>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5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6"/>
              </w:rPr>
              <w:t>Additional</w:t>
            </w:r>
          </w:p>
          <w:p>
            <w:pPr>
              <w:spacing w:after="30" w:line="240" w:lineRule="auto"/>
              <w:ind w:left="0" w:right="0"/>
              <w:jc w:val="center"/>
            </w:pP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6"/>
              </w:rPr>
              <w:t>Total</w:t>
            </w:r>
          </w:p>
          <w:p>
            <w:pPr>
              <w:spacing w:after="30" w:line="240" w:lineRule="auto"/>
              <w:ind w:left="0" w:right="0"/>
              <w:jc w:val="center"/>
            </w:pPr>
            <w:r>
              <w:rPr>
                <w:rFonts w:ascii="Times New Roman" w:eastAsia="Times New Roman" w:hAnsi="Times New Roman" w:cs="Times New Roman"/>
                <w:color w:val="000000"/>
                <w:sz w:val="16"/>
              </w:rPr>
              <w:t>Stockholders’</w:t>
            </w:r>
          </w:p>
        </w:tc>
      </w:tr>
      <w:tr>
        <w:tblPrEx>
          <w:tblW w:w="10465" w:type="dxa"/>
          <w:jc w:val="center"/>
          <w:tblInd w:w="0" w:type="dxa"/>
          <w:tblCellMar>
            <w:left w:w="108" w:type="dxa"/>
            <w:right w:w="108" w:type="dxa"/>
          </w:tblCellMar>
        </w:tblPrEx>
        <w:trPr>
          <w:cantSplit/>
          <w:trHeight w:hRule="exact" w:val="225"/>
          <w:jc w:val="center"/>
        </w:trPr>
        <w:tc>
          <w:tcPr>
            <w:tcW w:w="456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6"/>
              </w:rPr>
              <w:t>Shares</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Equity</w:t>
            </w: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b/>
                <w:color w:val="000000"/>
                <w:sz w:val="18"/>
              </w:rPr>
              <w:t>Balance, December 31,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50,050,167 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5,005 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102,416,131 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(70,634,776)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31,786,360 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8,701,691 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870 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34,357,142 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34,358,012 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purchase plan &amp; option exercise issuances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1,510 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2,144 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2,144 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7,176 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34,695 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34,696 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(746,957)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(746,957)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526,903 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197,934 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197,986 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Shares withheld to cover statutory taxes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(163,998)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(341,560)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(341,576)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(1,992,438)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(1,992,438)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b/>
                <w:color w:val="000000"/>
                <w:sz w:val="18"/>
              </w:rPr>
              <w:t>Balance, March 31, 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59,123,449 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5,912 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135,919,529 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(72,627,214)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63,298,227 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10"/>
        </w:rPr>
      </w:pPr>
    </w:p>
    <w:tbl>
      <w:tblPr>
        <w:tblW w:w="1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5"/>
      </w:tblGrid>
      <w:tr>
        <w:tblPrEx>
          <w:tblW w:w="1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1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68" w:type="dxa"/>
          <w:jc w:val="center"/>
          <w:tblInd w:w="0" w:type="dxa"/>
          <w:tblCellMar>
            <w:left w:w="108" w:type="dxa"/>
            <w:right w:w="108" w:type="dxa"/>
          </w:tblCellMar>
        </w:tblPrEx>
        <w:trPr>
          <w:cantSplit/>
          <w:trHeight w:hRule="exact" w:val="225"/>
          <w:jc w:val="center"/>
        </w:trPr>
        <w:tc>
          <w:tcPr>
            <w:tcW w:w="1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68" w:type="dxa"/>
          <w:jc w:val="center"/>
          <w:tblInd w:w="0" w:type="dxa"/>
          <w:tblCellMar>
            <w:left w:w="108" w:type="dxa"/>
            <w:right w:w="108" w:type="dxa"/>
          </w:tblCellMar>
        </w:tblPrEx>
        <w:trPr>
          <w:cantSplit/>
          <w:trHeight w:hRule="exact" w:val="285"/>
          <w:jc w:val="center"/>
        </w:trPr>
        <w:tc>
          <w:tcPr>
            <w:tcW w:w="1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r>
      <w:tr>
        <w:tblPrEx>
          <w:tblW w:w="168" w:type="dxa"/>
          <w:jc w:val="center"/>
          <w:tblInd w:w="0" w:type="dxa"/>
          <w:tblCellMar>
            <w:left w:w="108" w:type="dxa"/>
            <w:right w:w="108" w:type="dxa"/>
          </w:tblCellMar>
        </w:tblPrEx>
        <w:trPr>
          <w:cantSplit/>
          <w:trHeight w:hRule="exact" w:val="285"/>
          <w:jc w:val="center"/>
        </w:trPr>
        <w:tc>
          <w:tcPr>
            <w:tcW w:w="1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r>
      <w:tr>
        <w:tblPrEx>
          <w:tblW w:w="168" w:type="dxa"/>
          <w:jc w:val="center"/>
          <w:tblInd w:w="0" w:type="dxa"/>
          <w:tblCellMar>
            <w:left w:w="108" w:type="dxa"/>
            <w:right w:w="108" w:type="dxa"/>
          </w:tblCellMar>
        </w:tblPrEx>
        <w:trPr>
          <w:cantSplit/>
          <w:trHeight w:hRule="exact" w:val="285"/>
          <w:jc w:val="center"/>
        </w:trPr>
        <w:tc>
          <w:tcPr>
            <w:tcW w:w="1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r>
      <w:tr>
        <w:tblPrEx>
          <w:tblW w:w="168" w:type="dxa"/>
          <w:jc w:val="center"/>
          <w:tblInd w:w="0" w:type="dxa"/>
          <w:tblCellMar>
            <w:left w:w="108" w:type="dxa"/>
            <w:right w:w="108" w:type="dxa"/>
          </w:tblCellMar>
        </w:tblPrEx>
        <w:trPr>
          <w:cantSplit/>
          <w:trHeight w:hRule="exact" w:val="285"/>
          <w:jc w:val="center"/>
        </w:trPr>
        <w:tc>
          <w:tcPr>
            <w:tcW w:w="1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r>
      <w:tr>
        <w:tblPrEx>
          <w:tblW w:w="168" w:type="dxa"/>
          <w:jc w:val="center"/>
          <w:tblInd w:w="0" w:type="dxa"/>
          <w:tblCellMar>
            <w:left w:w="108" w:type="dxa"/>
            <w:right w:w="108" w:type="dxa"/>
          </w:tblCellMar>
        </w:tblPrEx>
        <w:trPr>
          <w:cantSplit/>
          <w:trHeight w:hRule="exact" w:val="285"/>
          <w:jc w:val="center"/>
        </w:trPr>
        <w:tc>
          <w:tcPr>
            <w:tcW w:w="1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r>
      <w:tr>
        <w:tblPrEx>
          <w:tblW w:w="168" w:type="dxa"/>
          <w:jc w:val="center"/>
          <w:tblInd w:w="0" w:type="dxa"/>
          <w:tblCellMar>
            <w:left w:w="108" w:type="dxa"/>
            <w:right w:w="108" w:type="dxa"/>
          </w:tblCellMar>
        </w:tblPrEx>
        <w:trPr>
          <w:cantSplit/>
          <w:trHeight w:hRule="exact" w:val="285"/>
          <w:jc w:val="center"/>
        </w:trPr>
        <w:tc>
          <w:tcPr>
            <w:tcW w:w="1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r>
      <w:tr>
        <w:tblPrEx>
          <w:tblW w:w="168" w:type="dxa"/>
          <w:jc w:val="center"/>
          <w:tblInd w:w="0" w:type="dxa"/>
          <w:tblCellMar>
            <w:left w:w="108" w:type="dxa"/>
            <w:right w:w="108" w:type="dxa"/>
          </w:tblCellMar>
        </w:tblPrEx>
        <w:trPr>
          <w:cantSplit/>
          <w:trHeight w:hRule="exact" w:val="285"/>
          <w:jc w:val="center"/>
        </w:trPr>
        <w:tc>
          <w:tcPr>
            <w:tcW w:w="1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r>
      <w:tr>
        <w:tblPrEx>
          <w:tblW w:w="168" w:type="dxa"/>
          <w:jc w:val="center"/>
          <w:tblInd w:w="0" w:type="dxa"/>
          <w:tblCellMar>
            <w:left w:w="108" w:type="dxa"/>
            <w:right w:w="108" w:type="dxa"/>
          </w:tblCellMar>
        </w:tblPrEx>
        <w:trPr>
          <w:cantSplit/>
          <w:trHeight w:hRule="exact" w:val="285"/>
          <w:jc w:val="center"/>
        </w:trPr>
        <w:tc>
          <w:tcPr>
            <w:tcW w:w="16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See accompanying notes to the </w:t>
      </w:r>
      <w:r>
        <w:rPr>
          <w:rFonts w:ascii="Times New Roman" w:eastAsia="Times New Roman" w:hAnsi="Times New Roman" w:cs="Times New Roman"/>
          <w:i/>
          <w:sz w:val="20"/>
        </w:rPr>
        <w:t>un</w:t>
      </w:r>
      <w:r>
        <w:rPr>
          <w:rFonts w:ascii="Times New Roman" w:eastAsia="Times New Roman" w:hAnsi="Times New Roman" w:cs="Times New Roman"/>
          <w:i/>
          <w:sz w:val="20"/>
        </w:rPr>
        <w:t>aud</w:t>
      </w:r>
      <w:r>
        <w:rPr>
          <w:rFonts w:ascii="Times New Roman" w:eastAsia="Times New Roman" w:hAnsi="Times New Roman" w:cs="Times New Roman"/>
          <w:i/>
          <w:sz w:val="20"/>
        </w:rPr>
        <w:t>i</w:t>
      </w:r>
      <w:r>
        <w:rPr>
          <w:rFonts w:ascii="Times New Roman" w:eastAsia="Times New Roman" w:hAnsi="Times New Roman" w:cs="Times New Roman"/>
          <w:i/>
          <w:sz w:val="20"/>
        </w:rPr>
        <w:t xml:space="preserve">ted </w:t>
      </w:r>
      <w:r>
        <w:rPr>
          <w:rFonts w:ascii="Times New Roman" w:eastAsia="Times New Roman" w:hAnsi="Times New Roman" w:cs="Times New Roman"/>
          <w:i/>
          <w:sz w:val="20"/>
        </w:rPr>
        <w:t>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sz w:val="20"/>
        </w:rPr>
      </w:pPr>
      <w:bookmarkStart w:id="7" w:name="Section8"/>
      <w:bookmarkEnd w:id="7"/>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w:t>
      </w:r>
      <w:r>
        <w:rPr>
          <w:rFonts w:ascii="Times New Roman" w:eastAsia="Times New Roman" w:hAnsi="Times New Roman" w:cs="Times New Roman"/>
          <w:sz w:val="20"/>
        </w:rPr>
        <w:t xml:space="preserve">udited </w:t>
      </w:r>
      <w:r>
        <w:rPr>
          <w:rFonts w:ascii="Times New Roman" w:eastAsia="Times New Roman" w:hAnsi="Times New Roman" w:cs="Times New Roman"/>
          <w:sz w:val="20"/>
        </w:rPr>
        <w:t>Consolidated Statements of Cash Flows</w:t>
      </w:r>
    </w:p>
    <w:tbl>
      <w:tblPr>
        <w:tblW w:w="99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795"/>
        <w:gridCol w:w="160"/>
        <w:gridCol w:w="1180"/>
        <w:gridCol w:w="100"/>
        <w:gridCol w:w="75"/>
        <w:gridCol w:w="160"/>
        <w:gridCol w:w="1180"/>
        <w:gridCol w:w="100"/>
      </w:tblGrid>
      <w:tr>
        <w:tblPrEx>
          <w:tblW w:w="99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67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5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9"/>
              </w:rPr>
              <w:t>Three Months Ended March 31,</w:t>
            </w:r>
          </w:p>
        </w:tc>
      </w:tr>
      <w:tr>
        <w:tblPrEx>
          <w:tblW w:w="9945" w:type="dxa"/>
          <w:jc w:val="center"/>
          <w:tblInd w:w="0" w:type="dxa"/>
          <w:tblCellMar>
            <w:left w:w="108" w:type="dxa"/>
            <w:right w:w="108" w:type="dxa"/>
          </w:tblCellMar>
        </w:tblPrEx>
        <w:trPr>
          <w:cantSplit/>
          <w:trHeight w:hRule="exact" w:val="240"/>
          <w:jc w:val="center"/>
        </w:trPr>
        <w:tc>
          <w:tcPr>
            <w:tcW w:w="67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2020</w:t>
            </w: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Cash flows from operating activities:</w:t>
            </w: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19"/>
              </w:rPr>
              <w:t> </w:t>
            </w: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Net loss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(1,992,438)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(6,163,461)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Adjustments to reconcile net loss to net cash used for operating activities:</w:t>
            </w: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Depreciation and amortization</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32,486 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35,629 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Amortization of software development costs and other intangible assets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333,043 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465,640 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Impairment of goodwill</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4,300,000 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Gain on disposal of equipment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(7,914)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Provision for losses on accounts receivable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33,305 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Stock-based compensation</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197,986 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129,571 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Fair value of stock issued for payment of services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34,696 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31,250 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Changes in operating assets and liabilities:</w:t>
            </w: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Accounts receivable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1,135,265 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1,585,843 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Prepaid expenses and other current assets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(154,986)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(15,135)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Security deposits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619 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Accounts payable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(204,624)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(1,121,745)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Accrued expenses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(245,077)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215,375 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Contract liabilities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41,856 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(869,287)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Right-of-use asset and lease liability, net</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24,024 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8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Net cash used for operating activities</w:t>
            </w:r>
          </w:p>
        </w:tc>
        <w:tc>
          <w:tcPr>
            <w:tcW w:w="13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(829,707)</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(1,348,372)</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Cash flows from investing activities:</w:t>
            </w: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Purchase of equipment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(22,109)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Proceeds from sale of equipment</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8,892 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Software development costs</w:t>
            </w: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(51,004)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8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Net cash used for investing activities</w:t>
            </w: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(13,217)</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(51,004)</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9945" w:type="dxa"/>
          <w:jc w:val="center"/>
          <w:tblInd w:w="0" w:type="dxa"/>
          <w:tblCellMar>
            <w:left w:w="108" w:type="dxa"/>
            <w:right w:w="108" w:type="dxa"/>
          </w:tblCellMar>
        </w:tblPrEx>
        <w:trPr>
          <w:cantSplit/>
          <w:trHeight w:hRule="exact" w:val="28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Cash flows from financing activities:</w:t>
            </w: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19"/>
              </w:rPr>
              <w:t> </w:t>
            </w: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Proceeds from sale of securities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34,358,012 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Stock issuance costs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(746,957)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(2,326)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Proceeds from stock purchase plan and option exercise issuances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2,144 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Payments on shares withheld for statutory taxes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(341,576)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Net proceeds from line of credit</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1,162,924 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Payments on finance obligation</w:t>
            </w: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(8,336)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(11,410)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8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Net cash provided by financing activities</w:t>
            </w: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33,263,287 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1,149,188 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9945" w:type="dxa"/>
          <w:jc w:val="center"/>
          <w:tblInd w:w="0" w:type="dxa"/>
          <w:tblCellMar>
            <w:left w:w="108" w:type="dxa"/>
            <w:right w:w="108" w:type="dxa"/>
          </w:tblCellMar>
        </w:tblPrEx>
        <w:trPr>
          <w:cantSplit/>
          <w:trHeight w:hRule="exact" w:val="105"/>
          <w:jc w:val="center"/>
        </w:trPr>
        <w:tc>
          <w:tcPr>
            <w:tcW w:w="67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9945" w:type="dxa"/>
          <w:jc w:val="center"/>
          <w:tblInd w:w="0" w:type="dxa"/>
          <w:tblCellMar>
            <w:left w:w="108" w:type="dxa"/>
            <w:right w:w="108" w:type="dxa"/>
          </w:tblCellMar>
        </w:tblPrEx>
        <w:trPr>
          <w:cantSplit/>
          <w:trHeight w:hRule="exact" w:val="28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Net increase (decrease) in cash and cash equivalents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32,420,363 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(250,188)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8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Cash and cash equivalents, beginning of period</w:t>
            </w: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33,045,225 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5,884,629 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9945" w:type="dxa"/>
          <w:jc w:val="center"/>
          <w:tblInd w:w="0" w:type="dxa"/>
          <w:tblCellMar>
            <w:left w:w="108" w:type="dxa"/>
            <w:right w:w="108" w:type="dxa"/>
          </w:tblCellMar>
        </w:tblPrEx>
        <w:trPr>
          <w:cantSplit/>
          <w:trHeight w:hRule="exact" w:val="28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Cash and cash equivalents, end of period</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9"/>
              </w:rPr>
              <w:t>$</w:t>
            </w:r>
          </w:p>
        </w:tc>
        <w:tc>
          <w:tcPr>
            <w:tcW w:w="11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65,465,588 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9"/>
              </w:rPr>
              <w:t>$</w:t>
            </w:r>
          </w:p>
        </w:tc>
        <w:tc>
          <w:tcPr>
            <w:tcW w:w="11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5,634,441 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9945" w:type="dxa"/>
          <w:jc w:val="center"/>
          <w:tblInd w:w="0" w:type="dxa"/>
          <w:tblCellMar>
            <w:left w:w="108" w:type="dxa"/>
            <w:right w:w="108" w:type="dxa"/>
          </w:tblCellMar>
        </w:tblPrEx>
        <w:trPr>
          <w:cantSplit/>
          <w:trHeight w:hRule="exact" w:val="105"/>
          <w:jc w:val="center"/>
        </w:trPr>
        <w:tc>
          <w:tcPr>
            <w:tcW w:w="67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u w:val="single"/>
              </w:rPr>
              <w:t>Supplemental cash flow information:</w:t>
            </w: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Interest paid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4,792 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1,368 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u w:val="single"/>
              </w:rPr>
              <w:t>Non-cash financing and investing activities:</w:t>
            </w: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Equipment acquired with financing arrangement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43,003 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9945" w:type="dxa"/>
          <w:jc w:val="center"/>
          <w:tblInd w:w="0" w:type="dxa"/>
          <w:tblCellMar>
            <w:left w:w="108" w:type="dxa"/>
            <w:right w:w="108" w:type="dxa"/>
          </w:tblCellMar>
        </w:tblPrEx>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19"/>
              </w:rPr>
              <w:t>Fair value of common stock issued for future services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19"/>
              </w:rPr>
              <w:t>147,329 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19"/>
              </w:rPr>
              <w:t>125,000 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See accompanying notes to the </w:t>
      </w:r>
      <w:r>
        <w:rPr>
          <w:rFonts w:ascii="Times New Roman" w:eastAsia="Times New Roman" w:hAnsi="Times New Roman" w:cs="Times New Roman"/>
          <w:i/>
          <w:sz w:val="20"/>
        </w:rPr>
        <w:t xml:space="preserve">unaudited </w:t>
      </w:r>
      <w:r>
        <w:rPr>
          <w:rFonts w:ascii="Times New Roman" w:eastAsia="Times New Roman" w:hAnsi="Times New Roman" w:cs="Times New Roman"/>
          <w:i/>
          <w:sz w:val="20"/>
        </w:rPr>
        <w:t>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bookmarkStart w:id="8" w:name="Section9"/>
      <w:bookmarkEnd w:id="8"/>
    </w:p>
    <w:p>
      <w:pPr>
        <w:keepNext w:val="0"/>
        <w:keepLines w:val="0"/>
        <w:pageBreakBefore w:val="0"/>
        <w:widowControl/>
        <w:numPr>
          <w:ilvl w:val="0"/>
          <w:numId w:val="0"/>
        </w:numPr>
        <w:spacing w:before="0" w:after="0" w:line="288" w:lineRule="auto"/>
        <w:ind w:left="0" w:right="0" w:firstLine="0"/>
        <w:jc w:val="both"/>
        <w:outlineLvl w:val="9"/>
        <w:sectPr>
          <w:headerReference w:type="default" r:id="rId7"/>
          <w:pgSz w:w="12240" w:h="15840"/>
          <w:pgMar w:top="855" w:right="990" w:bottom="855" w:left="990" w:header="270" w:footer="270"/>
          <w:cols w:space="708"/>
        </w:sectPr>
      </w:pPr>
    </w:p>
    <w:p>
      <w:pPr>
        <w:keepNext w:val="0"/>
        <w:keepLines w:val="0"/>
        <w:pageBreakBefore w:val="0"/>
        <w:widowControl/>
        <w:numPr>
          <w:ilvl w:val="0"/>
          <w:numId w:val="0"/>
        </w:numPr>
        <w:tabs>
          <w:tab w:val="left" w:pos="1440"/>
        </w:tabs>
        <w:spacing w:before="0" w:after="0" w:line="288" w:lineRule="auto"/>
        <w:ind w:left="0" w:right="0" w:firstLine="0"/>
        <w:jc w:val="left"/>
        <w:outlineLvl w:val="3"/>
        <w:rPr>
          <w:rFonts w:ascii="Times New Roman" w:eastAsia="Times New Roman" w:hAnsi="Times New Roman" w:cs="Times New Roman"/>
          <w:b/>
          <w:sz w:val="20"/>
        </w:rPr>
      </w:pPr>
      <w:bookmarkStart w:id="9" w:name="Section10"/>
      <w:bookmarkEnd w:id="9"/>
      <w:r>
        <w:rPr>
          <w:rFonts w:ascii="Times New Roman" w:eastAsia="Times New Roman" w:hAnsi="Times New Roman" w:cs="Times New Roman"/>
          <w:b/>
          <w:sz w:val="20"/>
        </w:rPr>
        <w:t>NOTE 1.</w:t>
      </w:r>
      <w:r>
        <w:rPr>
          <w:rFonts w:ascii="Times New Roman" w:eastAsia="Times New Roman" w:hAnsi="Times New Roman" w:cs="Times New Roman"/>
          <w:b/>
          <w:sz w:val="20"/>
        </w:rPr>
        <w:tab/>
      </w:r>
      <w:r>
        <w:rPr>
          <w:rFonts w:ascii="Times New Roman" w:eastAsia="Times New Roman" w:hAnsi="Times New Roman" w:cs="Times New Roman"/>
          <w:b/>
          <w:sz w:val="20"/>
        </w:rPr>
        <w:t xml:space="preserve">COMPANY AND </w:t>
      </w:r>
      <w:r>
        <w:rPr>
          <w:rFonts w:ascii="Times New Roman" w:eastAsia="Times New Roman" w:hAnsi="Times New Roman" w:cs="Times New Roman"/>
          <w:b/>
          <w:sz w:val="20"/>
        </w:rPr>
        <w:t>SUMMARY OF SIGNIFICANT ACCOUNTING POLICIES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Nature of Business</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b/>
          <w:sz w:val="20"/>
          <w:u w:val="single"/>
        </w:rPr>
      </w:pPr>
      <w:r>
        <w:rPr>
          <w:rFonts w:ascii="Times New Roman" w:eastAsia="Times New Roman" w:hAnsi="Times New Roman" w:cs="Times New Roman"/>
          <w:sz w:val="20"/>
        </w:rPr>
        <w:t xml:space="preserve">IZEA Worldwide, Inc. (together with its wholly-owned subsidiaries, “we,” “us,” “our,” “IZEA” or the “Company”) is </w:t>
      </w:r>
      <w:r>
        <w:rPr>
          <w:rFonts w:ascii="Times New Roman" w:eastAsia="Times New Roman" w:hAnsi="Times New Roman" w:cs="Times New Roman"/>
          <w:sz w:val="20"/>
        </w:rPr>
        <w:t>a Nevada corporation that was founded in February 2006 under the name PayPerPost, Inc. and became a public company in May 2011.</w:t>
      </w:r>
      <w:r>
        <w:rPr>
          <w:rFonts w:ascii="Times New Roman" w:eastAsia="Times New Roman" w:hAnsi="Times New Roman" w:cs="Times New Roman"/>
          <w:sz w:val="20"/>
        </w:rPr>
        <w:t xml:space="preserve"> In January 2015, IZEA purchased all of the outstanding shares of capital stock of Ebyline, Inc. (“Ebyline”). In March 2016, the Company formed IZEA Canada, Inc., a wholly-owned subsidiary, incorporated in Ontario, Canada, to operate as a sales and support office for IZEA’s Canadian customers. In July 2016, IZEA purchased all the outstanding shares of capital stock of ZenContent, Inc. (“ZenContent”) and in July 2018, a subsidiary of the Company merged with TapInfluence, Inc. (“TapInfluence”). </w:t>
      </w:r>
      <w:r>
        <w:rPr>
          <w:rFonts w:ascii="Times New Roman" w:eastAsia="Times New Roman" w:hAnsi="Times New Roman" w:cs="Times New Roman"/>
          <w:sz w:val="20"/>
        </w:rPr>
        <w:t xml:space="preserve">ZenContent, Ebyline, and TapInfluence were merged into IZEA </w:t>
      </w:r>
      <w:r>
        <w:rPr>
          <w:rFonts w:ascii="Times New Roman" w:eastAsia="Times New Roman" w:hAnsi="Times New Roman" w:cs="Times New Roman"/>
          <w:sz w:val="20"/>
        </w:rPr>
        <w:t xml:space="preserve">and the </w:t>
      </w:r>
      <w:r>
        <w:rPr>
          <w:rFonts w:ascii="Times New Roman" w:eastAsia="Times New Roman" w:hAnsi="Times New Roman" w:cs="Times New Roman"/>
          <w:sz w:val="20"/>
        </w:rPr>
        <w:t xml:space="preserve">legal entities were dissolved </w:t>
      </w:r>
      <w:r>
        <w:rPr>
          <w:rFonts w:ascii="Times New Roman" w:eastAsia="Times New Roman" w:hAnsi="Times New Roman" w:cs="Times New Roman"/>
          <w:sz w:val="20"/>
        </w:rPr>
        <w:t>in December 2017, December 2019 and December 2020, respectively</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creates and operates online marketplaces that connect marketers with content creators. The creators are compensated by the Company for producing unique content such as long and short form text, videos, photos, status updates, and illustrations for marketers or distributing such content on behalf of marketers through their personal websites, blogs, and social media channels. Marketers receive influential consumer content and engaging, shareable stories that drive awareness.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sz w:val="20"/>
        </w:rPr>
        <w:t>The Company’s primary technology platform, the IZEA Exchange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Arial" w:eastAsia="Arial" w:hAnsi="Arial" w:cs="Arial"/>
          <w:sz w:val="24"/>
        </w:rPr>
      </w:pPr>
      <w:r>
        <w:rPr>
          <w:rFonts w:ascii="Times New Roman" w:eastAsia="Times New Roman" w:hAnsi="Times New Roman" w:cs="Times New Roman"/>
          <w:sz w:val="20"/>
        </w:rPr>
        <w:t xml:space="preserve">In 2020, the Company launched two new platforms,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is a social media intelligence platform that is heavily integrated with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both platforms rely heavily on data from each other, but it is also available as a stand-alone platform. The platform maps and classifies the complex hierarchy of corporation-to-brand relationships by category and associates social content with brands through a proprietary content analysis engine.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is a new online marketplace where buyers can quickly and easily hire creators of all types for influencer marketing, photography, design, and other digital services. The Shake platform is aimed at digital creatives seeking freelance “gig” work. Creators list available “Shakes” on their accounts in the platform and marketers select and purchase creative packages from them through a streamlined chat experience, assisted by ShakeBot - a proprietary, artificial intelligence assistant.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color w:val="1A1A1A"/>
          <w:sz w:val="20"/>
          <w:u w:val="single"/>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Basis of Presentation</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accompanying consolidated balance sheet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the consolidated statements of operations </w:t>
      </w:r>
      <w:r>
        <w:rPr>
          <w:rFonts w:ascii="Times New Roman" w:eastAsia="Times New Roman" w:hAnsi="Times New Roman" w:cs="Times New Roman"/>
          <w:sz w:val="20"/>
        </w:rPr>
        <w:t>and compre</w:t>
      </w:r>
      <w:r>
        <w:rPr>
          <w:rFonts w:ascii="Times New Roman" w:eastAsia="Times New Roman" w:hAnsi="Times New Roman" w:cs="Times New Roman"/>
          <w:sz w:val="20"/>
        </w:rPr>
        <w:t xml:space="preserve">hensive loss </w:t>
      </w:r>
      <w:r>
        <w:rPr>
          <w:rFonts w:ascii="Times New Roman" w:eastAsia="Times New Roman" w:hAnsi="Times New Roman" w:cs="Times New Roman"/>
          <w:sz w:val="20"/>
        </w:rPr>
        <w:t xml:space="preserve">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the consolidated statements of stockholders' equity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the consolidated statements of cash flows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 xml:space="preserve">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are unaudited but include all adjustments that are, in the opinion of management, necessary for a fair presentation of its financial position at such dates and its results of operations and cash flows for the periods then ended in conformity with generally accepted accounting principles in the United States ("GAAP"). The consolidated balance sheet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has been derived from the audited consolidated financial statements at that date but, in accordance with the rules and regulations of the SEC, does not include all of the information and notes required by GAAP for complete financial statements. Operating results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are not necessarily indicative of results that may be expected for the entire fiscal year. These unaudited consolidated financial statements should be read in conjunction with the consolidated financial statements and notes thereto for the fiscal year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included in the Company's Annual Report on Form 10-K filed with the SEC on March 30, 202</w:t>
      </w:r>
      <w:r>
        <w:rPr>
          <w:rFonts w:ascii="Times New Roman" w:eastAsia="Times New Roman" w:hAnsi="Times New Roman" w:cs="Times New Roman"/>
          <w:sz w:val="20"/>
        </w:rPr>
        <w:t>1</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b/>
          <w:sz w:val="20"/>
          <w:u w:val="single"/>
        </w:rPr>
        <w:t>Principles of Consolidation</w:t>
      </w:r>
    </w:p>
    <w:p>
      <w:pPr>
        <w:keepNext w:val="0"/>
        <w:keepLines/>
        <w:pageBreakBefore w:val="0"/>
        <w:widowControl w:val="0"/>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consolidated financial statements include the accounts of IZEA Worldwide, Inc. and its wholly-owned subsidiaries, subsequent to the subsidiaries’ individual acquisition, merger or formation dates, as applicable. All significant intercompany balances and transactions have been eliminated in consolidation.</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U</w:t>
      </w:r>
      <w:r>
        <w:rPr>
          <w:rFonts w:ascii="Times New Roman" w:eastAsia="Times New Roman" w:hAnsi="Times New Roman" w:cs="Times New Roman"/>
          <w:b/>
          <w:sz w:val="20"/>
          <w:u w:val="single"/>
        </w:rPr>
        <w:t>se of Estimates</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4"/>
        </w:rPr>
      </w:pPr>
      <w:r>
        <w:rPr>
          <w:rFonts w:ascii="Times New Roman" w:eastAsia="Times New Roman" w:hAnsi="Times New Roman" w:cs="Times New Roman"/>
          <w:sz w:val="20"/>
        </w:rPr>
        <w:t xml:space="preserve">The extent to which COVID-19 impacts the Company’s business and financial results will depend on numerous evolving factors including, but not limited to: the magnitude and duration of COVID-19, the extent to which it impacts worldwide macroeconomic conditions, the speed of the anticipated recovery, access to capital markets, and governmental and business reactions to the pandemic. The Company assessed certain accounting matters that generally require consideration of forecasted financial information in context with the information reasonably available to the Company and the unknown future impacts of COVID-19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through the date of the filing of this </w:t>
      </w:r>
      <w:r>
        <w:rPr>
          <w:rFonts w:ascii="Times New Roman" w:eastAsia="Times New Roman" w:hAnsi="Times New Roman" w:cs="Times New Roman"/>
          <w:sz w:val="20"/>
        </w:rPr>
        <w:t>Quarterly</w:t>
      </w:r>
      <w:r>
        <w:rPr>
          <w:rFonts w:ascii="Times New Roman" w:eastAsia="Times New Roman" w:hAnsi="Times New Roman" w:cs="Times New Roman"/>
          <w:sz w:val="20"/>
        </w:rPr>
        <w:t xml:space="preserve"> Report on Form 10-</w:t>
      </w:r>
      <w:r>
        <w:rPr>
          <w:rFonts w:ascii="Times New Roman" w:eastAsia="Times New Roman" w:hAnsi="Times New Roman" w:cs="Times New Roman"/>
          <w:sz w:val="20"/>
        </w:rPr>
        <w:t>Q</w:t>
      </w:r>
      <w:r>
        <w:rPr>
          <w:rFonts w:ascii="Times New Roman" w:eastAsia="Times New Roman" w:hAnsi="Times New Roman" w:cs="Times New Roman"/>
          <w:sz w:val="20"/>
        </w:rPr>
        <w:t>. The accounting matters assessed included, but were not limited to estimates related to revenue, the accounting for potential liabilities and accrued expenses, the assumptions utilized in valuing stock-based compensation issued for services, the realization of deferred tax assets, and assessments of impairment related to long-lived assets, intangible assets, and goodwill. The Company’s future assessment of the magnitude and duration of COVID-19, as well as other factors, could result in additional material impacts to the Company’s consolidated financial statements in future reporting periods.</w:t>
      </w:r>
    </w:p>
    <w:p>
      <w:pPr>
        <w:keepNext w:val="0"/>
        <w:keepLines w:val="0"/>
        <w:pageBreakBefore w:val="0"/>
        <w:widowControl/>
        <w:numPr>
          <w:ilvl w:val="0"/>
          <w:numId w:val="0"/>
        </w:numPr>
        <w:spacing w:before="0" w:after="0" w:line="288" w:lineRule="auto"/>
        <w:ind w:left="0" w:right="0" w:firstLine="720"/>
        <w:jc w:val="left"/>
        <w:outlineLvl w:val="9"/>
        <w:rPr>
          <w:rFonts w:ascii="Arial" w:eastAsia="Arial" w:hAnsi="Arial" w:cs="Arial"/>
          <w:sz w:val="24"/>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Despite the Company’s efforts, the ultimate impact of COVID-19 depends on factors beyond the Company’s knowledge or control, including the duration and severity of the outbreak, as well as third-party actions taken to contain its spread and mitigate its public health effects. As a result, the Company is unable to estimate the full extent to which COVID-19 will </w:t>
      </w:r>
      <w:r>
        <w:rPr>
          <w:rFonts w:ascii="Times New Roman" w:eastAsia="Times New Roman" w:hAnsi="Times New Roman" w:cs="Times New Roman"/>
          <w:sz w:val="20"/>
        </w:rPr>
        <w:t>impact its financial results or liquidity. However, in consideration of</w:t>
      </w:r>
      <w:r>
        <w:rPr>
          <w:rFonts w:ascii="Times New Roman" w:eastAsia="Times New Roman" w:hAnsi="Times New Roman" w:cs="Times New Roman"/>
          <w:sz w:val="20"/>
        </w:rPr>
        <w:t xml:space="preserve"> the effect of COVID-19 on the assumptions and estimates used in the preparation of the</w:t>
      </w:r>
      <w:r>
        <w:rPr>
          <w:rFonts w:ascii="Times New Roman" w:eastAsia="Times New Roman" w:hAnsi="Times New Roman" w:cs="Times New Roman"/>
          <w:sz w:val="20"/>
        </w:rPr>
        <w:t xml:space="preserve"> financial statements, the Company identified the goodwill impairment disclosed in Note 3 as a material adverse effect on its results of operations and financial position in the first quarter of fiscal 2020 that was caused by COVID-19’s effect on economic conditions</w:t>
      </w:r>
      <w:r>
        <w:rPr>
          <w:rFonts w:ascii="Times New Roman" w:eastAsia="Times New Roman" w:hAnsi="Times New Roman" w:cs="Times New Roman"/>
          <w:sz w:val="20"/>
        </w:rPr>
        <w:t xml:space="preserve"> and its business operations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Cash and Cash Equivalents</w:t>
      </w:r>
    </w:p>
    <w:p>
      <w:pPr>
        <w:keepNext/>
        <w:keepLines/>
        <w:pageBreakBefore w:val="0"/>
        <w:widowControl w:val="0"/>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considers all highly liquid investments purchased with an original maturity of three months or less from the date of purchase to be cash equivalents. Deposits in our banks are insured by the FDIC up to a maximum amount of </w:t>
      </w:r>
      <w:r>
        <w:rPr>
          <w:rFonts w:ascii="Times New Roman" w:eastAsia="Times New Roman" w:hAnsi="Times New Roman" w:cs="Times New Roman"/>
          <w:sz w:val="20"/>
        </w:rPr>
        <w:t>$250,000</w:t>
      </w:r>
      <w:r>
        <w:rPr>
          <w:rFonts w:ascii="Times New Roman" w:eastAsia="Times New Roman" w:hAnsi="Times New Roman" w:cs="Times New Roman"/>
          <w:sz w:val="20"/>
        </w:rPr>
        <w:t xml:space="preserve">. Deposit balances exceeding this limit were approximately </w:t>
      </w:r>
      <w:r>
        <w:rPr>
          <w:rFonts w:ascii="Times New Roman" w:eastAsia="Times New Roman" w:hAnsi="Times New Roman" w:cs="Times New Roman"/>
          <w:sz w:val="20"/>
        </w:rPr>
        <w:t>$62.7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$31.4 million</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Accounts Receivable and Concentration of Credit Risk</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accounts receivable balance consists of trade receivables, unbilled receivables, and a reserve for doubtful accounts. Trade receivables are customer obligations due under normal trade terms. Unbilled receivables represent amounts owed for work that has been performed, but not yet billed. The Company had trade receivables of </w:t>
      </w:r>
      <w:r>
        <w:rPr>
          <w:rFonts w:ascii="Times New Roman" w:eastAsia="Times New Roman" w:hAnsi="Times New Roman" w:cs="Times New Roman"/>
          <w:sz w:val="20"/>
        </w:rPr>
        <w:t>$4,019,050</w:t>
      </w:r>
      <w:r>
        <w:rPr>
          <w:rFonts w:ascii="Times New Roman" w:eastAsia="Times New Roman" w:hAnsi="Times New Roman" w:cs="Times New Roman"/>
          <w:sz w:val="20"/>
        </w:rPr>
        <w:t xml:space="preserve"> and unbilled receivables of </w:t>
      </w:r>
      <w:r>
        <w:rPr>
          <w:rFonts w:ascii="Times New Roman" w:eastAsia="Times New Roman" w:hAnsi="Times New Roman" w:cs="Times New Roman"/>
          <w:sz w:val="20"/>
        </w:rPr>
        <w:t>$52,890</w:t>
      </w:r>
      <w:r>
        <w:rPr>
          <w:rFonts w:ascii="Times New Roman" w:eastAsia="Times New Roman" w:hAnsi="Times New Roman" w:cs="Times New Roman"/>
          <w:sz w:val="20"/>
        </w:rPr>
        <w:t xml:space="preserve"> at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The Company had trade receivables of </w:t>
      </w:r>
      <w:r>
        <w:rPr>
          <w:rFonts w:ascii="Times New Roman" w:eastAsia="Times New Roman" w:hAnsi="Times New Roman" w:cs="Times New Roman"/>
          <w:sz w:val="20"/>
        </w:rPr>
        <w:t>$5,148,213</w:t>
      </w:r>
      <w:r>
        <w:rPr>
          <w:rFonts w:ascii="Times New Roman" w:eastAsia="Times New Roman" w:hAnsi="Times New Roman" w:cs="Times New Roman"/>
          <w:sz w:val="20"/>
        </w:rPr>
        <w:t xml:space="preserve"> and unbilled receivables of </w:t>
      </w:r>
      <w:r>
        <w:rPr>
          <w:rFonts w:ascii="Times New Roman" w:eastAsia="Times New Roman" w:hAnsi="Times New Roman" w:cs="Times New Roman"/>
          <w:sz w:val="20"/>
        </w:rPr>
        <w:t>$58,992</w:t>
      </w:r>
      <w:r>
        <w:rPr>
          <w:rFonts w:ascii="Times New Roman" w:eastAsia="Times New Roman" w:hAnsi="Times New Roman" w:cs="Times New Roman"/>
          <w:sz w:val="20"/>
        </w:rPr>
        <w:t xml:space="preserve"> at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Management considers an account to be delinquent when the customer has not paid an amount due by its associated due date. Uncollectibility of accounts receivable is not significant since most customers are bound by contract and are required to fund the Company for all the costs of an “opportunity,” defined as an order created by a marketer for a creator to develop or share content on behalf of a marketer. If a portion of the account balance is deemed uncollectible, the Company will either write-off the amount owed or provide a reserve based on its best estimate of the uncollectible portion of the account. Management determines the collectibility of accounts by regularly evaluating individual customer receivables and considering a customer’s financial condition, credit history, and current economic conditions. The Company had a reserve for doubtful accounts of </w:t>
      </w:r>
      <w:r>
        <w:rPr>
          <w:rFonts w:ascii="Times New Roman" w:eastAsia="Times New Roman" w:hAnsi="Times New Roman" w:cs="Times New Roman"/>
          <w:sz w:val="20"/>
        </w:rPr>
        <w:t>$155,000</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 Management believes that this estimate is reasonable, but there can be no assurance that the estimate will not change as a result of a change in economic conditions or business conditions within the industry, the individual customers or the Company. Any adjustments to this account are reflected in the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as a general and administrative expense. Bad debt expense was less than </w:t>
      </w:r>
      <w:r>
        <w:rPr>
          <w:rFonts w:ascii="Times New Roman" w:eastAsia="Times New Roman" w:hAnsi="Times New Roman" w:cs="Times New Roman"/>
          <w:sz w:val="20"/>
        </w:rPr>
        <w:t>1%</w:t>
      </w:r>
      <w:r>
        <w:rPr>
          <w:rFonts w:ascii="Times New Roman" w:eastAsia="Times New Roman" w:hAnsi="Times New Roman" w:cs="Times New Roman"/>
          <w:sz w:val="20"/>
        </w:rPr>
        <w:t xml:space="preserve"> of revenue for each of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Concentrations of credit risk with respect to accounts receivable have been typically limited because a large number of geographically diverse customers make up the Company’s customer base, thus spreading the trade credit risk. However, with the Company’s addition of SaaS customers, it has increased credit exposure on certain customers who carry significant credit balances related to their marketplace spend. The Company controls credit risk through credit approvals, credit limits, and monitoring procedures. The Company performs credit evaluations of its customers, but generally does not require collateral to support accounts receivable. The Company had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 that accounted for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total accounts receivable at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 that accounted for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its revenue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Property and Equipment</w:t>
      </w:r>
    </w:p>
    <w:p>
      <w:pPr>
        <w:keepNext w:val="0"/>
        <w:keepLines w:val="0"/>
        <w:pageBreakBefore w:val="0"/>
        <w:widowControl/>
        <w:numPr>
          <w:ilvl w:val="0"/>
          <w:numId w:val="0"/>
        </w:numPr>
        <w:spacing w:before="18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Property and equipment are recorded at cost, or if acquired in a business combination, at the acquisition date fair value. </w:t>
      </w:r>
      <w:r>
        <w:rPr>
          <w:rFonts w:ascii="Times New Roman" w:eastAsia="Times New Roman" w:hAnsi="Times New Roman" w:cs="Times New Roman"/>
          <w:sz w:val="20"/>
        </w:rPr>
        <w:t>Depreciation is computed using the straight-line method over the estimated useful lives of the assets as follows:</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05"/>
        <w:gridCol w:w="114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9105" w:type="dxa"/>
            <w:tcBorders>
              <w:top w:val="single" w:sz="8" w:space="0" w:color="000000"/>
              <w:left w:val="single" w:sz="8" w:space="0" w:color="000000"/>
              <w:bottom w:val="nil"/>
              <w:right w:val="nil"/>
            </w:tcBorders>
            <w:shd w:val="clear" w:color="auto" w:fill="CCEEFF"/>
            <w:tcMar>
              <w:top w:w="0" w:type="dxa"/>
              <w:left w:w="53" w:type="dxa"/>
              <w:bottom w:w="0" w:type="dxa"/>
              <w:right w:w="53" w:type="dxa"/>
            </w:tcMar>
            <w:vAlign w:val="bottom"/>
          </w:tcPr>
          <w:p>
            <w:pPr>
              <w:keepNext/>
              <w:pageBreakBefore w:val="0"/>
              <w:tabs>
                <w:tab w:val="left" w:leader="dot" w:pos="9105"/>
              </w:tabs>
              <w:spacing w:before="55" w:after="30" w:line="240" w:lineRule="auto"/>
              <w:ind w:left="0"/>
              <w:jc w:val="left"/>
            </w:pPr>
            <w:r>
              <w:rPr>
                <w:rFonts w:ascii="Times New Roman" w:eastAsia="Times New Roman" w:hAnsi="Times New Roman" w:cs="Times New Roman"/>
                <w:color w:val="000000"/>
                <w:sz w:val="20"/>
              </w:rPr>
              <w:t>Computer Equipment</w:t>
            </w:r>
            <w:r>
              <w:rPr>
                <w:b w:val="0"/>
                <w:sz w:val="20"/>
              </w:rPr>
              <w:tab/>
            </w:r>
          </w:p>
        </w:tc>
        <w:tc>
          <w:tcPr>
            <w:tcW w:w="1140" w:type="dxa"/>
            <w:tcBorders>
              <w:top w:val="single" w:sz="8" w:space="0" w:color="000000"/>
              <w:left w:val="nil"/>
              <w:bottom w:val="nil"/>
              <w:right w:val="single" w:sz="8" w:space="0" w:color="000000"/>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3 years</w:t>
            </w:r>
          </w:p>
        </w:tc>
      </w:tr>
      <w:tr>
        <w:tblPrEx>
          <w:tblW w:w="10450" w:type="dxa"/>
          <w:jc w:val="left"/>
          <w:tblInd w:w="0" w:type="dxa"/>
          <w:tblCellMar>
            <w:left w:w="108" w:type="dxa"/>
            <w:right w:w="108" w:type="dxa"/>
          </w:tblCellMar>
        </w:tblPrEx>
        <w:trPr>
          <w:cantSplit/>
          <w:trHeight w:hRule="exact" w:val="285"/>
          <w:jc w:val="left"/>
        </w:trPr>
        <w:tc>
          <w:tcPr>
            <w:tcW w:w="91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pPr>
              <w:keepNext/>
              <w:pageBreakBefore w:val="0"/>
              <w:tabs>
                <w:tab w:val="left" w:leader="dot" w:pos="9105"/>
              </w:tabs>
              <w:spacing w:before="75" w:after="30" w:line="240" w:lineRule="auto"/>
              <w:ind w:left="0"/>
              <w:jc w:val="left"/>
            </w:pPr>
            <w:r>
              <w:rPr>
                <w:rFonts w:ascii="Times New Roman" w:eastAsia="Times New Roman" w:hAnsi="Times New Roman" w:cs="Times New Roman"/>
                <w:color w:val="000000"/>
                <w:sz w:val="20"/>
              </w:rPr>
              <w:t>Office Equipment</w:t>
            </w:r>
            <w:r>
              <w:rPr>
                <w:b w:val="0"/>
                <w:sz w:val="20"/>
              </w:rPr>
              <w:tab/>
            </w:r>
          </w:p>
        </w:tc>
        <w:tc>
          <w:tcPr>
            <w:tcW w:w="1140" w:type="dxa"/>
            <w:tcBorders>
              <w:top w:val="nil"/>
              <w:left w:val="nil"/>
              <w:bottom w:val="nil"/>
              <w:right w:val="single" w:sz="8" w:space="0" w:color="000000"/>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 xml:space="preserve"> - </w:t>
            </w:r>
            <w:r>
              <w:rPr>
                <w:rFonts w:ascii="Times New Roman" w:eastAsia="Times New Roman" w:hAnsi="Times New Roman" w:cs="Times New Roman"/>
                <w:sz w:val="20"/>
              </w:rPr>
              <w:t>10</w:t>
            </w:r>
            <w:r>
              <w:rPr>
                <w:rFonts w:ascii="Times New Roman" w:eastAsia="Times New Roman" w:hAnsi="Times New Roman" w:cs="Times New Roman"/>
                <w:sz w:val="20"/>
              </w:rPr>
              <w:t xml:space="preserve"> years</w:t>
            </w:r>
          </w:p>
        </w:tc>
      </w:tr>
      <w:tr>
        <w:tblPrEx>
          <w:tblW w:w="10450" w:type="dxa"/>
          <w:jc w:val="left"/>
          <w:tblInd w:w="0" w:type="dxa"/>
          <w:tblCellMar>
            <w:left w:w="108" w:type="dxa"/>
            <w:right w:w="108" w:type="dxa"/>
          </w:tblCellMar>
        </w:tblPrEx>
        <w:trPr>
          <w:cantSplit/>
          <w:trHeight w:hRule="exact" w:val="285"/>
          <w:jc w:val="left"/>
        </w:trPr>
        <w:tc>
          <w:tcPr>
            <w:tcW w:w="9105" w:type="dxa"/>
            <w:tcBorders>
              <w:top w:val="nil"/>
              <w:left w:val="single" w:sz="8" w:space="0" w:color="000000"/>
              <w:bottom w:val="single" w:sz="8" w:space="0" w:color="000000"/>
              <w:right w:val="nil"/>
            </w:tcBorders>
            <w:shd w:val="clear" w:color="auto" w:fill="CCEEFF"/>
            <w:tcMar>
              <w:top w:w="0" w:type="dxa"/>
              <w:left w:w="53" w:type="dxa"/>
              <w:bottom w:w="0" w:type="dxa"/>
              <w:right w:w="53" w:type="dxa"/>
            </w:tcMar>
            <w:vAlign w:val="bottom"/>
          </w:tcPr>
          <w:p>
            <w:pPr>
              <w:pageBreakBefore w:val="0"/>
              <w:tabs>
                <w:tab w:val="left" w:leader="dot" w:pos="9105"/>
              </w:tabs>
              <w:spacing w:before="75" w:after="30" w:line="240" w:lineRule="auto"/>
              <w:ind w:left="0"/>
              <w:jc w:val="left"/>
            </w:pPr>
            <w:r>
              <w:rPr>
                <w:rFonts w:ascii="Times New Roman" w:eastAsia="Times New Roman" w:hAnsi="Times New Roman" w:cs="Times New Roman"/>
                <w:color w:val="000000"/>
                <w:sz w:val="20"/>
              </w:rPr>
              <w:t>Furniture and Fixtures</w:t>
            </w:r>
            <w:r>
              <w:rPr>
                <w:b w:val="0"/>
                <w:sz w:val="20"/>
              </w:rPr>
              <w:tab/>
            </w:r>
          </w:p>
        </w:tc>
        <w:tc>
          <w:tcPr>
            <w:tcW w:w="1140" w:type="dxa"/>
            <w:tcBorders>
              <w:top w:val="nil"/>
              <w:left w:val="nil"/>
              <w:bottom w:val="single" w:sz="8" w:space="0" w:color="000000"/>
              <w:right w:val="single" w:sz="8" w:space="0" w:color="000000"/>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sz w:val="20"/>
              </w:rPr>
              <w:t>5</w:t>
            </w:r>
            <w:r>
              <w:rPr>
                <w:rFonts w:ascii="Times New Roman" w:eastAsia="Times New Roman" w:hAnsi="Times New Roman" w:cs="Times New Roman"/>
                <w:sz w:val="20"/>
              </w:rPr>
              <w:t xml:space="preserve"> - </w:t>
            </w:r>
            <w:r>
              <w:rPr>
                <w:rFonts w:ascii="Times New Roman" w:eastAsia="Times New Roman" w:hAnsi="Times New Roman" w:cs="Times New Roman"/>
                <w:sz w:val="20"/>
              </w:rPr>
              <w:t>10</w:t>
            </w:r>
            <w:r>
              <w:rPr>
                <w:rFonts w:ascii="Times New Roman" w:eastAsia="Times New Roman" w:hAnsi="Times New Roman" w:cs="Times New Roman"/>
                <w:sz w:val="20"/>
              </w:rPr>
              <w:t xml:space="preserve"> years</w:t>
            </w: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Leasehold improvements are amortized over the shorter of the term of the lease or the estimated useful lives of the improvements. Expenditures for repairs and maintenance are charged to expense as incurred. Expenditures for betterments and major improvements are capitalized and depreciated over the remaining useful lives of the assets. The carrying amounts of assets sold or retired and the related accumulated depreciation are eliminated in the year of disposal, with resulting gains or losses included in general and administrative expense in the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impairment charges associated with the Company’s long-lived tangible assets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Goodwill</w:t>
      </w:r>
    </w:p>
    <w:p>
      <w:pPr>
        <w:keepNext/>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Goodwill represents the excess of the consideration transferred for an acquired business over the fair value of the underlying identifiable net assets. The Company has goodwill in connection with its acquisitions of Ebyline, ZenContent and TapInfluence. Goodwill is not amortized but instead it is tested for impairment at least annually. In the event that management determines that the value of goodwill has become impaired, the Company will record a charge for the amount of impairment during the fiscal quarter in which the determination is made.</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performs its annual impairment tests of goodwill as of October 1 of each year, or more frequently, if certain indicators are present.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The Company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reporting unit as of </w:t>
      </w:r>
      <w:r>
        <w:rPr>
          <w:rFonts w:ascii="Times New Roman" w:eastAsia="Times New Roman" w:hAnsi="Times New Roman" w:cs="Times New Roman"/>
          <w:sz w:val="20"/>
        </w:rPr>
        <w:t>March 31, 2021</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Intangible Assets</w:t>
      </w:r>
    </w:p>
    <w:p>
      <w:pPr>
        <w:keepNext/>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acquired the majority of its intangible assets through its acquisitions of Ebyline, ZenContent, and TapInfluence. The Company is amortizing the identifiable intangible assets over periods of </w:t>
      </w:r>
      <w:r>
        <w:rPr>
          <w:rFonts w:ascii="Times New Roman" w:eastAsia="Times New Roman" w:hAnsi="Times New Roman" w:cs="Times New Roman"/>
          <w:sz w:val="20"/>
        </w:rPr>
        <w:t>12</w:t>
      </w:r>
      <w:r>
        <w:rPr>
          <w:rFonts w:ascii="Times New Roman" w:eastAsia="Times New Roman" w:hAnsi="Times New Roman" w:cs="Times New Roman"/>
          <w:sz w:val="20"/>
        </w:rPr>
        <w:t xml:space="preserve"> to </w:t>
      </w:r>
      <w:r>
        <w:rPr>
          <w:rFonts w:ascii="Times New Roman" w:eastAsia="Times New Roman" w:hAnsi="Times New Roman" w:cs="Times New Roman"/>
          <w:sz w:val="20"/>
        </w:rPr>
        <w:t>60</w:t>
      </w:r>
      <w:r>
        <w:rPr>
          <w:rFonts w:ascii="Times New Roman" w:eastAsia="Times New Roman" w:hAnsi="Times New Roman" w:cs="Times New Roman"/>
          <w:sz w:val="20"/>
        </w:rPr>
        <w:t xml:space="preserve"> months. See Note 3 for further details.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Management reviews long-lived assets, including property and equipment, software development costs and other intangible assets, for impairment whenever events or changes in circumstances indicate that their carrying amounts may not be recoverable. If an evaluation is required, the estimated future undiscounted cash flows associated with the asset are compared with the asset's carrying amount to determine if there has been an impairment, which is calculated as the difference between the fair value of the asset and the carrying value. Estimates of future undiscounted cash flows are based on expected growth rates for the business, anticipated future economic conditions and estimates of residual values. Fair values take into consideration management estimates of risk-adjusted discount rates, which are believed to be consistent with assumptions that marketplace participants would use in their estimates of fair value. </w:t>
      </w:r>
      <w:r>
        <w:rPr>
          <w:rFonts w:ascii="Times New Roman" w:eastAsia="Times New Roman" w:hAnsi="Times New Roman" w:cs="Times New Roman"/>
          <w:sz w:val="20"/>
        </w:rPr>
        <w:t xml:space="preserve">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impairment charges associated with the Company’s acquired intangible assets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Software Development Costs</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In accordance with Accounting Standards Codification (“ASC”) 350-40,</w:t>
      </w:r>
      <w:r>
        <w:rPr>
          <w:rFonts w:ascii="Times New Roman" w:eastAsia="Times New Roman" w:hAnsi="Times New Roman" w:cs="Times New Roman"/>
          <w:i/>
          <w:sz w:val="20"/>
        </w:rPr>
        <w:t xml:space="preserve"> Internal Use Software,</w:t>
      </w:r>
      <w:r>
        <w:rPr>
          <w:rFonts w:ascii="Times New Roman" w:eastAsia="Times New Roman" w:hAnsi="Times New Roman" w:cs="Times New Roman"/>
          <w:sz w:val="20"/>
        </w:rPr>
        <w:t xml:space="preserve"> the Company capitalizes certain internal use software development costs associated with creating and enhancing internally developed software related to its platforms. Software development activities generally consist of three stages (i) the research and planning stage, (ii) the application and development stage, and (iii) the post-implementation stage. Costs incurred in the research and planning stage and in the post-implementation stage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The Company also capitalizes certain costs associated with cloud computing arrangements ("CCAs"). </w:t>
      </w:r>
      <w:r>
        <w:rPr>
          <w:rFonts w:ascii="Times New Roman" w:eastAsia="Times New Roman" w:hAnsi="Times New Roman" w:cs="Times New Roman"/>
          <w:sz w:val="20"/>
        </w:rPr>
        <w:t>S</w:t>
      </w:r>
      <w:r>
        <w:rPr>
          <w:rFonts w:ascii="Times New Roman" w:eastAsia="Times New Roman" w:hAnsi="Times New Roman" w:cs="Times New Roman"/>
          <w:sz w:val="20"/>
        </w:rPr>
        <w:t xml:space="preserve">oftware development, acquired technology, and CCA costs are amortized on a straight-line basis over the estimated useful life of </w:t>
      </w:r>
      <w:r>
        <w:rPr>
          <w:rFonts w:ascii="Times New Roman" w:eastAsia="Times New Roman" w:hAnsi="Times New Roman" w:cs="Times New Roman"/>
          <w:sz w:val="20"/>
        </w:rPr>
        <w:t>five years</w:t>
      </w:r>
      <w:r>
        <w:rPr>
          <w:rFonts w:ascii="Times New Roman" w:eastAsia="Times New Roman" w:hAnsi="Times New Roman" w:cs="Times New Roman"/>
          <w:sz w:val="20"/>
        </w:rPr>
        <w:t xml:space="preserve"> upon initial release of the software or additional features. The Company reviews the software development costs for impairment when circumstances indicate that their carrying amounts may not be recoverable. If the carrying value of an asset group is not recoverable, the Company recognizes an impairment loss for the excess of carrying value over the fair value in its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See Note 4 for further details.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Leases</w:t>
      </w:r>
    </w:p>
    <w:p>
      <w:pPr>
        <w:keepNext w:val="0"/>
        <w:keepLines/>
        <w:pageBreakBefore w:val="0"/>
        <w:widowControl w:val="0"/>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On January 1, 2019, the Company adopted Accounting Standards Update (“ASU”) No. 2016-02,</w:t>
      </w:r>
      <w:r>
        <w:rPr>
          <w:rFonts w:ascii="Times New Roman" w:eastAsia="Times New Roman" w:hAnsi="Times New Roman" w:cs="Times New Roman"/>
          <w:i/>
          <w:sz w:val="20"/>
        </w:rPr>
        <w:t xml:space="preserve"> Leases (Topic 842)</w:t>
      </w:r>
      <w:r>
        <w:rPr>
          <w:rFonts w:ascii="Times New Roman" w:eastAsia="Times New Roman" w:hAnsi="Times New Roman" w:cs="Times New Roman"/>
          <w:sz w:val="20"/>
        </w:rPr>
        <w:t xml:space="preserve">, which established a right-of-use model that requires a lessee to record a right-of-use asset and a right-of-use liability on the balance sheet for all leases with terms longer than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Leases are classified as either finance or operating, with classification affecting the pattern of expense recognition in the income statement. The Company does not record leases on the balance sheet that have a lease term of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or less at the commencement date.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Revenue Recognition</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generate</w:t>
      </w:r>
      <w:r>
        <w:rPr>
          <w:rFonts w:ascii="Times New Roman" w:eastAsia="Times New Roman" w:hAnsi="Times New Roman" w:cs="Times New Roman"/>
          <w:sz w:val="20"/>
        </w:rPr>
        <w:t>s</w:t>
      </w:r>
      <w:r>
        <w:rPr>
          <w:rFonts w:ascii="Times New Roman" w:eastAsia="Times New Roman" w:hAnsi="Times New Roman" w:cs="Times New Roman"/>
          <w:sz w:val="20"/>
        </w:rPr>
        <w:t xml:space="preserve"> revenue from </w:t>
      </w:r>
      <w:r>
        <w:rPr>
          <w:rFonts w:ascii="Times New Roman" w:eastAsia="Times New Roman" w:hAnsi="Times New Roman" w:cs="Times New Roman"/>
          <w:sz w:val="20"/>
        </w:rPr>
        <w:t>four</w:t>
      </w:r>
      <w:r>
        <w:rPr>
          <w:rFonts w:ascii="Times New Roman" w:eastAsia="Times New Roman" w:hAnsi="Times New Roman" w:cs="Times New Roman"/>
          <w:sz w:val="20"/>
        </w:rPr>
        <w:t xml:space="preserve"> primary sources: (1) revenue from its managed services when a marketer (typically a brand, agency or partner) pays the Company to provide custom content, influencer marketing, amplification or other campaign management services (“Managed Services”); (2) revenue from fees charged to software customers on their marketplace spend within the Company's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platforms (“Marketplace Spend Fees”); (3) revenue from </w:t>
      </w:r>
      <w:r>
        <w:rPr>
          <w:rFonts w:ascii="Times New Roman" w:eastAsia="Times New Roman" w:hAnsi="Times New Roman" w:cs="Times New Roman"/>
          <w:sz w:val="20"/>
        </w:rPr>
        <w:t xml:space="preserve">license </w:t>
      </w:r>
      <w:r>
        <w:rPr>
          <w:rFonts w:ascii="Times New Roman" w:eastAsia="Times New Roman" w:hAnsi="Times New Roman" w:cs="Times New Roman"/>
          <w:sz w:val="20"/>
        </w:rPr>
        <w:t xml:space="preserve">and subscription </w:t>
      </w:r>
      <w:r>
        <w:rPr>
          <w:rFonts w:ascii="Times New Roman" w:eastAsia="Times New Roman" w:hAnsi="Times New Roman" w:cs="Times New Roman"/>
          <w:sz w:val="20"/>
        </w:rPr>
        <w:t xml:space="preserve">fees charged to access the </w:t>
      </w:r>
      <w:r>
        <w:rPr>
          <w:rFonts w:ascii="Times New Roman" w:eastAsia="Times New Roman" w:hAnsi="Times New Roman" w:cs="Times New Roman"/>
          <w:i/>
          <w:sz w:val="20"/>
        </w:rPr>
        <w:t>IZEAx</w:t>
      </w:r>
      <w:r>
        <w:rPr>
          <w:rFonts w:ascii="Times New Roman" w:eastAsia="Times New Roman" w:hAnsi="Times New Roman" w:cs="Times New Roman"/>
          <w:i/>
          <w:sz w:val="20"/>
        </w:rPr>
        <w:t xml:space="preserve"> </w:t>
      </w:r>
      <w:r>
        <w:rPr>
          <w:rFonts w:ascii="Times New Roman" w:eastAsia="Times New Roman" w:hAnsi="Times New Roman" w:cs="Times New Roman"/>
          <w:sz w:val="20"/>
        </w:rPr>
        <w:t>and</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platforms</w:t>
      </w:r>
      <w:r>
        <w:rPr>
          <w:rFonts w:ascii="Times New Roman" w:eastAsia="Times New Roman" w:hAnsi="Times New Roman" w:cs="Times New Roman"/>
          <w:sz w:val="20"/>
        </w:rPr>
        <w:t xml:space="preserve"> (“License Fees”); </w:t>
      </w:r>
      <w:r>
        <w:rPr>
          <w:rFonts w:ascii="Times New Roman" w:eastAsia="Times New Roman" w:hAnsi="Times New Roman" w:cs="Times New Roman"/>
          <w:sz w:val="20"/>
        </w:rPr>
        <w:t>and (</w:t>
      </w:r>
      <w:r>
        <w:rPr>
          <w:rFonts w:ascii="Times New Roman" w:eastAsia="Times New Roman" w:hAnsi="Times New Roman" w:cs="Times New Roman"/>
          <w:sz w:val="20"/>
        </w:rPr>
        <w:t>4</w:t>
      </w:r>
      <w:r>
        <w:rPr>
          <w:rFonts w:ascii="Times New Roman" w:eastAsia="Times New Roman" w:hAnsi="Times New Roman" w:cs="Times New Roman"/>
          <w:sz w:val="20"/>
        </w:rPr>
        <w:t xml:space="preserve">) revenue derived from other fees such as inactivity fees, early cash-out fees, and </w:t>
      </w:r>
      <w:r>
        <w:rPr>
          <w:rFonts w:ascii="Times New Roman" w:eastAsia="Times New Roman" w:hAnsi="Times New Roman" w:cs="Times New Roman"/>
          <w:sz w:val="20"/>
        </w:rPr>
        <w:t>other miscellaneous</w:t>
      </w:r>
      <w:r>
        <w:rPr>
          <w:rFonts w:ascii="Times New Roman" w:eastAsia="Times New Roman" w:hAnsi="Times New Roman" w:cs="Times New Roman"/>
          <w:sz w:val="20"/>
        </w:rPr>
        <w:t xml:space="preserve"> fees charged to users of the Company's platforms (“Other</w:t>
      </w:r>
      <w:r>
        <w:rPr>
          <w:rFonts w:ascii="Times New Roman" w:eastAsia="Times New Roman" w:hAnsi="Times New Roman" w:cs="Times New Roman"/>
          <w:sz w:val="20"/>
        </w:rPr>
        <w:t xml:space="preserve"> Fees</w:t>
      </w:r>
      <w:r>
        <w:rPr>
          <w:rFonts w:ascii="Times New Roman" w:eastAsia="Times New Roman" w:hAnsi="Times New Roman" w:cs="Times New Roman"/>
          <w:sz w:val="20"/>
        </w:rPr>
        <w:t xml:space="preserve">”). </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recognizes revenue in accordance with Accounting Standards Codification Topic 606, </w:t>
      </w:r>
      <w:r>
        <w:rPr>
          <w:rFonts w:ascii="Times New Roman" w:eastAsia="Times New Roman" w:hAnsi="Times New Roman" w:cs="Times New Roman"/>
          <w:i/>
          <w:sz w:val="20"/>
        </w:rPr>
        <w:t xml:space="preserve">Revenue from Contracts with Customers </w:t>
      </w:r>
      <w:r>
        <w:rPr>
          <w:rFonts w:ascii="Times New Roman" w:eastAsia="Times New Roman" w:hAnsi="Times New Roman" w:cs="Times New Roman"/>
          <w:sz w:val="20"/>
        </w:rPr>
        <w:t>(“ASC 606”). Under ASC 606, revenue is recognized based on a five-step model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is recognized when the transfer of promised goods or services to customers is made in an amount that reflects the consideration to which the entity expects to be entitled in exchange for those goods or services. The Company applies the five-step model to contracts when it is probable that it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distinct performance obligations. The Company also determines whether it acts as an agent or a principal for each identified performance obligation. The determination of whether the Company acts as the principal or the agent is highly subjective and requires the Company to evaluate a number of indicators individually and as a whole in order to make its determination</w:t>
      </w:r>
      <w:r>
        <w:rPr>
          <w:rFonts w:ascii="Times New Roman" w:eastAsia="Times New Roman" w:hAnsi="Times New Roman" w:cs="Times New Roman"/>
          <w:sz w:val="22"/>
        </w:rPr>
        <w:t xml:space="preserve">. </w:t>
      </w:r>
      <w:r>
        <w:rPr>
          <w:rFonts w:ascii="Times New Roman" w:eastAsia="Times New Roman" w:hAnsi="Times New Roman" w:cs="Times New Roman"/>
          <w:sz w:val="20"/>
        </w:rPr>
        <w:t>For transactions in which the Company acts as a principal, revenue is reported on a gross basis as the amount paid by the marketer for the purchase of content or sponsorship, promotion and other related services and the Company records the amounts it pays to third-party creators as cost of revenue. For transactions in which the Company acts as an agent, revenue is reported on a net basis as the amount the Company charged to the self-service marketer using the Company’s platforms, less the amounts paid to the third-party creators providing the service.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maintains separate arrangements with each marketer and content creator either in the form of a master agreement or terms of service, which specify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the Company to manage their advertising campaigns or custom content requests may prepay for services or request credit terms. Payment terms are typically </w:t>
      </w:r>
      <w:r>
        <w:rPr>
          <w:rFonts w:ascii="Times New Roman" w:eastAsia="Times New Roman" w:hAnsi="Times New Roman" w:cs="Times New Roman"/>
          <w:sz w:val="20"/>
        </w:rPr>
        <w:t>30</w:t>
      </w:r>
      <w:r>
        <w:rPr>
          <w:rFonts w:ascii="Times New Roman" w:eastAsia="Times New Roman" w:hAnsi="Times New Roman" w:cs="Times New Roman"/>
          <w:sz w:val="20"/>
        </w:rPr>
        <w:t xml:space="preserve"> days from the invoice date. The agreement typically provides for either a non-refundable deposit, or a cancellation fee if the agreement is canceled by the customer prior to completion of services. Billings in advance of completed services are recorded as a contract liability until earned. The Company assesses collectibility based on a number of factors, including the creditworthiness of the customer and payment and transaction history.</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b/>
          <w:i/>
          <w:sz w:val="20"/>
        </w:rPr>
        <w:t>Managed Services Revenue</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For Managed Services Revenue, the Company enters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The Company may provide one type or a combination of all types of these performance obligations on a statement of work for a lump sum fee. The Company allocates revenue to each performance obligation in the contract at inception based on its relative standalone selling price. These performance obligations are to be provided over a stated period that generally ranges from one day to one year. Revenue is accounted for when the performance obligation has been satisfied depending on the type of service provided. The Company views its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 the Company has no alternative for the custom content, and the Company has an enforceable right to payment for performance completed to date under the contracts. The Company considers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the Company’s evaluations, revenue from Managed Services is reported on a gross basis because the Company has the primary obligation to fulfill the performance obligations and it creates, reviews, and controls the services. The Company takes on the risk of payment to any third-party creators, and it establishes the contract price directly with its customers based on the services requested in the statement of work.</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Marketplace Spend Fees </w:t>
      </w: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sz w:val="20"/>
        </w:rPr>
        <w:t>For Marketplace Spend Fees</w:t>
      </w:r>
      <w:r>
        <w:rPr>
          <w:rFonts w:ascii="Times New Roman" w:eastAsia="Times New Roman" w:hAnsi="Times New Roman" w:cs="Times New Roman"/>
          <w:sz w:val="20"/>
        </w:rPr>
        <w:t xml:space="preserve"> </w:t>
      </w:r>
      <w:r>
        <w:rPr>
          <w:rFonts w:ascii="Times New Roman" w:eastAsia="Times New Roman" w:hAnsi="Times New Roman" w:cs="Times New Roman"/>
          <w:sz w:val="20"/>
        </w:rPr>
        <w:t>Revenue, the self-service customer</w:t>
      </w:r>
      <w:r>
        <w:rPr>
          <w:rFonts w:ascii="Times New Roman" w:eastAsia="Times New Roman" w:hAnsi="Times New Roman" w:cs="Times New Roman"/>
          <w:sz w:val="20"/>
        </w:rPr>
        <w:t>s</w:t>
      </w:r>
      <w:r>
        <w:rPr>
          <w:rFonts w:ascii="Times New Roman" w:eastAsia="Times New Roman" w:hAnsi="Times New Roman" w:cs="Times New Roman"/>
          <w:sz w:val="20"/>
        </w:rPr>
        <w:t xml:space="preserve"> </w:t>
      </w:r>
      <w:r>
        <w:rPr>
          <w:rFonts w:ascii="Times New Roman" w:eastAsia="Times New Roman" w:hAnsi="Times New Roman" w:cs="Times New Roman"/>
          <w:sz w:val="20"/>
        </w:rPr>
        <w:t>instruct</w:t>
      </w:r>
      <w:r>
        <w:rPr>
          <w:rFonts w:ascii="Times New Roman" w:eastAsia="Times New Roman" w:hAnsi="Times New Roman" w:cs="Times New Roman"/>
          <w:sz w:val="20"/>
        </w:rPr>
        <w:t xml:space="preserve"> creators found through the Company’s</w:t>
      </w:r>
      <w:r>
        <w:rPr>
          <w:rFonts w:ascii="Times New Roman" w:eastAsia="Times New Roman" w:hAnsi="Times New Roman" w:cs="Times New Roman"/>
          <w:sz w:val="20"/>
        </w:rPr>
        <w:t xml:space="preserv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platforms to provide and/or distribute custom content for an agreed upon transaction price. The Company’s platforms control the contracting, description of services, acceptance of and payment for the requested content. This service is used primarily by </w:t>
      </w:r>
      <w:r>
        <w:rPr>
          <w:rFonts w:ascii="Times New Roman" w:eastAsia="Times New Roman" w:hAnsi="Times New Roman" w:cs="Times New Roman"/>
          <w:sz w:val="20"/>
        </w:rPr>
        <w:t>news agencies or</w:t>
      </w:r>
      <w:r>
        <w:rPr>
          <w:rFonts w:ascii="Times New Roman" w:eastAsia="Times New Roman" w:hAnsi="Times New Roman" w:cs="Times New Roman"/>
          <w:sz w:val="20"/>
        </w:rPr>
        <w:t xml:space="preserve"> marketers to control the outsourcing of their content and advertising needs. The Company charges the self-service customer the transaction price plus a fee based on the contract. Revenue is recognized when the transaction is completed by the creator and accepted by the marketer or verified as posted by the system. Based on the Company’s evaluations, this revenue is reported on a net basis since the Company is acting as an agent </w:t>
      </w:r>
      <w:r>
        <w:rPr>
          <w:rFonts w:ascii="Times New Roman" w:eastAsia="Times New Roman" w:hAnsi="Times New Roman" w:cs="Times New Roman"/>
          <w:sz w:val="20"/>
        </w:rPr>
        <w:t xml:space="preserve">through </w:t>
      </w:r>
      <w:r>
        <w:rPr>
          <w:rFonts w:ascii="Times New Roman" w:eastAsia="Times New Roman" w:hAnsi="Times New Roman" w:cs="Times New Roman"/>
          <w:sz w:val="20"/>
        </w:rPr>
        <w:t>its</w:t>
      </w:r>
      <w:r>
        <w:rPr>
          <w:rFonts w:ascii="Times New Roman" w:eastAsia="Times New Roman" w:hAnsi="Times New Roman" w:cs="Times New Roman"/>
          <w:sz w:val="20"/>
        </w:rPr>
        <w:t xml:space="preserve"> platform </w:t>
      </w:r>
      <w:r>
        <w:rPr>
          <w:rFonts w:ascii="Times New Roman" w:eastAsia="Times New Roman" w:hAnsi="Times New Roman" w:cs="Times New Roman"/>
          <w:sz w:val="20"/>
        </w:rPr>
        <w:t>for the third-party creator</w:t>
      </w:r>
      <w:r>
        <w:rPr>
          <w:rFonts w:ascii="Times New Roman" w:eastAsia="Times New Roman" w:hAnsi="Times New Roman" w:cs="Times New Roman"/>
          <w:sz w:val="20"/>
        </w:rPr>
        <w:t xml:space="preserve"> to provide the services </w:t>
      </w:r>
      <w:r>
        <w:rPr>
          <w:rFonts w:ascii="Times New Roman" w:eastAsia="Times New Roman" w:hAnsi="Times New Roman" w:cs="Times New Roman"/>
          <w:sz w:val="20"/>
        </w:rPr>
        <w:t xml:space="preserve">or content </w:t>
      </w:r>
      <w:r>
        <w:rPr>
          <w:rFonts w:ascii="Times New Roman" w:eastAsia="Times New Roman" w:hAnsi="Times New Roman" w:cs="Times New Roman"/>
          <w:sz w:val="20"/>
        </w:rPr>
        <w:t xml:space="preserve">directly to the self-service customer </w:t>
      </w:r>
      <w:r>
        <w:rPr>
          <w:rFonts w:ascii="Times New Roman" w:eastAsia="Times New Roman" w:hAnsi="Times New Roman" w:cs="Times New Roman"/>
          <w:sz w:val="20"/>
        </w:rPr>
        <w:t xml:space="preserve">or </w:t>
      </w:r>
      <w:r>
        <w:rPr>
          <w:rFonts w:ascii="Times New Roman" w:eastAsia="Times New Roman" w:hAnsi="Times New Roman" w:cs="Times New Roman"/>
          <w:sz w:val="20"/>
        </w:rPr>
        <w:t>to</w:t>
      </w:r>
      <w:r>
        <w:rPr>
          <w:rFonts w:ascii="Times New Roman" w:eastAsia="Times New Roman" w:hAnsi="Times New Roman" w:cs="Times New Roman"/>
          <w:sz w:val="20"/>
        </w:rPr>
        <w:t xml:space="preserve"> post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approved </w:t>
      </w:r>
      <w:r>
        <w:rPr>
          <w:rFonts w:ascii="Times New Roman" w:eastAsia="Times New Roman" w:hAnsi="Times New Roman" w:cs="Times New Roman"/>
          <w:sz w:val="20"/>
        </w:rPr>
        <w:t>content</w:t>
      </w:r>
      <w:r>
        <w:rPr>
          <w:rFonts w:ascii="Times New Roman" w:eastAsia="Times New Roman" w:hAnsi="Times New Roman" w:cs="Times New Roman"/>
          <w:sz w:val="20"/>
        </w:rPr>
        <w:t xml:space="preserve"> through one or more social media </w:t>
      </w:r>
      <w:r>
        <w:rPr>
          <w:rFonts w:ascii="Times New Roman" w:eastAsia="Times New Roman" w:hAnsi="Times New Roman" w:cs="Times New Roman"/>
          <w:sz w:val="20"/>
        </w:rPr>
        <w:t>platforms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License Fees Revenue</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License Fees Revenue is generated through the granting of limited, non-exclusive, non-transferable licenses to customers for the use of the </w:t>
      </w:r>
      <w:r>
        <w:rPr>
          <w:rFonts w:ascii="Times New Roman" w:eastAsia="Times New Roman" w:hAnsi="Times New Roman" w:cs="Times New Roman"/>
          <w:i/>
          <w:sz w:val="20"/>
        </w:rPr>
        <w:t>IZEAx, BrandGraph,</w:t>
      </w:r>
      <w:r>
        <w:rPr>
          <w:rFonts w:ascii="Times New Roman" w:eastAsia="Times New Roman" w:hAnsi="Times New Roman" w:cs="Times New Roman"/>
          <w:sz w:val="20"/>
        </w:rPr>
        <w:t xml:space="preserve"> and until February 2020,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platforms for an agreed-upon subscription period. </w:t>
      </w:r>
      <w:r>
        <w:rPr>
          <w:rFonts w:ascii="Times New Roman" w:eastAsia="Times New Roman" w:hAnsi="Times New Roman" w:cs="Times New Roman"/>
          <w:sz w:val="20"/>
        </w:rPr>
        <w:t xml:space="preserve">Customers may also </w:t>
      </w:r>
      <w:r>
        <w:rPr>
          <w:rFonts w:ascii="Times New Roman" w:eastAsia="Times New Roman" w:hAnsi="Times New Roman" w:cs="Times New Roman"/>
          <w:sz w:val="20"/>
        </w:rPr>
        <w:t xml:space="preserve">separately </w:t>
      </w:r>
      <w:r>
        <w:rPr>
          <w:rFonts w:ascii="Times New Roman" w:eastAsia="Times New Roman" w:hAnsi="Times New Roman" w:cs="Times New Roman"/>
          <w:sz w:val="20"/>
        </w:rPr>
        <w:t>subscri</w:t>
      </w:r>
      <w:r>
        <w:rPr>
          <w:rFonts w:ascii="Times New Roman" w:eastAsia="Times New Roman" w:hAnsi="Times New Roman" w:cs="Times New Roman"/>
          <w:sz w:val="20"/>
        </w:rPr>
        <w:t>be to</w:t>
      </w:r>
      <w:r>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w:t>
      </w:r>
      <w:r>
        <w:rPr>
          <w:rFonts w:ascii="Times New Roman" w:eastAsia="Times New Roman" w:hAnsi="Times New Roman" w:cs="Times New Roman"/>
          <w:i/>
          <w:sz w:val="20"/>
        </w:rPr>
        <w:t>IZEAx Discovery</w:t>
      </w:r>
      <w:r>
        <w:rPr>
          <w:rFonts w:ascii="Times New Roman" w:eastAsia="Times New Roman" w:hAnsi="Times New Roman" w:cs="Times New Roman"/>
          <w:sz w:val="20"/>
        </w:rPr>
        <w:t xml:space="preserve"> service within the</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platform. </w:t>
      </w:r>
      <w:r>
        <w:rPr>
          <w:rFonts w:ascii="Times New Roman" w:eastAsia="Times New Roman" w:hAnsi="Times New Roman" w:cs="Times New Roman"/>
          <w:sz w:val="20"/>
        </w:rPr>
        <w:t>Customers license the platforms to manage their own influencer marketing campaigns. Fees for subscription or licensing services are recognized straight-line over the term of the service.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Fees Revenue</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Other Fees Revenue is generated when fees are charged to the Company’s platform users primarily related to monthly plan fees, inactivity fees, and early cash-out fees. Plan fees are recognized within the month they relate to, inactivity fees are recognized at a point in time when the account is deemed inactive, and early cash-out fees are recognized when a cash-out is either below certain minimum thresholds or when accelerated payout timing is requested. </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does not typically engage in contracts that are longer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Therefore, the Company does not capitalize costs to obtain its customer contracts as these amounts generally would be recognized over a period of less than one year and are not material.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Advertising Costs</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Advertising costs are charged to expense as they are incurred, including payments to content creators to promote the Company. Advertising costs charged to operations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were approximately </w:t>
      </w:r>
      <w:r>
        <w:rPr>
          <w:rFonts w:ascii="Times New Roman" w:eastAsia="Times New Roman" w:hAnsi="Times New Roman" w:cs="Times New Roman"/>
          <w:sz w:val="20"/>
        </w:rPr>
        <w:t>$442,000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$168,000</w:t>
      </w:r>
      <w:r>
        <w:rPr>
          <w:rFonts w:ascii="Times New Roman" w:eastAsia="Times New Roman" w:hAnsi="Times New Roman" w:cs="Times New Roman"/>
          <w:sz w:val="20"/>
        </w:rPr>
        <w:t>, respectively</w:t>
      </w:r>
      <w:r>
        <w:rPr>
          <w:rFonts w:ascii="Times New Roman" w:eastAsia="Times New Roman" w:hAnsi="Times New Roman" w:cs="Times New Roman"/>
          <w:sz w:val="20"/>
        </w:rPr>
        <w:t>. Advertising costs are included in sales and marketing expense in the accompanying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Income Taxes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has not recorded federal income tax expense due to its history of net operating losses. Deferred income taxes are accounted for using the balance sheet approach, which requires recognition of deferred tax assets and liabilities for the expected future consequences of temporary differences between the financial reporting basis and the tax basis of assets and liabilities. A valuation allowance is provided when it is more likely than not that a deferred tax asset will not be realized. The Company incurs minimal state franchise tax in four states, which is included in general and administrative expense in the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identifies and evaluates uncertain tax positions, if any, and recognizes the impact of uncertain tax positions for which there is a less than more-likely-than-not probability of the position being upheld when reviewed by the relevant taxing authority. Such positions are deemed to be unrecognized tax benefits and a corresponding liability is established on the balance sheet. The Company has not recognized a liability for uncertain tax positions. If there were an unrecognized tax benefit, the Company would recognize interest accrued related to unrecognized tax benefits in interest expense and penalties in operating expenses. The Company’s tax years subject to examination by the Internal Revenue Service are 201</w:t>
      </w:r>
      <w:r>
        <w:rPr>
          <w:rFonts w:ascii="Times New Roman" w:eastAsia="Times New Roman" w:hAnsi="Times New Roman" w:cs="Times New Roman"/>
          <w:sz w:val="20"/>
        </w:rPr>
        <w:t>7</w:t>
      </w:r>
      <w:r>
        <w:rPr>
          <w:rFonts w:ascii="Times New Roman" w:eastAsia="Times New Roman" w:hAnsi="Times New Roman" w:cs="Times New Roman"/>
          <w:sz w:val="20"/>
        </w:rPr>
        <w:t xml:space="preserve"> through 20</w:t>
      </w:r>
      <w:r>
        <w:rPr>
          <w:rFonts w:ascii="Times New Roman" w:eastAsia="Times New Roman" w:hAnsi="Times New Roman" w:cs="Times New Roman"/>
          <w:sz w:val="20"/>
        </w:rPr>
        <w:t>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March 2020, the CARES Act was signed into law. The CARES Act, among other things, includes provisions relating to refundable payroll tax credits, deferment of employer side social security payments, net operating loss carryback periods, alternative minimum tax credit refunds, modifications to the net interest deduction limitations, increased limitations on qualified charitable contributions, and technical corrections to tax depreciation methods for qualified improvement property. It also appropriated funds for the PPP loans that are forgivable in certain situations to promote continued employment, as well as Economic Injury Disaster Loans to provide liquidity to small businesses harmed by COVID-19. The Company is currently seeking forgiveness of </w:t>
      </w:r>
      <w:r>
        <w:rPr>
          <w:rFonts w:ascii="Times New Roman" w:eastAsia="Times New Roman" w:hAnsi="Times New Roman" w:cs="Times New Roman"/>
          <w:sz w:val="20"/>
        </w:rPr>
        <w:t xml:space="preserve">the full amount of </w:t>
      </w:r>
      <w:r>
        <w:rPr>
          <w:rFonts w:ascii="Times New Roman" w:eastAsia="Times New Roman" w:hAnsi="Times New Roman" w:cs="Times New Roman"/>
          <w:sz w:val="20"/>
        </w:rPr>
        <w:t>its PPP loan which, if approved, would result in non-taxable income on the forgiveness of debt.</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Fair Value of Financial Instruments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Company’s financial instruments are recorded at fair value. Fair value is defined as the exchange price that would be received for an asset or paid to transfer a liability (an exit price) in the principal or most advantageous market for the asset or liability in an orderly transaction between market participants on the measurement date. The valuation techniques are based on observable and unobservable inputs. Observable inputs reflect readily obtainable data from independent sources, while unobservable inputs reflect certain market assumptions. There are three levels of inputs that may be used to measure fair value: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4"/>
        </w:numPr>
        <w:spacing w:before="0" w:after="6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1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quoted market prices in active markets for identical assets and liabilities.</w:t>
      </w:r>
    </w:p>
    <w:p>
      <w:pPr>
        <w:keepNext w:val="0"/>
        <w:keepLines w:val="0"/>
        <w:pageBreakBefore w:val="0"/>
        <w:widowControl/>
        <w:numPr>
          <w:ilvl w:val="0"/>
          <w:numId w:val="4"/>
        </w:numPr>
        <w:spacing w:before="0" w:after="6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2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quoted market prices for similar assets and liabilities in active markets.</w:t>
      </w:r>
    </w:p>
    <w:p>
      <w:pPr>
        <w:keepNext w:val="0"/>
        <w:keepLines w:val="0"/>
        <w:pageBreakBefore w:val="0"/>
        <w:widowControl/>
        <w:numPr>
          <w:ilvl w:val="0"/>
          <w:numId w:val="4"/>
        </w:numPr>
        <w:spacing w:before="0" w:after="18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3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unobservable inputs that are supported by little or no market activity, therefore requiring management’s best estimate of what market participants would use as fair value.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Fair value estimates discussed herein are based upon certain market assumptions and pertinent information available to management. The Company does not have any Level 1, 2 or 3 financial assets or liabilities. The respective carrying values of certain on-balance-sheet financial instruments approximated their fair values due to the short-term nature of these instruments. These financial instruments include cash and cash equivalents, accounts receivable, accounts payable, contract liabilities, and accrued expenses. Unless otherwise disclosed, the fair values of the Company’s long-term debt obligations approximate their carrying value based upon current rates available to the Company.</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Stock-Based Compensation</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Stock-based compensation cost related to stock options granted under the 2011 Equity Incentive Plan, as amended</w:t>
      </w:r>
      <w:r>
        <w:rPr>
          <w:rFonts w:ascii="Times New Roman" w:eastAsia="Times New Roman" w:hAnsi="Times New Roman" w:cs="Times New Roman"/>
          <w:sz w:val="20"/>
        </w:rPr>
        <w:t xml:space="preserve"> and </w:t>
      </w:r>
      <w:r>
        <w:rPr>
          <w:rFonts w:ascii="Times New Roman" w:eastAsia="Times New Roman" w:hAnsi="Times New Roman" w:cs="Times New Roman"/>
          <w:sz w:val="20"/>
        </w:rPr>
        <w:t xml:space="preserve">restated, </w:t>
      </w:r>
      <w:r>
        <w:rPr>
          <w:rFonts w:ascii="Times New Roman" w:eastAsia="Times New Roman" w:hAnsi="Times New Roman" w:cs="Times New Roman"/>
          <w:sz w:val="20"/>
        </w:rPr>
        <w:t>the 2011 B Equity Incentive Plan (together, the “2011 Equity Incentive Plans”) (see Note 8) is measured at the grant date, based on the fair value of the award, and is recognized as expense over the employee’s requisite service period on a straight-line basis. The Company estimates the fair value of each option award on the date of grant using a Black-Scholes option-pricing model that uses the assumptions noted in the table below. The Company uses the simplified method to estimate the expected term of employee stock options, because it does not believe historical exercise data will provide a reasonable basis for estimating the expected term for the current share options granted. The simplified method assumes that employees will exercise share options evenly between the period when the share options are vested and ending on the date when the options would expire. The Company uses the closing stock price of its common stock on the date of the grant as the associated fair value of its common stock. </w:t>
      </w:r>
      <w:r>
        <w:rPr>
          <w:rFonts w:ascii="Times New Roman" w:eastAsia="Times New Roman" w:hAnsi="Times New Roman" w:cs="Times New Roman"/>
          <w:sz w:val="20"/>
        </w:rPr>
        <w:t>T</w:t>
      </w:r>
      <w:r>
        <w:rPr>
          <w:rFonts w:ascii="Times New Roman" w:eastAsia="Times New Roman" w:hAnsi="Times New Roman" w:cs="Times New Roman"/>
          <w:sz w:val="20"/>
        </w:rPr>
        <w:t>he Company estimates the volatility of its common stock at the date of grant based on the</w:t>
      </w:r>
      <w:r>
        <w:rPr>
          <w:rFonts w:ascii="Times New Roman" w:eastAsia="Times New Roman" w:hAnsi="Times New Roman" w:cs="Times New Roman"/>
          <w:sz w:val="20"/>
        </w:rPr>
        <w:t xml:space="preserve"> historical</w:t>
      </w:r>
      <w:r>
        <w:rPr>
          <w:rFonts w:ascii="Times New Roman" w:eastAsia="Times New Roman" w:hAnsi="Times New Roman" w:cs="Times New Roman"/>
          <w:sz w:val="20"/>
        </w:rPr>
        <w:t xml:space="preserve"> volatility of its stock</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determines the expected life based on historical experience with similar awards, giving consideration to the contractual terms, vesting schedules and post-vesting forfeitures. The Company uses the risk-free interest rate on the implied yield currently available on U.S. Treasury issues with an equivalent remaining term approximately equal to the expected life of the award. The Company has never paid any cash dividends on its common stock and does not anticipate paying any cash dividends in the foreseeable future.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6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used the following assumptions for stock options granted under the 2011 Equity Incentive Plans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1395"/>
        <w:gridCol w:w="75"/>
        <w:gridCol w:w="1395"/>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w:t>
            </w:r>
          </w:p>
        </w:tc>
      </w:tr>
      <w:tr>
        <w:tblPrEx>
          <w:tblW w:w="10465" w:type="dxa"/>
          <w:jc w:val="center"/>
          <w:tblInd w:w="0" w:type="dxa"/>
          <w:tblCellMar>
            <w:left w:w="108" w:type="dxa"/>
            <w:right w:w="108" w:type="dxa"/>
          </w:tblCellMar>
        </w:tblPrEx>
        <w:trPr>
          <w:cantSplit/>
          <w:trHeight w:hRule="exact" w:val="495"/>
          <w:jc w:val="center"/>
        </w:trPr>
        <w:tc>
          <w:tcPr>
            <w:tcW w:w="732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i/>
                <w:color w:val="000000"/>
                <w:sz w:val="20"/>
              </w:rPr>
              <w:t>2011 Equity Incentive Plans Assumptions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single" w:sz="8" w:space="0" w:color="000000"/>
              <w:right w:val="nil"/>
            </w:tcBorders>
            <w:tcMar>
              <w:top w:w="0" w:type="dxa"/>
              <w:left w:w="53" w:type="dxa"/>
              <w:bottom w:w="0" w:type="dxa"/>
              <w:right w:w="53" w:type="dxa"/>
            </w:tcMar>
            <w:vAlign w:val="top"/>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2020</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Expected term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 years</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Weighted average volatility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117.97%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101.92%</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Weighted average risk-free interest rate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0.70%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1.71%</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Expected dividends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Weighted average expected forfeiture rate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19.64%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15.32%</w:t>
            </w:r>
          </w:p>
        </w:tc>
      </w:tr>
    </w:tbl>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estimates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may issue shares of restricted stock or restricted stock units which vest over future periods. The value of shares is recorded as the fair value of the stock or units upon the issuance date and is expensed on a straight-line basis over the vesting period. See Note 8 for additional information related to these shares.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Recently Issued Accounting Pronouncement</w:t>
      </w:r>
      <w:r>
        <w:rPr>
          <w:rFonts w:ascii="Times New Roman" w:eastAsia="Times New Roman" w:hAnsi="Times New Roman" w:cs="Times New Roman"/>
          <w:b/>
          <w:sz w:val="20"/>
          <w:u w:val="single"/>
        </w:rPr>
        <w:t>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Recently Adopted Accounting Pronouncements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i/>
          <w:sz w:val="20"/>
          <w:u w:val="single"/>
        </w:rPr>
      </w:pPr>
      <w:r>
        <w:rPr>
          <w:rFonts w:ascii="Times New Roman" w:eastAsia="Times New Roman" w:hAnsi="Times New Roman" w:cs="Times New Roman"/>
          <w:i/>
          <w:sz w:val="20"/>
          <w:u w:val="single"/>
        </w:rPr>
        <w:t>Income Taxes:</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In December 2019, the </w:t>
      </w:r>
      <w:r>
        <w:rPr>
          <w:rFonts w:ascii="Times New Roman" w:eastAsia="Times New Roman" w:hAnsi="Times New Roman" w:cs="Times New Roman"/>
          <w:sz w:val="20"/>
        </w:rPr>
        <w:t>Financial Acc</w:t>
      </w:r>
      <w:r>
        <w:rPr>
          <w:rFonts w:ascii="Times New Roman" w:eastAsia="Times New Roman" w:hAnsi="Times New Roman" w:cs="Times New Roman"/>
          <w:sz w:val="20"/>
        </w:rPr>
        <w:t xml:space="preserve">ounting Standards Board </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FASB</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 xml:space="preserve"> issued ASU No. 2019-12, </w:t>
      </w:r>
      <w:r>
        <w:rPr>
          <w:rFonts w:ascii="Times New Roman" w:eastAsia="Times New Roman" w:hAnsi="Times New Roman" w:cs="Times New Roman"/>
          <w:i/>
          <w:sz w:val="20"/>
        </w:rPr>
        <w:t xml:space="preserve">Income Taxes (Topic 740): Simplifying the Accounting for Income Taxes </w:t>
      </w:r>
      <w:r>
        <w:rPr>
          <w:rFonts w:ascii="Times New Roman" w:eastAsia="Times New Roman" w:hAnsi="Times New Roman" w:cs="Times New Roman"/>
          <w:sz w:val="20"/>
        </w:rPr>
        <w:t xml:space="preserve">(“ASU 2019-12”), which is intended to simplify various aspects related to accounting for income taxes. ASU 2019-12 removes certain exceptions to the general principles in Topic 740 and also clarifies and amends existing guidance to improve consistent application. </w:t>
      </w: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 xml:space="preserve">adopted </w:t>
      </w:r>
      <w:r>
        <w:rPr>
          <w:rFonts w:ascii="Times New Roman" w:eastAsia="Times New Roman" w:hAnsi="Times New Roman" w:cs="Times New Roman"/>
          <w:sz w:val="20"/>
        </w:rPr>
        <w:t>ASU 2019-12</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on January 1, 2021 </w:t>
      </w:r>
      <w:r>
        <w:rPr>
          <w:rFonts w:ascii="Times New Roman" w:eastAsia="Times New Roman" w:hAnsi="Times New Roman" w:cs="Times New Roman"/>
          <w:sz w:val="20"/>
        </w:rPr>
        <w:t>w</w:t>
      </w:r>
      <w:r>
        <w:rPr>
          <w:rFonts w:ascii="Times New Roman" w:eastAsia="Times New Roman" w:hAnsi="Times New Roman" w:cs="Times New Roman"/>
          <w:sz w:val="20"/>
        </w:rPr>
        <w:t>ith no material impact</w:t>
      </w:r>
      <w:r>
        <w:rPr>
          <w:rFonts w:ascii="Times New Roman" w:eastAsia="Times New Roman" w:hAnsi="Times New Roman" w:cs="Times New Roman"/>
          <w:sz w:val="20"/>
        </w:rPr>
        <w:t xml:space="preserve"> on its current reporting</w:t>
      </w:r>
      <w:r>
        <w:rPr>
          <w:rFonts w:ascii="Times New Roman" w:eastAsia="Times New Roman" w:hAnsi="Times New Roman" w:cs="Times New Roman"/>
          <w:sz w:val="20"/>
        </w:rPr>
        <w:t xml:space="preserve"> in the Company</w:t>
      </w:r>
      <w:r>
        <w:rPr>
          <w:rFonts w:ascii="Times New Roman" w:eastAsia="Times New Roman" w:hAnsi="Times New Roman" w:cs="Times New Roman"/>
          <w:sz w:val="20"/>
        </w:rPr>
        <w:t>’</w:t>
      </w:r>
      <w:r>
        <w:rPr>
          <w:rFonts w:ascii="Times New Roman" w:eastAsia="Times New Roman" w:hAnsi="Times New Roman" w:cs="Times New Roman"/>
          <w:sz w:val="20"/>
        </w:rPr>
        <w:t xml:space="preserve">s consolidated </w:t>
      </w:r>
      <w:r>
        <w:rPr>
          <w:rFonts w:ascii="Times New Roman" w:eastAsia="Times New Roman" w:hAnsi="Times New Roman" w:cs="Times New Roman"/>
          <w:sz w:val="20"/>
        </w:rPr>
        <w:t>financial statements.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i/>
          <w:sz w:val="20"/>
          <w:u w:val="single"/>
        </w:rPr>
      </w:pPr>
      <w:r>
        <w:rPr>
          <w:rFonts w:ascii="Times New Roman" w:eastAsia="Times New Roman" w:hAnsi="Times New Roman" w:cs="Times New Roman"/>
          <w:i/>
          <w:sz w:val="20"/>
          <w:u w:val="single"/>
        </w:rPr>
        <w:t>Investments - Equity Securities:</w:t>
      </w:r>
      <w:r>
        <w:rPr>
          <w:rFonts w:ascii="Times New Roman" w:eastAsia="Times New Roman" w:hAnsi="Times New Roman" w:cs="Times New Roman"/>
          <w:sz w:val="20"/>
        </w:rPr>
        <w:t xml:space="preserve"> In January 2020, the FASB issued ASU No. 2020-01, </w:t>
      </w:r>
      <w:r>
        <w:rPr>
          <w:rFonts w:ascii="Times New Roman" w:eastAsia="Times New Roman" w:hAnsi="Times New Roman" w:cs="Times New Roman"/>
          <w:i/>
          <w:sz w:val="20"/>
        </w:rPr>
        <w:t xml:space="preserve">Investments - Equity Securities (Topic 321), Investments - Equity Method and Joint Ventures (Topic 323), and Derivatives and Hedging (Topic 815): Clarifying the Interactions between Topic 321, 323 and Topic 815 </w:t>
      </w:r>
      <w:r>
        <w:rPr>
          <w:rFonts w:ascii="Times New Roman" w:eastAsia="Times New Roman" w:hAnsi="Times New Roman" w:cs="Times New Roman"/>
          <w:sz w:val="20"/>
        </w:rPr>
        <w:t xml:space="preserve">(“ASU 2020-01”) to clarify the scope and interaction between these standards for equity securities, equity method and certain derivatives. </w:t>
      </w:r>
      <w:r>
        <w:rPr>
          <w:rFonts w:ascii="Times New Roman" w:eastAsia="Times New Roman" w:hAnsi="Times New Roman" w:cs="Times New Roman"/>
          <w:sz w:val="20"/>
        </w:rPr>
        <w:t xml:space="preserve">The Company adopted </w:t>
      </w:r>
      <w:r>
        <w:rPr>
          <w:rFonts w:ascii="Times New Roman" w:eastAsia="Times New Roman" w:hAnsi="Times New Roman" w:cs="Times New Roman"/>
          <w:sz w:val="20"/>
        </w:rPr>
        <w:t>ASU No. 2020-01</w:t>
      </w:r>
      <w:r>
        <w:rPr>
          <w:rFonts w:ascii="Times New Roman" w:eastAsia="Times New Roman" w:hAnsi="Times New Roman" w:cs="Times New Roman"/>
          <w:sz w:val="20"/>
        </w:rPr>
        <w:t xml:space="preserve"> on January 1, 2021 with no material impact</w:t>
      </w:r>
      <w:r>
        <w:rPr>
          <w:rFonts w:ascii="Times New Roman" w:eastAsia="Times New Roman" w:hAnsi="Times New Roman" w:cs="Times New Roman"/>
          <w:sz w:val="20"/>
        </w:rPr>
        <w:t xml:space="preserve"> on its current reporting in the Company’s consolidated financial statements.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i/>
          <w:sz w:val="20"/>
          <w:u w:val="single"/>
          <w:shd w:val="clear" w:color="auto" w:fill="FFFF00"/>
        </w:rPr>
      </w:pPr>
      <w:r>
        <w:rPr>
          <w:rFonts w:ascii="Times New Roman" w:eastAsia="Times New Roman" w:hAnsi="Times New Roman" w:cs="Times New Roman"/>
          <w:i/>
          <w:sz w:val="20"/>
          <w:u w:val="single"/>
        </w:rPr>
        <w:t>Reference Rate Reform:</w:t>
      </w:r>
      <w:r>
        <w:rPr>
          <w:rFonts w:ascii="Times New Roman" w:eastAsia="Times New Roman" w:hAnsi="Times New Roman" w:cs="Times New Roman"/>
          <w:sz w:val="20"/>
        </w:rPr>
        <w:t xml:space="preserve"> In March 2020, the FASB issued ASU No. 2020-04, </w:t>
      </w:r>
      <w:r>
        <w:rPr>
          <w:rFonts w:ascii="Times New Roman" w:eastAsia="Times New Roman" w:hAnsi="Times New Roman" w:cs="Times New Roman"/>
          <w:i/>
          <w:sz w:val="20"/>
        </w:rPr>
        <w:t xml:space="preserve">Reference Rate Reform (Topic 848): Facilitation of the Effects of Reference Rate Reform on Financial Reporting </w:t>
      </w:r>
      <w:r>
        <w:rPr>
          <w:rFonts w:ascii="Times New Roman" w:eastAsia="Times New Roman" w:hAnsi="Times New Roman" w:cs="Times New Roman"/>
          <w:sz w:val="20"/>
        </w:rPr>
        <w:t>(“ASU 2020-04”)</w:t>
      </w:r>
      <w:r>
        <w:rPr>
          <w:rFonts w:ascii="Times New Roman" w:eastAsia="Times New Roman" w:hAnsi="Times New Roman" w:cs="Times New Roman"/>
          <w:i/>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further issued ASU No. 2021-01, </w:t>
      </w:r>
      <w:r>
        <w:rPr>
          <w:rFonts w:ascii="Times New Roman" w:eastAsia="Times New Roman" w:hAnsi="Times New Roman" w:cs="Times New Roman"/>
          <w:i/>
          <w:sz w:val="20"/>
        </w:rPr>
        <w:t>Reference Rate Reform (Topic 848): Scope</w:t>
      </w:r>
      <w:r>
        <w:rPr>
          <w:rFonts w:ascii="Times New Roman" w:eastAsia="Times New Roman" w:hAnsi="Times New Roman" w:cs="Times New Roman"/>
          <w:sz w:val="20"/>
        </w:rPr>
        <w:t xml:space="preserve"> (“ASU 2021-01”), in January 2021 to</w:t>
      </w:r>
      <w:r>
        <w:rPr>
          <w:rFonts w:ascii="Times New Roman" w:eastAsia="Times New Roman" w:hAnsi="Times New Roman" w:cs="Times New Roman"/>
          <w:sz w:val="20"/>
        </w:rPr>
        <w:t xml:space="preserve"> </w:t>
      </w:r>
      <w:r>
        <w:rPr>
          <w:rFonts w:ascii="Times New Roman" w:eastAsia="Times New Roman" w:hAnsi="Times New Roman" w:cs="Times New Roman"/>
          <w:sz w:val="20"/>
        </w:rPr>
        <w:t>provide</w:t>
      </w:r>
      <w:r>
        <w:rPr>
          <w:rFonts w:ascii="Times New Roman" w:eastAsia="Times New Roman" w:hAnsi="Times New Roman" w:cs="Times New Roman"/>
          <w:sz w:val="20"/>
        </w:rPr>
        <w:t xml:space="preserve"> optional guidance for a limited time to ease the potential burden in accounting for </w:t>
      </w:r>
      <w:r>
        <w:rPr>
          <w:rFonts w:ascii="Times New Roman" w:eastAsia="Times New Roman" w:hAnsi="Times New Roman" w:cs="Times New Roman"/>
          <w:sz w:val="20"/>
        </w:rPr>
        <w:t>(or reco</w:t>
      </w:r>
      <w:r>
        <w:rPr>
          <w:rFonts w:ascii="Times New Roman" w:eastAsia="Times New Roman" w:hAnsi="Times New Roman" w:cs="Times New Roman"/>
          <w:sz w:val="20"/>
        </w:rPr>
        <w:t xml:space="preserve">gnizing the effects of) </w:t>
      </w:r>
      <w:r>
        <w:rPr>
          <w:rFonts w:ascii="Times New Roman" w:eastAsia="Times New Roman" w:hAnsi="Times New Roman" w:cs="Times New Roman"/>
          <w:sz w:val="20"/>
        </w:rPr>
        <w:t>reference rate reform</w:t>
      </w:r>
      <w:r>
        <w:rPr>
          <w:rFonts w:ascii="Times New Roman" w:eastAsia="Times New Roman" w:hAnsi="Times New Roman" w:cs="Times New Roman"/>
          <w:sz w:val="20"/>
        </w:rPr>
        <w:t xml:space="preserve"> on financial reporting</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ASU 2020-04 and ASU 2021-01 </w:t>
      </w:r>
      <w:r>
        <w:rPr>
          <w:rFonts w:ascii="Times New Roman" w:eastAsia="Times New Roman" w:hAnsi="Times New Roman" w:cs="Times New Roman"/>
          <w:sz w:val="20"/>
        </w:rPr>
        <w:t>also provide</w:t>
      </w:r>
      <w:r>
        <w:rPr>
          <w:rFonts w:ascii="Times New Roman" w:eastAsia="Times New Roman" w:hAnsi="Times New Roman" w:cs="Times New Roman"/>
          <w:sz w:val="20"/>
        </w:rPr>
        <w:t xml:space="preserve"> optional expedients and exceptions for applying U.S. GAAP to contracts, hedging relationships and other transactions affected by reference rate reform if certain criteria are met. </w:t>
      </w:r>
      <w:r>
        <w:rPr>
          <w:rFonts w:ascii="Times New Roman" w:eastAsia="Times New Roman" w:hAnsi="Times New Roman" w:cs="Times New Roman"/>
          <w:sz w:val="20"/>
        </w:rPr>
        <w:t>Additionally, they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only </w:t>
      </w:r>
      <w:r>
        <w:rPr>
          <w:rFonts w:ascii="Times New Roman" w:eastAsia="Times New Roman" w:hAnsi="Times New Roman" w:cs="Times New Roman"/>
          <w:sz w:val="20"/>
        </w:rPr>
        <w:t>appl</w:t>
      </w:r>
      <w:r>
        <w:rPr>
          <w:rFonts w:ascii="Times New Roman" w:eastAsia="Times New Roman" w:hAnsi="Times New Roman" w:cs="Times New Roman"/>
          <w:sz w:val="20"/>
        </w:rPr>
        <w:t>y</w:t>
      </w:r>
      <w:r>
        <w:rPr>
          <w:rFonts w:ascii="Times New Roman" w:eastAsia="Times New Roman" w:hAnsi="Times New Roman" w:cs="Times New Roman"/>
          <w:sz w:val="20"/>
        </w:rPr>
        <w:t xml:space="preserve"> to contracts and hedging relationships that reference LIBOR or another reference rate expected to be discontinued due to reference rate reform. ASU 2020-04 is effective immediately and may be applied prospectively to contract modifications made and hedging relationships entered into or evaluated on or before December 31, 2022.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the Company does not have any contracts that reference LIBOR rates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this guidance </w:t>
      </w:r>
      <w:r>
        <w:rPr>
          <w:rFonts w:ascii="Times New Roman" w:eastAsia="Times New Roman" w:hAnsi="Times New Roman" w:cs="Times New Roman"/>
          <w:sz w:val="20"/>
        </w:rPr>
        <w:t>has not had</w:t>
      </w:r>
      <w:r>
        <w:rPr>
          <w:rFonts w:ascii="Times New Roman" w:eastAsia="Times New Roman" w:hAnsi="Times New Roman" w:cs="Times New Roman"/>
          <w:sz w:val="20"/>
        </w:rPr>
        <w:t xml:space="preserve"> a material impact on its financial statements.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i/>
          <w:sz w:val="20"/>
          <w:u w:val="single"/>
          <w:shd w:val="clear" w:color="auto" w:fill="FFFF00"/>
        </w:rPr>
      </w:pPr>
      <w:r>
        <w:rPr>
          <w:rFonts w:ascii="Times New Roman" w:eastAsia="Times New Roman" w:hAnsi="Times New Roman" w:cs="Times New Roman"/>
          <w:i/>
          <w:sz w:val="20"/>
          <w:u w:val="single"/>
        </w:rPr>
        <w:t>Codification Improvements:</w:t>
      </w:r>
      <w:r>
        <w:rPr>
          <w:rFonts w:ascii="Times New Roman" w:eastAsia="Times New Roman" w:hAnsi="Times New Roman" w:cs="Times New Roman"/>
          <w:sz w:val="20"/>
        </w:rPr>
        <w:t xml:space="preserve"> In October 2020, the FASB issued ASU No. 2020-08, </w:t>
      </w:r>
      <w:r>
        <w:rPr>
          <w:rFonts w:ascii="Times New Roman" w:eastAsia="Times New Roman" w:hAnsi="Times New Roman" w:cs="Times New Roman"/>
          <w:i/>
          <w:sz w:val="20"/>
        </w:rPr>
        <w:t>Codification Improvements to Subtopic 310-20, Receivables - Nonrefundable Fees and Other Costs</w:t>
      </w:r>
      <w:r>
        <w:rPr>
          <w:rFonts w:ascii="Times New Roman" w:eastAsia="Times New Roman" w:hAnsi="Times New Roman" w:cs="Times New Roman"/>
          <w:sz w:val="20"/>
        </w:rPr>
        <w:t xml:space="preserve"> ("ASU 2020-08"), and ASU No. 2020-10,</w:t>
      </w:r>
      <w:r>
        <w:rPr>
          <w:rFonts w:ascii="Times New Roman" w:eastAsia="Times New Roman" w:hAnsi="Times New Roman" w:cs="Times New Roman"/>
          <w:i/>
          <w:sz w:val="20"/>
        </w:rPr>
        <w:t xml:space="preserve"> Codification Improvements</w:t>
      </w:r>
      <w:r>
        <w:rPr>
          <w:rFonts w:ascii="Times New Roman" w:eastAsia="Times New Roman" w:hAnsi="Times New Roman" w:cs="Times New Roman"/>
          <w:sz w:val="20"/>
        </w:rPr>
        <w:t xml:space="preserve"> ("ASU 2020-10"). ASU 2020-08 and ASU 2020-10 provide changes to clarify or improve existing guidance. </w:t>
      </w:r>
      <w:r>
        <w:rPr>
          <w:rFonts w:ascii="Times New Roman" w:eastAsia="Times New Roman" w:hAnsi="Times New Roman" w:cs="Times New Roman"/>
          <w:sz w:val="20"/>
        </w:rPr>
        <w:t xml:space="preserve">The Company adopted ASU No. </w:t>
      </w:r>
      <w:r>
        <w:rPr>
          <w:rFonts w:ascii="Times New Roman" w:eastAsia="Times New Roman" w:hAnsi="Times New Roman" w:cs="Times New Roman"/>
          <w:sz w:val="20"/>
        </w:rPr>
        <w:t>2020-08</w:t>
      </w:r>
      <w:r>
        <w:rPr>
          <w:rFonts w:ascii="Times New Roman" w:eastAsia="Times New Roman" w:hAnsi="Times New Roman" w:cs="Times New Roman"/>
          <w:sz w:val="20"/>
        </w:rPr>
        <w:t xml:space="preserve"> on January 1, 2021 with no material impact on its current reporting in the Company’s consolidated financial statements.</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Recently Issued Accounting Pronouncements Not Yet Adopted</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i/>
          <w:sz w:val="20"/>
          <w:u w:val="single"/>
        </w:rPr>
        <w:t>Credit Losses</w:t>
      </w:r>
      <w:r>
        <w:rPr>
          <w:rFonts w:ascii="Times New Roman" w:eastAsia="Times New Roman" w:hAnsi="Times New Roman" w:cs="Times New Roman"/>
          <w:i/>
          <w:sz w:val="20"/>
        </w:rPr>
        <w:t xml:space="preserve">: </w:t>
      </w:r>
      <w:r>
        <w:rPr>
          <w:rFonts w:ascii="Times New Roman" w:eastAsia="Times New Roman" w:hAnsi="Times New Roman" w:cs="Times New Roman"/>
          <w:sz w:val="20"/>
        </w:rPr>
        <w:t>In June 2016, the FASB issued ASU No. 2016-13, </w:t>
      </w:r>
      <w:r>
        <w:rPr>
          <w:rFonts w:ascii="Times New Roman" w:eastAsia="Times New Roman" w:hAnsi="Times New Roman" w:cs="Times New Roman"/>
          <w:i/>
          <w:sz w:val="20"/>
        </w:rPr>
        <w:t>Financial Instruments - Credit Losses (Topic 326): Measurement of Credit Losses on Financial Instruments</w:t>
      </w:r>
      <w:r>
        <w:rPr>
          <w:rFonts w:ascii="Times New Roman" w:eastAsia="Times New Roman" w:hAnsi="Times New Roman" w:cs="Times New Roman"/>
          <w:sz w:val="20"/>
        </w:rPr>
        <w:t> (“ASU 2016-13”). ASU 2016-13 replaces the incurred loss impairment methodology under current GAAP with a methodology that reflects expected credit losses and requires a consideration of a broader range of reasonable and supportable information to inform credit loss estimates. ASU 2016-13 requires use of a forward-looking expected credit loss model for accounts receivables, loans, and other financial instruments. In May 2019, the FASB issued ASU 2019-05, which provides transition relief for entities adopting ASU 2016-13. For entities that have adopted ASU 2016-13, the amendments in ASU 2019-05 are effective for fiscal years beginning after December 15, 2019, including interim periods therein. An entity may early adopt the ASU in any interim period after its issuance if the entity has adopted ASU 2016-13. For all other entities, the effective date will be the same as the effective date of ASU 2016-13. ASU 2016-13 is effective for fiscal years beginning after December 15, 2022, including interim periods within those fiscal years. The Company is currently evaluating the expected impact of adopting ASU 2016-13 on its consolidated financial statements and disclosures.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i/>
          <w:sz w:val="20"/>
          <w:u w:val="single"/>
        </w:rPr>
        <w:t>Convertible Instruments:</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In August 2020, the FASB issued ASU No. 2020-06, </w:t>
      </w:r>
      <w:r>
        <w:rPr>
          <w:rFonts w:ascii="Times New Roman" w:eastAsia="Times New Roman" w:hAnsi="Times New Roman" w:cs="Times New Roman"/>
          <w:i/>
          <w:sz w:val="20"/>
        </w:rPr>
        <w:t>Accounting for Convertible Instruments and Contracts in an Entity’s Own Equity</w:t>
      </w:r>
      <w:r>
        <w:rPr>
          <w:rFonts w:ascii="Times New Roman" w:eastAsia="Times New Roman" w:hAnsi="Times New Roman" w:cs="Times New Roman"/>
          <w:sz w:val="20"/>
        </w:rPr>
        <w:t xml:space="preserve"> (“ASU 2020-06”). ASU 2020-06 simplifies the guidance on the issuer’s accounting for convertible debt instruments by removing the separation models for (1) convertible debt with a cash conversion feature and (2) convertible instruments with a beneficial conversion feature. As a result, entities will not separately present in equity an embedded conversion feature in such debt. Instead, they will account for a convertible debt instrument wholly as debt, unless certain other conditions are met. The elimination of these models will reduce reported interest expense and increase reported net income for entities that have issued a convertible instrument that was within the scope of those models before the adoption of ASU 2020-06. Also, ASU 2020-06 requires the application of the if-converted method for calculating diluted earnings per share and the treasury stock method will be no longer available. The provisions of ASU 2020-06 are applicable for the Company as a smaller reporting company for fiscal years beginning after December 15, 2023, with early adoption permitted</w:t>
      </w:r>
      <w:r>
        <w:rPr>
          <w:rFonts w:ascii="Times New Roman" w:eastAsia="Times New Roman" w:hAnsi="Times New Roman" w:cs="Times New Roman"/>
          <w:sz w:val="20"/>
        </w:rPr>
        <w:t>. The Company is currently evaluating the impact that ASU 2020-06 will have on its consolidated financial statements and disclosures.</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shd w:val="clear" w:color="auto" w:fill="FFFF0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3"/>
        <w:rPr>
          <w:rFonts w:ascii="Times New Roman" w:eastAsia="Times New Roman" w:hAnsi="Times New Roman" w:cs="Times New Roman"/>
          <w:b/>
          <w:sz w:val="20"/>
        </w:rPr>
      </w:pPr>
      <w:bookmarkStart w:id="10" w:name="Section11"/>
      <w:bookmarkEnd w:id="10"/>
      <w:r>
        <w:rPr>
          <w:rFonts w:ascii="Times New Roman" w:eastAsia="Times New Roman" w:hAnsi="Times New Roman" w:cs="Times New Roman"/>
          <w:b/>
          <w:sz w:val="20"/>
        </w:rPr>
        <w:t xml:space="preserve">NOTE 2. </w:t>
      </w:r>
      <w:r>
        <w:rPr>
          <w:rFonts w:ascii="Times New Roman" w:eastAsia="Times New Roman" w:hAnsi="Times New Roman" w:cs="Times New Roman"/>
          <w:b/>
          <w:sz w:val="20"/>
        </w:rPr>
        <w:tab/>
      </w:r>
      <w:r>
        <w:rPr>
          <w:rFonts w:ascii="Times New Roman" w:eastAsia="Times New Roman" w:hAnsi="Times New Roman" w:cs="Times New Roman"/>
          <w:b/>
          <w:sz w:val="20"/>
        </w:rPr>
        <w:t>PROPERTY AND EQUIPMENT</w:t>
      </w:r>
    </w:p>
    <w:p>
      <w:pPr>
        <w:keepNext w:val="0"/>
        <w:keepLines/>
        <w:pageBreakBefore w:val="0"/>
        <w:widowControl w:val="0"/>
        <w:numPr>
          <w:ilvl w:val="0"/>
          <w:numId w:val="0"/>
        </w:numPr>
        <w:spacing w:before="120" w:after="22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Property and equipment consist of the following: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March 31,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Furniture and fixtures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221,733 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221,733 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Office equipment</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67,833 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67,833 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Computer equipment</w:t>
            </w: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512,558 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513,344 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15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802,124 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802,910 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Less accumulated depreciation and amortization</w:t>
            </w: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(582,561)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(571,992)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Property and equipment, net</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219,563 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230,918 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2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Depreciation and amortization expense on property and equipment recorded in depreciation and amortization expense in the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was </w:t>
      </w:r>
      <w:r>
        <w:rPr>
          <w:rFonts w:ascii="Times New Roman" w:eastAsia="Times New Roman" w:hAnsi="Times New Roman" w:cs="Times New Roman"/>
          <w:sz w:val="20"/>
        </w:rPr>
        <w:t>$32,486</w:t>
      </w:r>
      <w:r>
        <w:rPr>
          <w:rFonts w:ascii="Times New Roman" w:eastAsia="Times New Roman" w:hAnsi="Times New Roman" w:cs="Times New Roman"/>
          <w:sz w:val="20"/>
        </w:rPr>
        <w:t xml:space="preserve"> and </w:t>
      </w:r>
      <w:r>
        <w:rPr>
          <w:rFonts w:ascii="Times New Roman" w:eastAsia="Times New Roman" w:hAnsi="Times New Roman" w:cs="Times New Roman"/>
          <w:sz w:val="20"/>
        </w:rPr>
        <w:t>$35,629</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respectively.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sectPr>
          <w:headerReference w:type="default" r:id="rId8"/>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rPr>
      </w:pPr>
      <w:bookmarkStart w:id="11" w:name="Section12"/>
      <w:bookmarkEnd w:id="11"/>
      <w:r>
        <w:rPr>
          <w:rFonts w:ascii="Times New Roman" w:eastAsia="Times New Roman" w:hAnsi="Times New Roman" w:cs="Times New Roman"/>
          <w:b/>
          <w:sz w:val="20"/>
        </w:rPr>
        <w:t xml:space="preserve">NOTE 3. </w:t>
      </w:r>
      <w:r>
        <w:rPr>
          <w:rFonts w:ascii="Times New Roman" w:eastAsia="Times New Roman" w:hAnsi="Times New Roman" w:cs="Times New Roman"/>
          <w:b/>
          <w:sz w:val="20"/>
        </w:rPr>
        <w:tab/>
      </w:r>
      <w:r>
        <w:rPr>
          <w:rFonts w:ascii="Times New Roman" w:eastAsia="Times New Roman" w:hAnsi="Times New Roman" w:cs="Times New Roman"/>
          <w:b/>
          <w:sz w:val="20"/>
        </w:rPr>
        <w:t>INTANGIBLE ASSETS</w:t>
      </w:r>
    </w:p>
    <w:p>
      <w:pPr>
        <w:keepNext/>
        <w:keepLines/>
        <w:pageBreakBefore w:val="0"/>
        <w:widowControl w:val="0"/>
        <w:numPr>
          <w:ilvl w:val="0"/>
          <w:numId w:val="0"/>
        </w:numPr>
        <w:spacing w:before="12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identifiable intangible assets, other than Goodwill, consists of the following assets:</w:t>
      </w:r>
      <w:r>
        <w:rPr>
          <w:rFonts w:ascii="Times New Roman" w:eastAsia="Times New Roman" w:hAnsi="Times New Roman" w:cs="Times New Roman"/>
          <w:sz w:val="20"/>
        </w:rPr>
        <w:tab/>
      </w: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0"/>
        <w:gridCol w:w="160"/>
        <w:gridCol w:w="1135"/>
        <w:gridCol w:w="100"/>
        <w:gridCol w:w="75"/>
        <w:gridCol w:w="160"/>
        <w:gridCol w:w="1135"/>
        <w:gridCol w:w="100"/>
        <w:gridCol w:w="75"/>
        <w:gridCol w:w="160"/>
        <w:gridCol w:w="1135"/>
        <w:gridCol w:w="100"/>
        <w:gridCol w:w="75"/>
        <w:gridCol w:w="160"/>
        <w:gridCol w:w="1135"/>
        <w:gridCol w:w="100"/>
        <w:gridCol w:w="75"/>
        <w:gridCol w:w="108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March 31,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465"/>
          <w:jc w:val="left"/>
        </w:trPr>
        <w:tc>
          <w:tcPr>
            <w:tcW w:w="3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Intangible Asset Gross Value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Accumulated Amortization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Intangible Asset Gross Value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Accumulated Amortization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Useful Life   (in years)</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Content provider networks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Trade names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Developed technology</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5</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Self-service content customers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2,521,111 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2,304,444 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3</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Managed content customers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3</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Domains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5</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Embedded non-compete provision</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2</w:t>
            </w:r>
          </w:p>
        </w:tc>
      </w:tr>
      <w:tr>
        <w:tblPrEx>
          <w:tblW w:w="10404" w:type="dxa"/>
          <w:jc w:val="left"/>
          <w:tblInd w:w="0" w:type="dxa"/>
          <w:tblCellMar>
            <w:left w:w="108" w:type="dxa"/>
            <w:right w:w="108" w:type="dxa"/>
          </w:tblCellMar>
        </w:tblPrEx>
        <w:trPr>
          <w:cantSplit/>
          <w:trHeight w:hRule="exact" w:val="300"/>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5,922,580 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5,705,913 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bl>
    <w:p>
      <w:pPr>
        <w:keepNext/>
        <w:keepLines/>
        <w:pageBreakBefore w:val="0"/>
        <w:widowControl w:val="0"/>
        <w:numPr>
          <w:ilvl w:val="0"/>
          <w:numId w:val="0"/>
        </w:numPr>
        <w:spacing w:before="2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Total identifiable intangible assets from the Company’s acquisitions and other acquired assets net of accumulated amortization thereon consists of the following:</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March 31,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Ebyline Intangible Assets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2,370,000 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2,370,000 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ZenContent Intangible Assets</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722,000 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722,000 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Domains</w:t>
            </w: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TapInfluence Intangible Assets</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2,953,000 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2,953,000 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Less accumulated amortization</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(5,922,580)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(5,705,913)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Intangible assets,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288,889 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505,556 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20" w:after="0" w:line="28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 amortizing the identifiable intangible assets over a remaining weighted-average period of </w:t>
      </w:r>
      <w:r>
        <w:rPr>
          <w:rFonts w:ascii="Times New Roman" w:eastAsia="Times New Roman" w:hAnsi="Times New Roman" w:cs="Times New Roman"/>
          <w:sz w:val="20"/>
        </w:rPr>
        <w:t>4 months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impairment charges associated with the Company’s identifiable intangible assets in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Amortization expense recorded in depreciation and amortization in the accompanying consolidated statements of operations </w:t>
      </w:r>
      <w:r>
        <w:rPr>
          <w:rFonts w:ascii="Times New Roman" w:eastAsia="Times New Roman" w:hAnsi="Times New Roman" w:cs="Times New Roman"/>
          <w:sz w:val="20"/>
        </w:rPr>
        <w:t xml:space="preserve">and comprehensive loss </w:t>
      </w:r>
      <w:r>
        <w:rPr>
          <w:rFonts w:ascii="Times New Roman" w:eastAsia="Times New Roman" w:hAnsi="Times New Roman" w:cs="Times New Roman"/>
          <w:sz w:val="20"/>
        </w:rPr>
        <w:t>wa</w:t>
      </w:r>
      <w:r>
        <w:rPr>
          <w:rFonts w:ascii="Times New Roman" w:eastAsia="Times New Roman" w:hAnsi="Times New Roman" w:cs="Times New Roman"/>
          <w:sz w:val="20"/>
        </w:rPr>
        <w:t xml:space="preserve">s </w:t>
      </w:r>
      <w:r>
        <w:rPr>
          <w:rFonts w:ascii="Times New Roman" w:eastAsia="Times New Roman" w:hAnsi="Times New Roman" w:cs="Times New Roman"/>
          <w:sz w:val="20"/>
        </w:rPr>
        <w:t>$216,667</w:t>
      </w:r>
      <w:r>
        <w:rPr>
          <w:rFonts w:ascii="Times New Roman" w:eastAsia="Times New Roman" w:hAnsi="Times New Roman" w:cs="Times New Roman"/>
          <w:sz w:val="20"/>
        </w:rPr>
        <w:t xml:space="preserve"> and </w:t>
      </w:r>
      <w:r>
        <w:rPr>
          <w:rFonts w:ascii="Times New Roman" w:eastAsia="Times New Roman" w:hAnsi="Times New Roman" w:cs="Times New Roman"/>
          <w:sz w:val="20"/>
        </w:rPr>
        <w:t>$364,990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respectively.</w:t>
      </w: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portion of this amortization expense specifically related to the costs of acquired technology that is excluded from cost of revenue and recorded in depreciation and amortization wa</w:t>
      </w:r>
      <w:r>
        <w:rPr>
          <w:rFonts w:ascii="Times New Roman" w:eastAsia="Times New Roman" w:hAnsi="Times New Roman" w:cs="Times New Roman"/>
          <w:sz w:val="20"/>
        </w:rPr>
        <w:t xml:space="preserve">s </w:t>
      </w:r>
      <w:r>
        <w:rPr>
          <w:rFonts w:ascii="Times New Roman" w:eastAsia="Times New Roman" w:hAnsi="Times New Roman" w:cs="Times New Roman"/>
          <w:sz w:val="20"/>
        </w:rPr>
        <w:t>$0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$136,500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respectively.</w:t>
      </w: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sz w:val="20"/>
        </w:rPr>
        <w:t>, future estimated amortization expense related to identifiable intangible assets is set forth in the following schedule:</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385"/>
        <w:gridCol w:w="75"/>
        <w:gridCol w:w="160"/>
        <w:gridCol w:w="1525"/>
        <w:gridCol w:w="10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83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8"/>
              </w:rPr>
              <w:t>Intangible Asset</w:t>
            </w:r>
          </w:p>
          <w:p>
            <w:pPr>
              <w:spacing w:after="30" w:line="240" w:lineRule="auto"/>
              <w:ind w:left="0" w:right="0"/>
              <w:jc w:val="center"/>
            </w:pPr>
            <w:r>
              <w:rPr>
                <w:rFonts w:ascii="Times New Roman" w:eastAsia="Times New Roman" w:hAnsi="Times New Roman" w:cs="Times New Roman"/>
                <w:color w:val="000000"/>
                <w:sz w:val="18"/>
              </w:rPr>
              <w:t>Amortization Expense</w:t>
            </w:r>
          </w:p>
        </w:tc>
      </w:tr>
      <w:tr>
        <w:tblPrEx>
          <w:tblW w:w="10450" w:type="dxa"/>
          <w:jc w:val="left"/>
          <w:tblInd w:w="0" w:type="dxa"/>
          <w:tblCellMar>
            <w:left w:w="108" w:type="dxa"/>
            <w:right w:w="108" w:type="dxa"/>
          </w:tblCellMar>
        </w:tblPrEx>
        <w:trPr>
          <w:cantSplit/>
          <w:trHeight w:hRule="exact" w:val="300"/>
          <w:jc w:val="left"/>
        </w:trPr>
        <w:tc>
          <w:tcPr>
            <w:tcW w:w="83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Remainder of 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52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288,889 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300"/>
          <w:jc w:val="left"/>
        </w:trPr>
        <w:tc>
          <w:tcPr>
            <w:tcW w:w="83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5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288,889 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w:t>
      </w:r>
      <w:r>
        <w:rPr>
          <w:rFonts w:ascii="Times New Roman" w:eastAsia="Times New Roman" w:hAnsi="Times New Roman" w:cs="Times New Roman"/>
          <w:sz w:val="20"/>
        </w:rPr>
        <w:t>goodwill balance changed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55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85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Amount</w:t>
            </w: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Balance on December 31,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8,316,722 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Acquisitions, impairments, or other changes during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(4,300,000)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Balance on December 31,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4,016,722 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Acquisitions, impairments, or other changes during 2021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Balance on December 31, 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4,016,722 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March 2020, the Company identified triggering events due to the reduction in its projected revenue due to adverse economic conditions caused by the COVID-19 pandemic, the continuation of a market capitalization below the Company’s carrying value, and uncertainty for recovery given the volatility of the capital markets surrounding COVID-19. The Company performed an interim assessment of goodwill, using the discounted cash flow method under the income approach and the guideline transaction method under the market approach, and determined that the carrying value of our Company’s reporting unit as of March 31, 2020 exceeded the fair value. As a result of the valuation, the Company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which is reflected as an expense under impairment of goodwill </w:t>
      </w:r>
      <w:r>
        <w:rPr>
          <w:rFonts w:ascii="Times New Roman" w:eastAsia="Times New Roman" w:hAnsi="Times New Roman" w:cs="Times New Roman"/>
          <w:sz w:val="20"/>
        </w:rPr>
        <w:t xml:space="preserve">in the consolidated statements of operations </w:t>
      </w:r>
      <w:r>
        <w:rPr>
          <w:rFonts w:ascii="Times New Roman" w:eastAsia="Times New Roman" w:hAnsi="Times New Roman" w:cs="Times New Roman"/>
          <w:sz w:val="20"/>
        </w:rPr>
        <w:t xml:space="preserve">and comprehensive loss </w:t>
      </w:r>
      <w:r>
        <w:rPr>
          <w:rFonts w:ascii="Times New Roman" w:eastAsia="Times New Roman" w:hAnsi="Times New Roman" w:cs="Times New Roman"/>
          <w:sz w:val="20"/>
        </w:rPr>
        <w:t xml:space="preserve">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 xml:space="preserve">did not identify any triggering events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sectPr>
          <w:headerReference w:type="default" r:id="rId9"/>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3"/>
        <w:rPr>
          <w:rFonts w:ascii="Times New Roman" w:eastAsia="Times New Roman" w:hAnsi="Times New Roman" w:cs="Times New Roman"/>
          <w:b/>
          <w:sz w:val="20"/>
        </w:rPr>
      </w:pPr>
      <w:bookmarkStart w:id="12" w:name="Section13"/>
      <w:bookmarkEnd w:id="12"/>
      <w:r>
        <w:rPr>
          <w:rFonts w:ascii="Times New Roman" w:eastAsia="Times New Roman" w:hAnsi="Times New Roman" w:cs="Times New Roman"/>
          <w:b/>
          <w:sz w:val="20"/>
        </w:rPr>
        <w:t xml:space="preserve">NOTE 4. </w:t>
      </w:r>
      <w:r>
        <w:rPr>
          <w:rFonts w:ascii="Times New Roman" w:eastAsia="Times New Roman" w:hAnsi="Times New Roman" w:cs="Times New Roman"/>
          <w:b/>
          <w:sz w:val="20"/>
        </w:rPr>
        <w:tab/>
      </w:r>
      <w:r>
        <w:rPr>
          <w:rFonts w:ascii="Times New Roman" w:eastAsia="Times New Roman" w:hAnsi="Times New Roman" w:cs="Times New Roman"/>
          <w:b/>
          <w:sz w:val="20"/>
        </w:rPr>
        <w:t>SOFTWARE DEVELOPMENT COSTS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Software development costs consists of the following: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March 31,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Software development costs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3,036,810 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3,036,810 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Less accumulated amortization</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(1,680,502)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(1,564,126)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Software development costs,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1,356,308 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1,472,684 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2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Arial" w:eastAsia="Arial" w:hAnsi="Arial" w:cs="Arial"/>
          <w:sz w:val="24"/>
        </w:rPr>
      </w:pPr>
      <w:r>
        <w:rPr>
          <w:rFonts w:ascii="Times New Roman" w:eastAsia="Times New Roman" w:hAnsi="Times New Roman" w:cs="Times New Roman"/>
          <w:sz w:val="20"/>
        </w:rPr>
        <w:t xml:space="preserve">The Company developed its web-based influencer marketing platform,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to enable influencer marketing and content creation campaigns on a greater scale. The Company continues to add new features and additional functionality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developed additional platforms in 2020,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Shake, </w:t>
      </w:r>
      <w:r>
        <w:rPr>
          <w:rFonts w:ascii="Times New Roman" w:eastAsia="Times New Roman" w:hAnsi="Times New Roman" w:cs="Times New Roman"/>
          <w:sz w:val="20"/>
        </w:rPr>
        <w:t xml:space="preserve">to facilitate the contracting, workflow, and delivery or posting of content as well as provide for invoicing, collaborating, and direct payments for the Company’s customers and creators. The Company capitalized software development costs of </w:t>
      </w:r>
      <w:r>
        <w:rPr>
          <w:rFonts w:ascii="Times New Roman" w:eastAsia="Times New Roman" w:hAnsi="Times New Roman" w:cs="Times New Roman"/>
          <w:sz w:val="20"/>
        </w:rPr>
        <w:t>$0</w:t>
      </w:r>
      <w:r>
        <w:rPr>
          <w:rFonts w:ascii="Times New Roman" w:eastAsia="Times New Roman" w:hAnsi="Times New Roman" w:cs="Times New Roman"/>
          <w:sz w:val="20"/>
        </w:rPr>
        <w:t xml:space="preserve"> and </w:t>
      </w:r>
      <w:r>
        <w:rPr>
          <w:rFonts w:ascii="Times New Roman" w:eastAsia="Times New Roman" w:hAnsi="Times New Roman" w:cs="Times New Roman"/>
          <w:sz w:val="20"/>
        </w:rPr>
        <w:t>$51,004</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respectively. As a result, the Company has capitalized a total of </w:t>
      </w:r>
      <w:r>
        <w:rPr>
          <w:rFonts w:ascii="Times New Roman" w:eastAsia="Times New Roman" w:hAnsi="Times New Roman" w:cs="Times New Roman"/>
          <w:sz w:val="20"/>
        </w:rPr>
        <w:t>$3,036,810</w:t>
      </w:r>
      <w:r>
        <w:rPr>
          <w:rFonts w:ascii="Times New Roman" w:eastAsia="Times New Roman" w:hAnsi="Times New Roman" w:cs="Times New Roman"/>
          <w:sz w:val="20"/>
        </w:rPr>
        <w:t xml:space="preserve"> in direct materials, consulting, payroll and benefit costs to its internal use software development costs in the consolidated balance sheet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amortizes its software development costs, commencing upon initial release of the software or additional features, on a straight-line basis over the estimated useful life of </w:t>
      </w:r>
      <w:r>
        <w:rPr>
          <w:rFonts w:ascii="Times New Roman" w:eastAsia="Times New Roman" w:hAnsi="Times New Roman" w:cs="Times New Roman"/>
          <w:sz w:val="20"/>
        </w:rPr>
        <w:t>five years</w:t>
      </w:r>
      <w:r>
        <w:rPr>
          <w:rFonts w:ascii="Times New Roman" w:eastAsia="Times New Roman" w:hAnsi="Times New Roman" w:cs="Times New Roman"/>
          <w:sz w:val="20"/>
        </w:rPr>
        <w:t>, which is consistent with the amount of time its legacy platforms were in service. Amortization expense on software development costs that is excluded from cost of revenue and recorded in depreciation and amortization expense in the accompanying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was </w:t>
      </w:r>
      <w:r>
        <w:rPr>
          <w:rFonts w:ascii="Times New Roman" w:eastAsia="Times New Roman" w:hAnsi="Times New Roman" w:cs="Times New Roman"/>
          <w:sz w:val="20"/>
        </w:rPr>
        <w:t>$116,376</w:t>
      </w:r>
      <w:r>
        <w:rPr>
          <w:rFonts w:ascii="Times New Roman" w:eastAsia="Times New Roman" w:hAnsi="Times New Roman" w:cs="Times New Roman"/>
          <w:sz w:val="20"/>
        </w:rPr>
        <w:t xml:space="preserve"> and </w:t>
      </w:r>
      <w:r>
        <w:rPr>
          <w:rFonts w:ascii="Times New Roman" w:eastAsia="Times New Roman" w:hAnsi="Times New Roman" w:cs="Times New Roman"/>
          <w:sz w:val="20"/>
        </w:rPr>
        <w:t>$100,650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sz w:val="20"/>
        </w:rPr>
        <w:t>, future estimated amortization expense related to software development costs is set forth in the following schedule: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460"/>
        <w:gridCol w:w="160"/>
        <w:gridCol w:w="15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84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Software Development Amortization Expense</w:t>
            </w: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Remainder of 2021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5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332,849 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2022</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5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400,474 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2023</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359,685 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2024</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5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177,764 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2025</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78,920 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Thereafter</w:t>
            </w:r>
          </w:p>
        </w:tc>
        <w:tc>
          <w:tcPr>
            <w:tcW w:w="16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540"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6,616 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5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1,356,308 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sectPr>
          <w:type w:val="continuous"/>
          <w:pgSz w:w="12240" w:h="15840"/>
          <w:pgMar w:top="855" w:right="990" w:bottom="855" w:left="990" w:header="270" w:footer="270"/>
          <w:cols w:space="708"/>
        </w:sectPr>
      </w:pPr>
    </w:p>
    <w:p>
      <w:pPr>
        <w:keepNext/>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3"/>
        <w:rPr>
          <w:rFonts w:ascii="Times New Roman" w:eastAsia="Times New Roman" w:hAnsi="Times New Roman" w:cs="Times New Roman"/>
          <w:b/>
          <w:sz w:val="20"/>
        </w:rPr>
      </w:pPr>
      <w:bookmarkStart w:id="13" w:name="Section14"/>
      <w:bookmarkEnd w:id="13"/>
      <w:r>
        <w:rPr>
          <w:rFonts w:ascii="Times New Roman" w:eastAsia="Times New Roman" w:hAnsi="Times New Roman" w:cs="Times New Roman"/>
          <w:b/>
          <w:sz w:val="20"/>
        </w:rPr>
        <w:t xml:space="preserve">NOTE 5. </w:t>
      </w:r>
      <w:r>
        <w:rPr>
          <w:rFonts w:ascii="Times New Roman" w:eastAsia="Times New Roman" w:hAnsi="Times New Roman" w:cs="Times New Roman"/>
          <w:b/>
          <w:sz w:val="20"/>
        </w:rPr>
        <w:tab/>
      </w:r>
      <w:r>
        <w:rPr>
          <w:rFonts w:ascii="Times New Roman" w:eastAsia="Times New Roman" w:hAnsi="Times New Roman" w:cs="Times New Roman"/>
          <w:b/>
          <w:sz w:val="20"/>
        </w:rPr>
        <w:t>ACCRUED EXPENSES</w:t>
      </w:r>
    </w:p>
    <w:p>
      <w:pPr>
        <w:keepNext/>
        <w:keepLines w:val="0"/>
        <w:pageBreakBefore w:val="0"/>
        <w:widowControl/>
        <w:numPr>
          <w:ilvl w:val="0"/>
          <w:numId w:val="0"/>
        </w:numPr>
        <w:spacing w:before="12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Accrued expenses consist of the following: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March 31, 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Accrued payroll liabilities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1,320,452 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1,504,113 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Accrued taxes</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131,593 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286,455 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Current portion of finance obligation</w:t>
            </w: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31,312 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30,487 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Accrued other</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197,365 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103,918 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 accrued expenses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1,680,722 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1,924,973 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88" w:lineRule="auto"/>
        <w:ind w:left="0" w:right="0" w:firstLine="0"/>
        <w:jc w:val="left"/>
        <w:outlineLvl w:val="3"/>
        <w:rPr>
          <w:rFonts w:ascii="Times New Roman" w:eastAsia="Times New Roman" w:hAnsi="Times New Roman" w:cs="Times New Roman"/>
          <w:b/>
          <w:sz w:val="20"/>
        </w:rPr>
      </w:pPr>
      <w:bookmarkStart w:id="14" w:name="Section15"/>
      <w:bookmarkEnd w:id="14"/>
      <w:r>
        <w:rPr>
          <w:rFonts w:ascii="Times New Roman" w:eastAsia="Times New Roman" w:hAnsi="Times New Roman" w:cs="Times New Roman"/>
          <w:b/>
          <w:sz w:val="20"/>
        </w:rPr>
        <w:t>NOTE 6.</w:t>
      </w:r>
      <w:r>
        <w:rPr>
          <w:rFonts w:ascii="Times New Roman" w:eastAsia="Times New Roman" w:hAnsi="Times New Roman" w:cs="Times New Roman"/>
          <w:b/>
          <w:sz w:val="20"/>
        </w:rPr>
        <w:tab/>
      </w:r>
      <w:r>
        <w:rPr>
          <w:rFonts w:ascii="Times New Roman" w:eastAsia="Times New Roman" w:hAnsi="Times New Roman" w:cs="Times New Roman"/>
          <w:b/>
          <w:sz w:val="20"/>
        </w:rPr>
        <w:t>NOTES PAYABLE</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color w:val="1A1A1A"/>
          <w:sz w:val="20"/>
          <w:u w:val="single"/>
          <w:shd w:val="clear" w:color="auto" w:fill="FFFFFF"/>
        </w:rPr>
        <w:t>Canada Emergency Business Account (“</w:t>
      </w:r>
      <w:r>
        <w:rPr>
          <w:rFonts w:ascii="Times New Roman" w:eastAsia="Times New Roman" w:hAnsi="Times New Roman" w:cs="Times New Roman"/>
          <w:b/>
          <w:sz w:val="20"/>
          <w:u w:val="single"/>
        </w:rPr>
        <w:t>CEBA”) Loan</w:t>
      </w:r>
    </w:p>
    <w:p>
      <w:pPr>
        <w:keepNext/>
        <w:keepLines/>
        <w:pageBreakBefore w:val="0"/>
        <w:widowControl w:val="0"/>
        <w:numPr>
          <w:ilvl w:val="0"/>
          <w:numId w:val="0"/>
        </w:numPr>
        <w:spacing w:before="120" w:after="0" w:line="288" w:lineRule="auto"/>
        <w:ind w:left="0" w:right="0" w:firstLine="720"/>
        <w:jc w:val="both"/>
        <w:outlineLvl w:val="9"/>
        <w:rPr>
          <w:rFonts w:ascii="Times New Roman" w:eastAsia="Times New Roman" w:hAnsi="Times New Roman" w:cs="Times New Roman"/>
          <w:b/>
          <w:sz w:val="20"/>
        </w:rPr>
      </w:pPr>
      <w:r>
        <w:rPr>
          <w:rFonts w:ascii="Times New Roman" w:eastAsia="Times New Roman" w:hAnsi="Times New Roman" w:cs="Times New Roman"/>
          <w:color w:val="1A1A1A"/>
          <w:sz w:val="20"/>
          <w:shd w:val="clear" w:color="auto" w:fill="FFFFFF"/>
        </w:rPr>
        <w:t xml:space="preserve">On April 22, 2020, the Company received a Canadian dollar loan in the principal amount of </w:t>
      </w:r>
      <w:r>
        <w:rPr>
          <w:rFonts w:ascii="Times New Roman" w:eastAsia="Times New Roman" w:hAnsi="Times New Roman" w:cs="Times New Roman"/>
          <w:color w:val="1A1A1A"/>
          <w:sz w:val="20"/>
          <w:shd w:val="clear" w:color="auto" w:fill="FFFFFF"/>
        </w:rPr>
        <w:t>40,000</w:t>
      </w:r>
      <w:r>
        <w:rPr>
          <w:rFonts w:ascii="Times New Roman" w:eastAsia="Times New Roman" w:hAnsi="Times New Roman" w:cs="Times New Roman"/>
          <w:color w:val="1A1A1A"/>
          <w:sz w:val="20"/>
          <w:shd w:val="clear" w:color="auto" w:fill="FFFFFF"/>
        </w:rPr>
        <w:t xml:space="preserve"> CAD (</w:t>
      </w:r>
      <w:r>
        <w:rPr>
          <w:rFonts w:ascii="Times New Roman" w:eastAsia="Times New Roman" w:hAnsi="Times New Roman" w:cs="Times New Roman"/>
          <w:color w:val="1A1A1A"/>
          <w:sz w:val="20"/>
          <w:shd w:val="clear" w:color="auto" w:fill="FFFFFF"/>
        </w:rPr>
        <w:t>$31,776</w:t>
      </w:r>
      <w:r>
        <w:rPr>
          <w:rFonts w:ascii="Times New Roman" w:eastAsia="Times New Roman" w:hAnsi="Times New Roman" w:cs="Times New Roman"/>
          <w:color w:val="1A1A1A"/>
          <w:sz w:val="20"/>
          <w:shd w:val="clear" w:color="auto" w:fill="FFFFFF"/>
        </w:rPr>
        <w:t xml:space="preserve"> USD as of </w:t>
      </w:r>
      <w:r>
        <w:rPr>
          <w:rFonts w:ascii="Times New Roman" w:eastAsia="Times New Roman" w:hAnsi="Times New Roman" w:cs="Times New Roman"/>
          <w:sz w:val="20"/>
        </w:rPr>
        <w:t>March 31, 2021</w:t>
      </w:r>
      <w:r>
        <w:rPr>
          <w:rFonts w:ascii="Times New Roman" w:eastAsia="Times New Roman" w:hAnsi="Times New Roman" w:cs="Times New Roman"/>
          <w:color w:val="1A1A1A"/>
          <w:sz w:val="20"/>
          <w:shd w:val="clear" w:color="auto" w:fill="FFFFFF"/>
        </w:rPr>
        <w:t xml:space="preserve">), from TD Canada Trust Bank pursuant to a CEBA term loan agreement (the “CEBA Loan”). The CEBA Loan has an initial term from inception through December 31, 2022 (the “Initial Term”) and an extended term from January 1, 2023 through December 31, 2025 (the “Extended Term”). </w:t>
      </w:r>
      <w:r>
        <w:rPr>
          <w:rFonts w:ascii="Times New Roman" w:eastAsia="Times New Roman" w:hAnsi="Times New Roman" w:cs="Times New Roman"/>
          <w:color w:val="1A1A1A"/>
          <w:sz w:val="20"/>
          <w:shd w:val="clear" w:color="auto" w:fill="FFFFFF"/>
        </w:rPr>
        <w:t>No</w:t>
      </w:r>
      <w:r>
        <w:rPr>
          <w:rFonts w:ascii="Times New Roman" w:eastAsia="Times New Roman" w:hAnsi="Times New Roman" w:cs="Times New Roman"/>
          <w:color w:val="1A1A1A"/>
          <w:sz w:val="20"/>
          <w:shd w:val="clear" w:color="auto" w:fill="FFFFFF"/>
        </w:rPr>
        <w:t xml:space="preserve"> interest is accrued and </w:t>
      </w:r>
      <w:r>
        <w:rPr>
          <w:rFonts w:ascii="Times New Roman" w:eastAsia="Times New Roman" w:hAnsi="Times New Roman" w:cs="Times New Roman"/>
          <w:color w:val="1A1A1A"/>
          <w:sz w:val="20"/>
          <w:shd w:val="clear" w:color="auto" w:fill="FFFFFF"/>
        </w:rPr>
        <w:t>no</w:t>
      </w:r>
      <w:r>
        <w:rPr>
          <w:rFonts w:ascii="Times New Roman" w:eastAsia="Times New Roman" w:hAnsi="Times New Roman" w:cs="Times New Roman"/>
          <w:color w:val="1A1A1A"/>
          <w:sz w:val="20"/>
          <w:shd w:val="clear" w:color="auto" w:fill="FFFFFF"/>
        </w:rPr>
        <w:t xml:space="preserve"> payments are due on the loan during the Initial Term. If the Company repays </w:t>
      </w:r>
      <w:r>
        <w:rPr>
          <w:rFonts w:ascii="Times New Roman" w:eastAsia="Times New Roman" w:hAnsi="Times New Roman" w:cs="Times New Roman"/>
          <w:color w:val="1A1A1A"/>
          <w:sz w:val="20"/>
          <w:shd w:val="clear" w:color="auto" w:fill="FFFFFF"/>
        </w:rPr>
        <w:t>75%</w:t>
      </w:r>
      <w:r>
        <w:rPr>
          <w:rFonts w:ascii="Times New Roman" w:eastAsia="Times New Roman" w:hAnsi="Times New Roman" w:cs="Times New Roman"/>
          <w:color w:val="1A1A1A"/>
          <w:sz w:val="20"/>
          <w:shd w:val="clear" w:color="auto" w:fill="FFFFFF"/>
        </w:rPr>
        <w:t xml:space="preserve"> of the CEBA Loan (</w:t>
      </w:r>
      <w:r>
        <w:rPr>
          <w:rFonts w:ascii="Times New Roman" w:eastAsia="Times New Roman" w:hAnsi="Times New Roman" w:cs="Times New Roman"/>
          <w:color w:val="1A1A1A"/>
          <w:sz w:val="20"/>
          <w:shd w:val="clear" w:color="auto" w:fill="FFFFFF"/>
        </w:rPr>
        <w:t>30,000</w:t>
      </w:r>
      <w:r>
        <w:rPr>
          <w:rFonts w:ascii="Times New Roman" w:eastAsia="Times New Roman" w:hAnsi="Times New Roman" w:cs="Times New Roman"/>
          <w:color w:val="1A1A1A"/>
          <w:sz w:val="20"/>
          <w:shd w:val="clear" w:color="auto" w:fill="FFFFFF"/>
        </w:rPr>
        <w:t xml:space="preserve"> CAD) on or prior to December 31, 2022, the remaining </w:t>
      </w:r>
      <w:r>
        <w:rPr>
          <w:rFonts w:ascii="Times New Roman" w:eastAsia="Times New Roman" w:hAnsi="Times New Roman" w:cs="Times New Roman"/>
          <w:color w:val="1A1A1A"/>
          <w:sz w:val="20"/>
          <w:shd w:val="clear" w:color="auto" w:fill="FFFFFF"/>
        </w:rPr>
        <w:t>10,000</w:t>
      </w:r>
      <w:r>
        <w:rPr>
          <w:rFonts w:ascii="Times New Roman" w:eastAsia="Times New Roman" w:hAnsi="Times New Roman" w:cs="Times New Roman"/>
          <w:color w:val="1A1A1A"/>
          <w:sz w:val="20"/>
          <w:shd w:val="clear" w:color="auto" w:fill="FFFFFF"/>
        </w:rPr>
        <w:t xml:space="preserve"> CAD balance will be forgiven. Otherwise, interest will begin to accrue on the unpaid balance on January 1, 2023 with monthly interest payments commencing on January 31, 2023 until the CEBA Loan is paid in full on or before the end of the Extended Term.</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Paycheck Protection Program (“PPP”) Loan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color w:val="1A1A1A"/>
          <w:sz w:val="20"/>
        </w:rPr>
      </w:pPr>
      <w:r>
        <w:rPr>
          <w:rFonts w:ascii="Times New Roman" w:eastAsia="Times New Roman" w:hAnsi="Times New Roman" w:cs="Times New Roman"/>
          <w:sz w:val="20"/>
        </w:rPr>
        <w:t xml:space="preserve">On April 23, 2020, the Company received a loan from Western Alliance Bank (the “Lender”) in the principal amount of </w:t>
      </w:r>
      <w:r>
        <w:rPr>
          <w:rFonts w:ascii="Times New Roman" w:eastAsia="Times New Roman" w:hAnsi="Times New Roman" w:cs="Times New Roman"/>
          <w:sz w:val="20"/>
        </w:rPr>
        <w:t>$1,905,100</w:t>
      </w:r>
      <w:r>
        <w:rPr>
          <w:rFonts w:ascii="Times New Roman" w:eastAsia="Times New Roman" w:hAnsi="Times New Roman" w:cs="Times New Roman"/>
          <w:sz w:val="20"/>
        </w:rPr>
        <w:t xml:space="preserve"> </w:t>
      </w:r>
      <w:r>
        <w:rPr>
          <w:rFonts w:ascii="Times New Roman" w:eastAsia="Times New Roman" w:hAnsi="Times New Roman" w:cs="Times New Roman"/>
          <w:sz w:val="20"/>
        </w:rPr>
        <w:t>(the “PPP Loan”) under the Paycheck Protection Program (“PPP”)</w:t>
      </w:r>
      <w:r>
        <w:rPr>
          <w:rFonts w:ascii="Times New Roman" w:eastAsia="Times New Roman" w:hAnsi="Times New Roman" w:cs="Times New Roman"/>
          <w:sz w:val="20"/>
        </w:rPr>
        <w:t>,</w:t>
      </w:r>
      <w:r>
        <w:rPr>
          <w:rFonts w:ascii="Times New Roman" w:eastAsia="Times New Roman" w:hAnsi="Times New Roman" w:cs="Times New Roman"/>
          <w:sz w:val="20"/>
        </w:rPr>
        <w:t xml:space="preserve"> evidenced by a promissory note issued by the Company (the “Note”) to the Lender.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term of the Note is </w:t>
      </w:r>
      <w:r>
        <w:rPr>
          <w:rFonts w:ascii="Times New Roman" w:eastAsia="Times New Roman" w:hAnsi="Times New Roman" w:cs="Times New Roman"/>
          <w:sz w:val="20"/>
        </w:rPr>
        <w:t>two</w:t>
      </w:r>
      <w:r>
        <w:rPr>
          <w:rFonts w:ascii="Times New Roman" w:eastAsia="Times New Roman" w:hAnsi="Times New Roman" w:cs="Times New Roman"/>
          <w:sz w:val="20"/>
        </w:rPr>
        <w:t xml:space="preserve"> years, though it may be payable sooner in connection with an event of default under the Note. The PPP Loan carries a fixed interest rate of </w:t>
      </w:r>
      <w:r>
        <w:rPr>
          <w:rFonts w:ascii="Times New Roman" w:eastAsia="Times New Roman" w:hAnsi="Times New Roman" w:cs="Times New Roman"/>
          <w:sz w:val="20"/>
        </w:rPr>
        <w:t>one</w:t>
      </w:r>
      <w:r>
        <w:rPr>
          <w:rFonts w:ascii="Times New Roman" w:eastAsia="Times New Roman" w:hAnsi="Times New Roman" w:cs="Times New Roman"/>
          <w:sz w:val="20"/>
        </w:rPr>
        <w:t xml:space="preserve"> percent per year. Certain amounts received under the PPP Loan may be forgiven if the loan proceeds are used for eligible purposes, including payroll costs and certain rent or utility costs, and the Company meets other requirements regarding, among other things, the maintenance of employment and compensation levels.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color w:val="1A1A1A"/>
          <w:sz w:val="20"/>
        </w:rPr>
      </w:pPr>
      <w:r>
        <w:rPr>
          <w:rFonts w:ascii="Times New Roman" w:eastAsia="Times New Roman" w:hAnsi="Times New Roman" w:cs="Times New Roman"/>
          <w:color w:val="1A1A1A"/>
          <w:sz w:val="20"/>
        </w:rPr>
        <w:t>Loan payments on the PPP Loan may be deferred to either (1) the date that the SBA remits the Company’s loan forgiveness amount to the Lender or (2) ten months after the end of the Company’s loan forgiveness covered period, if the Company does not apply for loan forgiveness</w:t>
      </w:r>
      <w:r>
        <w:rPr>
          <w:rFonts w:ascii="Times New Roman" w:eastAsia="Times New Roman" w:hAnsi="Times New Roman" w:cs="Times New Roman"/>
          <w:sz w:val="20"/>
        </w:rPr>
        <w:t xml:space="preserve">. The Company submitted its forgiveness application for the entire amount of the loan in December 2020 and is awaiting approval from the SBA. </w:t>
      </w:r>
      <w:r>
        <w:rPr>
          <w:rFonts w:ascii="Times New Roman" w:eastAsia="Times New Roman" w:hAnsi="Times New Roman" w:cs="Times New Roman"/>
          <w:color w:val="1A1A1A"/>
          <w:sz w:val="20"/>
        </w:rPr>
        <w:t>The forgiveness of the PPP Loan is dependent on the Company qualifying for the forgiveness of the PPP Loan based on its adherence to the forgiveness criteria under the CARES Act, and no assurance is provided that the Company will obtain forgiveness of the PPP Loan in whole or in part.</w:t>
      </w:r>
      <w:r>
        <w:rPr>
          <w:rFonts w:ascii="Times New Roman" w:eastAsia="Times New Roman" w:hAnsi="Times New Roman" w:cs="Times New Roman"/>
          <w:color w:val="1A1A1A"/>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color w:val="1A1A1A"/>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total balance owed was </w:t>
      </w:r>
      <w:r>
        <w:rPr>
          <w:rFonts w:ascii="Times New Roman" w:eastAsia="Times New Roman" w:hAnsi="Times New Roman" w:cs="Times New Roman"/>
          <w:sz w:val="20"/>
        </w:rPr>
        <w:t>$1,905,100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with </w:t>
      </w:r>
      <w:r>
        <w:rPr>
          <w:rFonts w:ascii="Times New Roman" w:eastAsia="Times New Roman" w:hAnsi="Times New Roman" w:cs="Times New Roman"/>
          <w:sz w:val="20"/>
        </w:rPr>
        <w:t>$1,797,976</w:t>
      </w:r>
      <w:r>
        <w:rPr>
          <w:rFonts w:ascii="Times New Roman" w:eastAsia="Times New Roman" w:hAnsi="Times New Roman" w:cs="Times New Roman"/>
          <w:sz w:val="20"/>
        </w:rPr>
        <w:t xml:space="preserve"> and </w:t>
      </w:r>
      <w:r>
        <w:rPr>
          <w:rFonts w:ascii="Times New Roman" w:eastAsia="Times New Roman" w:hAnsi="Times New Roman" w:cs="Times New Roman"/>
          <w:sz w:val="20"/>
        </w:rPr>
        <w:t>$1,477,139</w:t>
      </w:r>
      <w:r>
        <w:rPr>
          <w:rFonts w:ascii="Times New Roman" w:eastAsia="Times New Roman" w:hAnsi="Times New Roman" w:cs="Times New Roman"/>
          <w:sz w:val="20"/>
        </w:rPr>
        <w:t xml:space="preserve"> re</w:t>
      </w:r>
      <w:r>
        <w:rPr>
          <w:rFonts w:ascii="Times New Roman" w:eastAsia="Times New Roman" w:hAnsi="Times New Roman" w:cs="Times New Roman"/>
          <w:sz w:val="20"/>
        </w:rPr>
        <w:t xml:space="preserve">flected </w:t>
      </w:r>
      <w:r>
        <w:rPr>
          <w:rFonts w:ascii="Times New Roman" w:eastAsia="Times New Roman" w:hAnsi="Times New Roman" w:cs="Times New Roman"/>
          <w:sz w:val="20"/>
        </w:rPr>
        <w:t>in the</w:t>
      </w:r>
      <w:r>
        <w:rPr>
          <w:rFonts w:ascii="Times New Roman" w:eastAsia="Times New Roman" w:hAnsi="Times New Roman" w:cs="Times New Roman"/>
          <w:sz w:val="20"/>
        </w:rPr>
        <w:t xml:space="preserve"> </w:t>
      </w:r>
      <w:r>
        <w:rPr>
          <w:rFonts w:ascii="Times New Roman" w:eastAsia="Times New Roman" w:hAnsi="Times New Roman" w:cs="Times New Roman"/>
          <w:sz w:val="20"/>
        </w:rPr>
        <w:t>current portion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notes payable </w:t>
      </w:r>
      <w:r>
        <w:rPr>
          <w:rFonts w:ascii="Times New Roman" w:eastAsia="Times New Roman" w:hAnsi="Times New Roman" w:cs="Times New Roman"/>
          <w:sz w:val="20"/>
        </w:rPr>
        <w:t xml:space="preserve">in the consolidated balance sheets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 respectively</w:t>
      </w:r>
      <w:r>
        <w:rPr>
          <w:rFonts w:ascii="Times New Roman" w:eastAsia="Times New Roman" w:hAnsi="Times New Roman" w:cs="Times New Roman"/>
          <w:sz w:val="20"/>
        </w:rPr>
        <w:t>, based o</w:t>
      </w:r>
      <w:r>
        <w:rPr>
          <w:rFonts w:ascii="Times New Roman" w:eastAsia="Times New Roman" w:hAnsi="Times New Roman" w:cs="Times New Roman"/>
          <w:sz w:val="20"/>
        </w:rPr>
        <w:t>n the</w:t>
      </w:r>
      <w:r>
        <w:rPr>
          <w:rFonts w:ascii="Times New Roman" w:eastAsia="Times New Roman" w:hAnsi="Times New Roman" w:cs="Times New Roman"/>
          <w:sz w:val="20"/>
        </w:rPr>
        <w:t xml:space="preserve"> </w:t>
      </w:r>
      <w:r>
        <w:rPr>
          <w:rFonts w:ascii="Times New Roman" w:eastAsia="Times New Roman" w:hAnsi="Times New Roman" w:cs="Times New Roman"/>
          <w:sz w:val="20"/>
        </w:rPr>
        <w:t>orig</w:t>
      </w:r>
      <w:r>
        <w:rPr>
          <w:rFonts w:ascii="Times New Roman" w:eastAsia="Times New Roman" w:hAnsi="Times New Roman" w:cs="Times New Roman"/>
          <w:sz w:val="20"/>
        </w:rPr>
        <w:t>i</w:t>
      </w:r>
      <w:r>
        <w:rPr>
          <w:rFonts w:ascii="Times New Roman" w:eastAsia="Times New Roman" w:hAnsi="Times New Roman" w:cs="Times New Roman"/>
          <w:sz w:val="20"/>
        </w:rPr>
        <w:t xml:space="preserve">nal </w:t>
      </w:r>
      <w:r>
        <w:rPr>
          <w:rFonts w:ascii="Times New Roman" w:eastAsia="Times New Roman" w:hAnsi="Times New Roman" w:cs="Times New Roman"/>
          <w:sz w:val="20"/>
        </w:rPr>
        <w:t xml:space="preserve">terms of the </w:t>
      </w:r>
      <w:r>
        <w:rPr>
          <w:rFonts w:ascii="Times New Roman" w:eastAsia="Times New Roman" w:hAnsi="Times New Roman" w:cs="Times New Roman"/>
          <w:sz w:val="20"/>
        </w:rPr>
        <w:t>N</w:t>
      </w:r>
      <w:r>
        <w:rPr>
          <w:rFonts w:ascii="Times New Roman" w:eastAsia="Times New Roman" w:hAnsi="Times New Roman" w:cs="Times New Roman"/>
          <w:sz w:val="20"/>
        </w:rPr>
        <w:t>ote</w:t>
      </w:r>
      <w:r>
        <w:rPr>
          <w:rFonts w:ascii="Times New Roman" w:eastAsia="Times New Roman" w:hAnsi="Times New Roman" w:cs="Times New Roman"/>
          <w:sz w:val="20"/>
        </w:rPr>
        <w:t xml:space="preserve"> which state</w:t>
      </w:r>
      <w:r>
        <w:rPr>
          <w:rFonts w:ascii="Times New Roman" w:eastAsia="Times New Roman" w:hAnsi="Times New Roman" w:cs="Times New Roman"/>
          <w:sz w:val="20"/>
        </w:rPr>
        <w:t xml:space="preserve"> that </w:t>
      </w:r>
      <w:r>
        <w:rPr>
          <w:rFonts w:ascii="Times New Roman" w:eastAsia="Times New Roman" w:hAnsi="Times New Roman" w:cs="Times New Roman"/>
          <w:sz w:val="20"/>
        </w:rPr>
        <w:t xml:space="preserve">the first payment would be due </w:t>
      </w:r>
      <w:r>
        <w:rPr>
          <w:rFonts w:ascii="Times New Roman" w:eastAsia="Times New Roman" w:hAnsi="Times New Roman" w:cs="Times New Roman"/>
          <w:sz w:val="20"/>
        </w:rPr>
        <w:t>seven</w:t>
      </w:r>
      <w:r>
        <w:rPr>
          <w:rFonts w:ascii="Times New Roman" w:eastAsia="Times New Roman" w:hAnsi="Times New Roman" w:cs="Times New Roman"/>
          <w:sz w:val="20"/>
        </w:rPr>
        <w:t xml:space="preserve"> months</w:t>
      </w:r>
      <w:r>
        <w:rPr>
          <w:rFonts w:ascii="Times New Roman" w:eastAsia="Times New Roman" w:hAnsi="Times New Roman" w:cs="Times New Roman"/>
          <w:sz w:val="20"/>
        </w:rPr>
        <w:t xml:space="preserve"> after the receipt of the loan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shd w:val="clear" w:color="auto" w:fill="FFFF0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Finance Obligation</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w:t>
      </w:r>
      <w:r>
        <w:rPr>
          <w:rFonts w:ascii="Times New Roman" w:eastAsia="Times New Roman" w:hAnsi="Times New Roman" w:cs="Times New Roman"/>
          <w:sz w:val="20"/>
        </w:rPr>
        <w:t>two</w:t>
      </w:r>
      <w:r>
        <w:rPr>
          <w:rFonts w:ascii="Times New Roman" w:eastAsia="Times New Roman" w:hAnsi="Times New Roman" w:cs="Times New Roman"/>
          <w:sz w:val="20"/>
        </w:rPr>
        <w:t xml:space="preserve"> long term payment plans with a vendor to pay for its computer equipment in </w:t>
      </w:r>
      <w:r>
        <w:rPr>
          <w:rFonts w:ascii="Times New Roman" w:eastAsia="Times New Roman" w:hAnsi="Times New Roman" w:cs="Times New Roman"/>
          <w:sz w:val="20"/>
        </w:rPr>
        <w:t>four</w:t>
      </w:r>
      <w:r>
        <w:rPr>
          <w:rFonts w:ascii="Times New Roman" w:eastAsia="Times New Roman" w:hAnsi="Times New Roman" w:cs="Times New Roman"/>
          <w:sz w:val="20"/>
        </w:rPr>
        <w:t xml:space="preserve"> annual payments between October 2019 and February 2023. The Company used an imputed interest rate of </w:t>
      </w:r>
      <w:r>
        <w:rPr>
          <w:rFonts w:ascii="Times New Roman" w:eastAsia="Times New Roman" w:hAnsi="Times New Roman" w:cs="Times New Roman"/>
          <w:sz w:val="20"/>
        </w:rPr>
        <w:t>9.5%</w:t>
      </w:r>
      <w:r>
        <w:rPr>
          <w:rFonts w:ascii="Times New Roman" w:eastAsia="Times New Roman" w:hAnsi="Times New Roman" w:cs="Times New Roman"/>
          <w:sz w:val="20"/>
        </w:rPr>
        <w:t xml:space="preserve">, based on its incremental borrowing rate, to determine the present value of its finance obligation. The total balance owed was </w:t>
      </w:r>
      <w:r>
        <w:rPr>
          <w:rFonts w:ascii="Times New Roman" w:eastAsia="Times New Roman" w:hAnsi="Times New Roman" w:cs="Times New Roman"/>
          <w:sz w:val="20"/>
        </w:rPr>
        <w:t>$65,604</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$74,295</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respectively, with the short-term portion of </w:t>
      </w:r>
      <w:r>
        <w:rPr>
          <w:rFonts w:ascii="Times New Roman" w:eastAsia="Times New Roman" w:hAnsi="Times New Roman" w:cs="Times New Roman"/>
          <w:sz w:val="20"/>
        </w:rPr>
        <w:t>$31,312</w:t>
      </w:r>
      <w:r>
        <w:rPr>
          <w:rFonts w:ascii="Times New Roman" w:eastAsia="Times New Roman" w:hAnsi="Times New Roman" w:cs="Times New Roman"/>
          <w:sz w:val="20"/>
        </w:rPr>
        <w:t xml:space="preserve"> and </w:t>
      </w:r>
      <w:r>
        <w:rPr>
          <w:rFonts w:ascii="Times New Roman" w:eastAsia="Times New Roman" w:hAnsi="Times New Roman" w:cs="Times New Roman"/>
          <w:sz w:val="20"/>
        </w:rPr>
        <w:t>$30,487</w:t>
      </w:r>
      <w:r>
        <w:rPr>
          <w:rFonts w:ascii="Times New Roman" w:eastAsia="Times New Roman" w:hAnsi="Times New Roman" w:cs="Times New Roman"/>
          <w:sz w:val="20"/>
        </w:rPr>
        <w:t xml:space="preserve"> recorded under accrued expenses in the consolidated balance sheets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respectively.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Secured Credit Facility</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ha</w:t>
      </w:r>
      <w:r>
        <w:rPr>
          <w:rFonts w:ascii="Times New Roman" w:eastAsia="Times New Roman" w:hAnsi="Times New Roman" w:cs="Times New Roman"/>
          <w:sz w:val="20"/>
        </w:rPr>
        <w:t>d</w:t>
      </w:r>
      <w:r>
        <w:rPr>
          <w:rFonts w:ascii="Times New Roman" w:eastAsia="Times New Roman" w:hAnsi="Times New Roman" w:cs="Times New Roman"/>
          <w:sz w:val="20"/>
        </w:rPr>
        <w:t xml:space="preserve"> a secured credit facility agreement (also referred to herein as “line of credit”) with Western Alliance Bank, the parent company of Bridge Bank, N.A. of San Jose, California, which it obtained on March 1, 2013 and expanded on April 13, 20</w:t>
      </w:r>
      <w:r>
        <w:rPr>
          <w:rFonts w:ascii="Times New Roman" w:eastAsia="Times New Roman" w:hAnsi="Times New Roman" w:cs="Times New Roman"/>
          <w:sz w:val="20"/>
        </w:rPr>
        <w:t>15</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Pursuant to the secured credit facility agreement, as amended, the Company </w:t>
      </w:r>
      <w:r>
        <w:rPr>
          <w:rFonts w:ascii="Times New Roman" w:eastAsia="Times New Roman" w:hAnsi="Times New Roman" w:cs="Times New Roman"/>
          <w:sz w:val="20"/>
        </w:rPr>
        <w:t>may</w:t>
      </w:r>
      <w:r>
        <w:rPr>
          <w:rFonts w:ascii="Times New Roman" w:eastAsia="Times New Roman" w:hAnsi="Times New Roman" w:cs="Times New Roman"/>
          <w:sz w:val="20"/>
        </w:rPr>
        <w:t xml:space="preserve"> submit requests for </w:t>
      </w:r>
      <w:r>
        <w:rPr>
          <w:rFonts w:ascii="Times New Roman" w:eastAsia="Times New Roman" w:hAnsi="Times New Roman" w:cs="Times New Roman"/>
          <w:sz w:val="20"/>
        </w:rPr>
        <w:t>advances</w:t>
      </w:r>
      <w:r>
        <w:rPr>
          <w:rFonts w:ascii="Times New Roman" w:eastAsia="Times New Roman" w:hAnsi="Times New Roman" w:cs="Times New Roman"/>
          <w:sz w:val="20"/>
        </w:rPr>
        <w:t xml:space="preserve"> up to </w:t>
      </w:r>
      <w:r>
        <w:rPr>
          <w:rFonts w:ascii="Times New Roman" w:eastAsia="Times New Roman" w:hAnsi="Times New Roman" w:cs="Times New Roman"/>
          <w:sz w:val="20"/>
        </w:rPr>
        <w:t>80%</w:t>
      </w:r>
      <w:r>
        <w:rPr>
          <w:rFonts w:ascii="Times New Roman" w:eastAsia="Times New Roman" w:hAnsi="Times New Roman" w:cs="Times New Roman"/>
          <w:sz w:val="20"/>
        </w:rPr>
        <w:t xml:space="preserve"> of its eligible accounts receivable up to a maximum credit limit of </w:t>
      </w:r>
      <w:r>
        <w:rPr>
          <w:rFonts w:ascii="Times New Roman" w:eastAsia="Times New Roman" w:hAnsi="Times New Roman" w:cs="Times New Roman"/>
          <w:sz w:val="20"/>
        </w:rPr>
        <w:t>$5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Interest accrue</w:t>
      </w:r>
      <w:r>
        <w:rPr>
          <w:rFonts w:ascii="Times New Roman" w:eastAsia="Times New Roman" w:hAnsi="Times New Roman" w:cs="Times New Roman"/>
          <w:sz w:val="20"/>
        </w:rPr>
        <w:t>d</w:t>
      </w:r>
      <w:r>
        <w:rPr>
          <w:rFonts w:ascii="Times New Roman" w:eastAsia="Times New Roman" w:hAnsi="Times New Roman" w:cs="Times New Roman"/>
          <w:sz w:val="20"/>
        </w:rPr>
        <w:t xml:space="preserve"> on the advances at the rate of </w:t>
      </w:r>
      <w:r>
        <w:rPr>
          <w:rFonts w:ascii="Times New Roman" w:eastAsia="Times New Roman" w:hAnsi="Times New Roman" w:cs="Times New Roman"/>
          <w:sz w:val="20"/>
        </w:rPr>
        <w:t>prime plus 1.5%</w:t>
      </w:r>
      <w:r>
        <w:rPr>
          <w:rFonts w:ascii="Times New Roman" w:eastAsia="Times New Roman" w:hAnsi="Times New Roman" w:cs="Times New Roman"/>
          <w:sz w:val="20"/>
        </w:rPr>
        <w:t xml:space="preserve"> per annum and the default rate of interest </w:t>
      </w:r>
      <w:r>
        <w:rPr>
          <w:rFonts w:ascii="Times New Roman" w:eastAsia="Times New Roman" w:hAnsi="Times New Roman" w:cs="Times New Roman"/>
          <w:sz w:val="20"/>
        </w:rPr>
        <w:t>wa</w:t>
      </w:r>
      <w:r>
        <w:rPr>
          <w:rFonts w:ascii="Times New Roman" w:eastAsia="Times New Roman" w:hAnsi="Times New Roman" w:cs="Times New Roman"/>
          <w:sz w:val="20"/>
        </w:rPr>
        <w:t xml:space="preserve">s </w:t>
      </w:r>
      <w:r>
        <w:rPr>
          <w:rFonts w:ascii="Times New Roman" w:eastAsia="Times New Roman" w:hAnsi="Times New Roman" w:cs="Times New Roman"/>
          <w:sz w:val="20"/>
        </w:rPr>
        <w:t>prime plus 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This agreement </w:t>
      </w:r>
      <w:r>
        <w:rPr>
          <w:rFonts w:ascii="Times New Roman" w:eastAsia="Times New Roman" w:hAnsi="Times New Roman" w:cs="Times New Roman"/>
          <w:sz w:val="20"/>
        </w:rPr>
        <w:t>wa</w:t>
      </w:r>
      <w:r>
        <w:rPr>
          <w:rFonts w:ascii="Times New Roman" w:eastAsia="Times New Roman" w:hAnsi="Times New Roman" w:cs="Times New Roman"/>
          <w:sz w:val="20"/>
        </w:rPr>
        <w:t>s</w:t>
      </w:r>
      <w:r>
        <w:rPr>
          <w:rFonts w:ascii="Times New Roman" w:eastAsia="Times New Roman" w:hAnsi="Times New Roman" w:cs="Times New Roman"/>
          <w:sz w:val="20"/>
        </w:rPr>
        <w:t xml:space="preserve"> secured by the Company’s accounts receivable and substantially all of the Company’s other assets. </w:t>
      </w:r>
      <w:r>
        <w:rPr>
          <w:rFonts w:ascii="Times New Roman" w:eastAsia="Times New Roman" w:hAnsi="Times New Roman" w:cs="Times New Roman"/>
          <w:sz w:val="20"/>
        </w:rPr>
        <w:t>The agreement automatically renew</w:t>
      </w:r>
      <w:r>
        <w:rPr>
          <w:rFonts w:ascii="Times New Roman" w:eastAsia="Times New Roman" w:hAnsi="Times New Roman" w:cs="Times New Roman"/>
          <w:sz w:val="20"/>
        </w:rPr>
        <w:t>s</w:t>
      </w:r>
      <w:r>
        <w:rPr>
          <w:rFonts w:ascii="Times New Roman" w:eastAsia="Times New Roman" w:hAnsi="Times New Roman" w:cs="Times New Roman"/>
          <w:sz w:val="20"/>
        </w:rPr>
        <w:t xml:space="preserve"> in April of each year and require</w:t>
      </w:r>
      <w:r>
        <w:rPr>
          <w:rFonts w:ascii="Times New Roman" w:eastAsia="Times New Roman" w:hAnsi="Times New Roman" w:cs="Times New Roman"/>
          <w:sz w:val="20"/>
        </w:rPr>
        <w:t>d</w:t>
      </w:r>
      <w:r>
        <w:rPr>
          <w:rFonts w:ascii="Times New Roman" w:eastAsia="Times New Roman" w:hAnsi="Times New Roman" w:cs="Times New Roman"/>
          <w:sz w:val="20"/>
        </w:rPr>
        <w:t xml:space="preserve"> the Company to pay an annual facility fee of </w:t>
      </w:r>
      <w:r>
        <w:rPr>
          <w:rFonts w:ascii="Times New Roman" w:eastAsia="Times New Roman" w:hAnsi="Times New Roman" w:cs="Times New Roman"/>
          <w:sz w:val="20"/>
        </w:rPr>
        <w:t>$20,000</w:t>
      </w:r>
      <w:r>
        <w:rPr>
          <w:rFonts w:ascii="Times New Roman" w:eastAsia="Times New Roman" w:hAnsi="Times New Roman" w:cs="Times New Roman"/>
          <w:sz w:val="20"/>
        </w:rPr>
        <w:t xml:space="preserve"> (</w:t>
      </w:r>
      <w:r>
        <w:rPr>
          <w:rFonts w:ascii="Times New Roman" w:eastAsia="Times New Roman" w:hAnsi="Times New Roman" w:cs="Times New Roman"/>
          <w:sz w:val="20"/>
        </w:rPr>
        <w:t>0.4%</w:t>
      </w:r>
      <w:r>
        <w:rPr>
          <w:rFonts w:ascii="Times New Roman" w:eastAsia="Times New Roman" w:hAnsi="Times New Roman" w:cs="Times New Roman"/>
          <w:sz w:val="20"/>
        </w:rPr>
        <w:t xml:space="preserve"> of the credit limit) and an annual due diligence fee of </w:t>
      </w:r>
      <w:r>
        <w:rPr>
          <w:rFonts w:ascii="Times New Roman" w:eastAsia="Times New Roman" w:hAnsi="Times New Roman" w:cs="Times New Roman"/>
          <w:sz w:val="20"/>
        </w:rPr>
        <w:t>$1,000</w:t>
      </w:r>
      <w:r>
        <w:rPr>
          <w:rFonts w:ascii="Times New Roman" w:eastAsia="Times New Roman" w:hAnsi="Times New Roman" w:cs="Times New Roman"/>
          <w:sz w:val="20"/>
        </w:rPr>
        <w:t xml:space="preserve"> </w:t>
      </w:r>
      <w:r>
        <w:rPr>
          <w:rFonts w:ascii="Times New Roman" w:eastAsia="Times New Roman" w:hAnsi="Times New Roman" w:cs="Times New Roman"/>
          <w:sz w:val="20"/>
        </w:rPr>
        <w:t>u</w:t>
      </w:r>
      <w:r>
        <w:rPr>
          <w:rFonts w:ascii="Times New Roman" w:eastAsia="Times New Roman" w:hAnsi="Times New Roman" w:cs="Times New Roman"/>
          <w:sz w:val="20"/>
        </w:rPr>
        <w:t>pon</w:t>
      </w:r>
      <w:r>
        <w:rPr>
          <w:rFonts w:ascii="Times New Roman" w:eastAsia="Times New Roman" w:hAnsi="Times New Roman" w:cs="Times New Roman"/>
          <w:sz w:val="20"/>
        </w:rPr>
        <w:t xml:space="preserve"> renewal</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elected to terminate this agreement upon its renewal in April 2021. </w:t>
      </w: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had </w:t>
      </w:r>
      <w:r>
        <w:rPr>
          <w:rFonts w:ascii="Times New Roman" w:eastAsia="Times New Roman" w:hAnsi="Times New Roman" w:cs="Times New Roman"/>
          <w:sz w:val="20"/>
        </w:rPr>
        <w:t>no amounts</w:t>
      </w:r>
      <w:r>
        <w:rPr>
          <w:rFonts w:ascii="Times New Roman" w:eastAsia="Times New Roman" w:hAnsi="Times New Roman" w:cs="Times New Roman"/>
          <w:sz w:val="20"/>
        </w:rPr>
        <w:t xml:space="preserve"> outstanding under this secured credit facility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Assuming that all of the Company’s trade accounts receivables were eligible for funding, the Company would have </w:t>
      </w:r>
      <w:r>
        <w:rPr>
          <w:rFonts w:ascii="Times New Roman" w:eastAsia="Times New Roman" w:hAnsi="Times New Roman" w:cs="Times New Roman"/>
          <w:sz w:val="20"/>
        </w:rPr>
        <w:t xml:space="preserve">had </w:t>
      </w:r>
      <w:r>
        <w:rPr>
          <w:rFonts w:ascii="Times New Roman" w:eastAsia="Times New Roman" w:hAnsi="Times New Roman" w:cs="Times New Roman"/>
          <w:sz w:val="20"/>
        </w:rPr>
        <w:t xml:space="preserve">approximately </w:t>
      </w:r>
      <w:r>
        <w:rPr>
          <w:rFonts w:ascii="Times New Roman" w:eastAsia="Times New Roman" w:hAnsi="Times New Roman" w:cs="Times New Roman"/>
          <w:sz w:val="20"/>
        </w:rPr>
        <w:t>$3.2 million</w:t>
      </w:r>
      <w:r>
        <w:rPr>
          <w:rFonts w:ascii="Times New Roman" w:eastAsia="Times New Roman" w:hAnsi="Times New Roman" w:cs="Times New Roman"/>
          <w:sz w:val="20"/>
        </w:rPr>
        <w:t xml:space="preserve"> in available credit under the agreement as of </w:t>
      </w:r>
      <w:r>
        <w:rPr>
          <w:rFonts w:ascii="Times New Roman" w:eastAsia="Times New Roman" w:hAnsi="Times New Roman" w:cs="Times New Roman"/>
          <w:sz w:val="20"/>
        </w:rPr>
        <w:t>March 31, 2021</w:t>
      </w:r>
      <w:r>
        <w:rPr>
          <w:rFonts w:ascii="Times New Roman" w:eastAsia="Times New Roman" w:hAnsi="Times New Roman" w:cs="Times New Roman"/>
          <w:sz w:val="20"/>
        </w:rPr>
        <w:t>.</w:t>
      </w: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annual fees are capitalized in the Company’s consolidated balance sheet within other current assets and are amortized to interest expense over </w:t>
      </w:r>
      <w:r>
        <w:rPr>
          <w:rFonts w:ascii="Times New Roman" w:eastAsia="Times New Roman" w:hAnsi="Times New Roman" w:cs="Times New Roman"/>
          <w:sz w:val="20"/>
        </w:rPr>
        <w:t>one year</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the Company amortized </w:t>
      </w:r>
      <w:r>
        <w:rPr>
          <w:rFonts w:ascii="Times New Roman" w:eastAsia="Times New Roman" w:hAnsi="Times New Roman" w:cs="Times New Roman"/>
          <w:sz w:val="20"/>
        </w:rPr>
        <w:t>$5,250</w:t>
      </w:r>
      <w:r>
        <w:rPr>
          <w:rFonts w:ascii="Times New Roman" w:eastAsia="Times New Roman" w:hAnsi="Times New Roman" w:cs="Times New Roman"/>
          <w:sz w:val="20"/>
        </w:rPr>
        <w:t xml:space="preserve"> and </w:t>
      </w:r>
      <w:r>
        <w:rPr>
          <w:rFonts w:ascii="Times New Roman" w:eastAsia="Times New Roman" w:hAnsi="Times New Roman" w:cs="Times New Roman"/>
          <w:sz w:val="20"/>
        </w:rPr>
        <w:t>$5,250</w:t>
      </w:r>
      <w:r>
        <w:rPr>
          <w:rFonts w:ascii="Times New Roman" w:eastAsia="Times New Roman" w:hAnsi="Times New Roman" w:cs="Times New Roman"/>
          <w:sz w:val="20"/>
        </w:rPr>
        <w:t xml:space="preserve">, respectively, of the secured credit facility costs through interest expense. The remaining value of the capitalized loan costs related to the secured credit facility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is </w:t>
      </w:r>
      <w:r>
        <w:rPr>
          <w:rFonts w:ascii="Times New Roman" w:eastAsia="Times New Roman" w:hAnsi="Times New Roman" w:cs="Times New Roman"/>
          <w:sz w:val="20"/>
        </w:rPr>
        <w:t>$1,750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 xml:space="preserve">his amount will be amortized to interest expense over the next </w:t>
      </w:r>
      <w:r>
        <w:rPr>
          <w:rFonts w:ascii="Times New Roman" w:eastAsia="Times New Roman" w:hAnsi="Times New Roman" w:cs="Times New Roman"/>
          <w:sz w:val="20"/>
        </w:rPr>
        <w:t>one</w:t>
      </w:r>
      <w:r>
        <w:rPr>
          <w:rFonts w:ascii="Times New Roman" w:eastAsia="Times New Roman" w:hAnsi="Times New Roman" w:cs="Times New Roman"/>
          <w:sz w:val="20"/>
        </w:rPr>
        <w:t xml:space="preserve"> month</w:t>
      </w:r>
      <w:r>
        <w:rPr>
          <w:rFonts w:ascii="Times New Roman" w:eastAsia="Times New Roman" w:hAnsi="Times New Roman" w:cs="Times New Roman"/>
          <w:sz w:val="20"/>
        </w:rPr>
        <w:t>.</w:t>
      </w:r>
    </w:p>
    <w:p>
      <w:pPr>
        <w:keepNext/>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Summary</w:t>
      </w:r>
    </w:p>
    <w:p>
      <w:pPr>
        <w:keepNext/>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Interest expense on financing arrangements recorded in the Company’s consolidated statements of operations</w:t>
      </w:r>
      <w:r>
        <w:rPr>
          <w:rFonts w:ascii="Times New Roman" w:eastAsia="Times New Roman" w:hAnsi="Times New Roman" w:cs="Times New Roman"/>
          <w:sz w:val="20"/>
        </w:rPr>
        <w:t xml:space="preserve"> </w:t>
      </w:r>
      <w:r>
        <w:rPr>
          <w:rFonts w:ascii="Times New Roman" w:eastAsia="Times New Roman" w:hAnsi="Times New Roman" w:cs="Times New Roman"/>
          <w:sz w:val="20"/>
        </w:rPr>
        <w:t>and comprehensive loss</w:t>
      </w:r>
      <w:r>
        <w:rPr>
          <w:rFonts w:ascii="Times New Roman" w:eastAsia="Times New Roman" w:hAnsi="Times New Roman" w:cs="Times New Roman"/>
          <w:sz w:val="20"/>
        </w:rPr>
        <w:t xml:space="preserve"> was </w:t>
      </w:r>
      <w:r>
        <w:rPr>
          <w:rFonts w:ascii="Times New Roman" w:eastAsia="Times New Roman" w:hAnsi="Times New Roman" w:cs="Times New Roman"/>
          <w:sz w:val="20"/>
        </w:rPr>
        <w:t>$6,470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sz w:val="20"/>
        </w:rPr>
        <w:t>, the future contractual maturities of our debt obligations by year is set forth in the following schedule:</w:t>
      </w:r>
    </w:p>
    <w:p>
      <w:pPr>
        <w:keepNext/>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460"/>
        <w:gridCol w:w="160"/>
        <w:gridCol w:w="15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Remainder of 2021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1,498,935 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2022</w:t>
            </w: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493,125 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2023</w:t>
            </w:r>
          </w:p>
        </w:tc>
        <w:tc>
          <w:tcPr>
            <w:tcW w:w="17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10,420 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5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2,002,480 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88" w:lineRule="auto"/>
        <w:ind w:left="0" w:right="0" w:firstLine="0"/>
        <w:jc w:val="left"/>
        <w:outlineLvl w:val="3"/>
        <w:rPr>
          <w:rFonts w:ascii="Times New Roman" w:eastAsia="Times New Roman" w:hAnsi="Times New Roman" w:cs="Times New Roman"/>
          <w:b/>
          <w:sz w:val="20"/>
        </w:rPr>
      </w:pPr>
      <w:bookmarkStart w:id="15" w:name="Section16"/>
      <w:bookmarkEnd w:id="15"/>
      <w:r>
        <w:rPr>
          <w:rFonts w:ascii="Times New Roman" w:eastAsia="Times New Roman" w:hAnsi="Times New Roman" w:cs="Times New Roman"/>
          <w:b/>
          <w:sz w:val="20"/>
        </w:rPr>
        <w:t>NOTE 7.</w:t>
      </w:r>
      <w:r>
        <w:rPr>
          <w:rFonts w:ascii="Times New Roman" w:eastAsia="Times New Roman" w:hAnsi="Times New Roman" w:cs="Times New Roman"/>
          <w:b/>
          <w:sz w:val="20"/>
        </w:rPr>
        <w:tab/>
      </w:r>
      <w:r>
        <w:rPr>
          <w:rFonts w:ascii="Times New Roman" w:eastAsia="Times New Roman" w:hAnsi="Times New Roman" w:cs="Times New Roman"/>
          <w:b/>
          <w:sz w:val="20"/>
        </w:rPr>
        <w:t>COMMITMENTS AND CONTINGENCIES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Lease Commitments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Due to </w:t>
      </w:r>
      <w:r>
        <w:rPr>
          <w:rFonts w:ascii="Times New Roman" w:eastAsia="Times New Roman" w:hAnsi="Times New Roman" w:cs="Times New Roman"/>
          <w:sz w:val="20"/>
        </w:rPr>
        <w:t>the Company</w:t>
      </w:r>
      <w:r>
        <w:rPr>
          <w:rFonts w:ascii="Times New Roman" w:eastAsia="Times New Roman" w:hAnsi="Times New Roman" w:cs="Times New Roman"/>
          <w:sz w:val="20"/>
        </w:rPr>
        <w:t>’</w:t>
      </w:r>
      <w:r>
        <w:rPr>
          <w:rFonts w:ascii="Times New Roman" w:eastAsia="Times New Roman" w:hAnsi="Times New Roman" w:cs="Times New Roman"/>
          <w:sz w:val="20"/>
        </w:rPr>
        <w:t>s</w:t>
      </w:r>
      <w:r>
        <w:rPr>
          <w:rFonts w:ascii="Times New Roman" w:eastAsia="Times New Roman" w:hAnsi="Times New Roman" w:cs="Times New Roman"/>
          <w:sz w:val="20"/>
        </w:rPr>
        <w:t xml:space="preserve"> current work from home policy enacted on March 16, 2020 as a result of </w:t>
      </w:r>
      <w:r>
        <w:rPr>
          <w:rFonts w:ascii="Times New Roman" w:eastAsia="Times New Roman" w:hAnsi="Times New Roman" w:cs="Times New Roman"/>
          <w:color w:val="1A1A1A"/>
          <w:sz w:val="20"/>
        </w:rPr>
        <w:t xml:space="preserve">the COVID-19 pandemic, </w:t>
      </w:r>
      <w:r>
        <w:rPr>
          <w:rFonts w:ascii="Times New Roman" w:eastAsia="Times New Roman" w:hAnsi="Times New Roman" w:cs="Times New Roman"/>
          <w:color w:val="1A1A1A"/>
          <w:sz w:val="20"/>
        </w:rPr>
        <w:t>and</w:t>
      </w:r>
      <w:r>
        <w:rPr>
          <w:rFonts w:ascii="Times New Roman" w:eastAsia="Times New Roman" w:hAnsi="Times New Roman" w:cs="Times New Roman"/>
          <w:color w:val="1A1A1A"/>
          <w:sz w:val="20"/>
        </w:rPr>
        <w:t xml:space="preserve"> its</w:t>
      </w:r>
      <w:r>
        <w:rPr>
          <w:rFonts w:ascii="Times New Roman" w:eastAsia="Times New Roman" w:hAnsi="Times New Roman" w:cs="Times New Roman"/>
          <w:color w:val="1A1A1A"/>
          <w:sz w:val="20"/>
        </w:rPr>
        <w:t xml:space="preserve"> intent to </w:t>
      </w:r>
      <w:r>
        <w:rPr>
          <w:rFonts w:ascii="Times New Roman" w:eastAsia="Times New Roman" w:hAnsi="Times New Roman" w:cs="Times New Roman"/>
          <w:color w:val="1A1A1A"/>
          <w:sz w:val="20"/>
        </w:rPr>
        <w:t>remain v</w:t>
      </w:r>
      <w:r>
        <w:rPr>
          <w:rFonts w:ascii="Times New Roman" w:eastAsia="Times New Roman" w:hAnsi="Times New Roman" w:cs="Times New Roman"/>
          <w:color w:val="1A1A1A"/>
          <w:sz w:val="20"/>
        </w:rPr>
        <w:t xml:space="preserve">irtual first, </w:t>
      </w:r>
      <w:r>
        <w:rPr>
          <w:rFonts w:ascii="Times New Roman" w:eastAsia="Times New Roman" w:hAnsi="Times New Roman" w:cs="Times New Roman"/>
          <w:color w:val="1A1A1A"/>
          <w:sz w:val="20"/>
        </w:rPr>
        <w:t>t</w:t>
      </w:r>
      <w:r>
        <w:rPr>
          <w:rFonts w:ascii="Times New Roman" w:eastAsia="Times New Roman" w:hAnsi="Times New Roman" w:cs="Times New Roman"/>
          <w:sz w:val="20"/>
        </w:rPr>
        <w:t xml:space="preserve">he Company </w:t>
      </w:r>
      <w:r>
        <w:rPr>
          <w:rFonts w:ascii="Times New Roman" w:eastAsia="Times New Roman" w:hAnsi="Times New Roman" w:cs="Times New Roman"/>
          <w:sz w:val="20"/>
        </w:rPr>
        <w:t xml:space="preserve">does not have any </w:t>
      </w:r>
      <w:r>
        <w:rPr>
          <w:rFonts w:ascii="Times New Roman" w:eastAsia="Times New Roman" w:hAnsi="Times New Roman" w:cs="Times New Roman"/>
          <w:sz w:val="20"/>
        </w:rPr>
        <w:t>office</w:t>
      </w:r>
      <w:r>
        <w:rPr>
          <w:rFonts w:ascii="Times New Roman" w:eastAsia="Times New Roman" w:hAnsi="Times New Roman" w:cs="Times New Roman"/>
          <w:sz w:val="20"/>
        </w:rPr>
        <w:t xml:space="preserve"> </w:t>
      </w:r>
      <w:r>
        <w:rPr>
          <w:rFonts w:ascii="Times New Roman" w:eastAsia="Times New Roman" w:hAnsi="Times New Roman" w:cs="Times New Roman"/>
          <w:sz w:val="20"/>
        </w:rPr>
        <w:t>lease agreement</w:t>
      </w:r>
      <w:r>
        <w:rPr>
          <w:rFonts w:ascii="Times New Roman" w:eastAsia="Times New Roman" w:hAnsi="Times New Roman" w:cs="Times New Roman"/>
          <w:sz w:val="20"/>
        </w:rPr>
        <w: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color w:val="1A1A1A"/>
          <w:sz w:val="20"/>
        </w:rPr>
        <w:t xml:space="preserve">. </w:t>
      </w:r>
      <w:r>
        <w:rPr>
          <w:rFonts w:ascii="Times New Roman" w:eastAsia="Times New Roman" w:hAnsi="Times New Roman" w:cs="Times New Roman"/>
          <w:color w:val="1A1A1A"/>
          <w:sz w:val="20"/>
        </w:rPr>
        <w:t>Additionally</w:t>
      </w:r>
      <w:r>
        <w:rPr>
          <w:rFonts w:ascii="Times New Roman" w:eastAsia="Times New Roman" w:hAnsi="Times New Roman" w:cs="Times New Roman"/>
          <w:color w:val="1A1A1A"/>
          <w:sz w:val="20"/>
        </w:rPr>
        <w:t xml:space="preserve">, the Company </w:t>
      </w:r>
      <w:r>
        <w:rPr>
          <w:rFonts w:ascii="Times New Roman" w:eastAsia="Times New Roman" w:hAnsi="Times New Roman" w:cs="Times New Roman"/>
          <w:color w:val="1A1A1A"/>
          <w:sz w:val="20"/>
        </w:rPr>
        <w:t xml:space="preserve">does </w:t>
      </w:r>
      <w:r>
        <w:rPr>
          <w:rFonts w:ascii="Times New Roman" w:eastAsia="Times New Roman" w:hAnsi="Times New Roman" w:cs="Times New Roman"/>
          <w:color w:val="1A1A1A"/>
          <w:sz w:val="20"/>
        </w:rPr>
        <w:t>not</w:t>
      </w:r>
      <w:r>
        <w:rPr>
          <w:rFonts w:ascii="Times New Roman" w:eastAsia="Times New Roman" w:hAnsi="Times New Roman" w:cs="Times New Roman"/>
          <w:color w:val="1A1A1A"/>
          <w:sz w:val="20"/>
        </w:rPr>
        <w:t xml:space="preserve"> have any ot</w:t>
      </w:r>
      <w:r>
        <w:rPr>
          <w:rFonts w:ascii="Times New Roman" w:eastAsia="Times New Roman" w:hAnsi="Times New Roman" w:cs="Times New Roman"/>
          <w:color w:val="1A1A1A"/>
          <w:sz w:val="20"/>
        </w:rPr>
        <w:t>her</w:t>
      </w:r>
      <w:r>
        <w:rPr>
          <w:rFonts w:ascii="Times New Roman" w:eastAsia="Times New Roman" w:hAnsi="Times New Roman" w:cs="Times New Roman"/>
          <w:sz w:val="20"/>
        </w:rPr>
        <w:t xml:space="preserve"> </w:t>
      </w:r>
      <w:r>
        <w:rPr>
          <w:rFonts w:ascii="Times New Roman" w:eastAsia="Times New Roman" w:hAnsi="Times New Roman" w:cs="Times New Roman"/>
          <w:sz w:val="20"/>
        </w:rPr>
        <w:t>oper</w:t>
      </w:r>
      <w:r>
        <w:rPr>
          <w:rFonts w:ascii="Times New Roman" w:eastAsia="Times New Roman" w:hAnsi="Times New Roman" w:cs="Times New Roman"/>
          <w:sz w:val="20"/>
        </w:rPr>
        <w:t xml:space="preserve">ating or finance </w:t>
      </w:r>
      <w:r>
        <w:rPr>
          <w:rFonts w:ascii="Times New Roman" w:eastAsia="Times New Roman" w:hAnsi="Times New Roman" w:cs="Times New Roman"/>
          <w:sz w:val="20"/>
        </w:rPr>
        <w:t>lease greater than 12 months in duration</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March 31, 2021</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Total </w:t>
      </w:r>
      <w:r>
        <w:rPr>
          <w:rFonts w:ascii="Times New Roman" w:eastAsia="Times New Roman" w:hAnsi="Times New Roman" w:cs="Times New Roman"/>
          <w:sz w:val="20"/>
        </w:rPr>
        <w:t>rent</w:t>
      </w:r>
      <w:r>
        <w:rPr>
          <w:rFonts w:ascii="Times New Roman" w:eastAsia="Times New Roman" w:hAnsi="Times New Roman" w:cs="Times New Roman"/>
          <w:sz w:val="20"/>
        </w:rPr>
        <w:t xml:space="preserve"> expense </w:t>
      </w:r>
      <w:r>
        <w:rPr>
          <w:rFonts w:ascii="Times New Roman" w:eastAsia="Times New Roman" w:hAnsi="Times New Roman" w:cs="Times New Roman"/>
          <w:sz w:val="20"/>
        </w:rPr>
        <w:t>record</w:t>
      </w:r>
      <w:r>
        <w:rPr>
          <w:rFonts w:ascii="Times New Roman" w:eastAsia="Times New Roman" w:hAnsi="Times New Roman" w:cs="Times New Roman"/>
          <w:sz w:val="20"/>
        </w:rPr>
        <w:t>ed in general and administrative expense in the accompanying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was </w:t>
      </w:r>
      <w:r>
        <w:rPr>
          <w:rFonts w:ascii="Times New Roman" w:eastAsia="Times New Roman" w:hAnsi="Times New Roman" w:cs="Times New Roman"/>
          <w:sz w:val="20"/>
        </w:rPr>
        <w:t>$147,983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Upon the January 1, 2019 adoption of ASU No. 2016-02, </w:t>
      </w:r>
      <w:r>
        <w:rPr>
          <w:rFonts w:ascii="Times New Roman" w:eastAsia="Times New Roman" w:hAnsi="Times New Roman" w:cs="Times New Roman"/>
          <w:i/>
          <w:sz w:val="20"/>
        </w:rPr>
        <w:t>Leases</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material lease greater than 12 months in duration. This was the lease associated with its corporate headquarters in Winter Park, Florida. </w:t>
      </w:r>
      <w:r>
        <w:rPr>
          <w:rFonts w:ascii="Times New Roman" w:eastAsia="Times New Roman" w:hAnsi="Times New Roman" w:cs="Times New Roman"/>
          <w:sz w:val="20"/>
        </w:rPr>
        <w:t>This lease expired in April 2020.</w:t>
      </w:r>
      <w:r>
        <w:rPr>
          <w:rFonts w:ascii="Times New Roman" w:eastAsia="Times New Roman" w:hAnsi="Times New Roman" w:cs="Times New Roman"/>
          <w:sz w:val="20"/>
        </w:rPr>
        <w:t xml:space="preserve"> </w:t>
      </w:r>
      <w:r>
        <w:rPr>
          <w:rFonts w:ascii="Times New Roman" w:eastAsia="Times New Roman" w:hAnsi="Times New Roman" w:cs="Times New Roman"/>
          <w:sz w:val="20"/>
        </w:rPr>
        <w:t>Cash paid for th</w:t>
      </w:r>
      <w:r>
        <w:rPr>
          <w:rFonts w:ascii="Times New Roman" w:eastAsia="Times New Roman" w:hAnsi="Times New Roman" w:cs="Times New Roman"/>
          <w:sz w:val="20"/>
        </w:rPr>
        <w:t>is</w:t>
      </w:r>
      <w:r>
        <w:rPr>
          <w:rFonts w:ascii="Times New Roman" w:eastAsia="Times New Roman" w:hAnsi="Times New Roman" w:cs="Times New Roman"/>
          <w:sz w:val="20"/>
        </w:rPr>
        <w:t xml:space="preserve"> </w:t>
      </w:r>
      <w:r>
        <w:rPr>
          <w:rFonts w:ascii="Times New Roman" w:eastAsia="Times New Roman" w:hAnsi="Times New Roman" w:cs="Times New Roman"/>
          <w:sz w:val="20"/>
        </w:rPr>
        <w:t>one</w:t>
      </w:r>
      <w:r>
        <w:rPr>
          <w:rFonts w:ascii="Times New Roman" w:eastAsia="Times New Roman" w:hAnsi="Times New Roman" w:cs="Times New Roman"/>
          <w:sz w:val="20"/>
        </w:rPr>
        <w:t xml:space="preserve"> operating lease</w:t>
      </w:r>
      <w:r>
        <w:rPr>
          <w:rFonts w:ascii="Times New Roman" w:eastAsia="Times New Roman" w:hAnsi="Times New Roman" w:cs="Times New Roman"/>
          <w:sz w:val="20"/>
        </w:rPr>
        <w:t xml:space="preserve"> </w:t>
      </w:r>
      <w:r>
        <w:rPr>
          <w:rFonts w:ascii="Times New Roman" w:eastAsia="Times New Roman" w:hAnsi="Times New Roman" w:cs="Times New Roman"/>
          <w:sz w:val="20"/>
        </w:rPr>
        <w:t>was</w:t>
      </w:r>
      <w:r>
        <w:rPr>
          <w:rFonts w:ascii="Times New Roman" w:eastAsia="Times New Roman" w:hAnsi="Times New Roman" w:cs="Times New Roman"/>
          <w:sz w:val="20"/>
        </w:rPr>
        <w:t xml:space="preserve"> </w:t>
      </w:r>
      <w:r>
        <w:rPr>
          <w:rFonts w:ascii="Times New Roman" w:eastAsia="Times New Roman" w:hAnsi="Times New Roman" w:cs="Times New Roman"/>
          <w:sz w:val="20"/>
        </w:rPr>
        <w:t>$85,137</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Litigation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From time to time, the Company may become involved in various other lawsuits and legal proceedings that arise in the ordinary course of its business. Litigation is, however, subject to inherent uncertainties, and an adverse result in these or other matters may arise from time to time that may harm the Company’s business. The Company is currently not aware of any legal proceedings or claims that it believes would or could have, individually or in the aggregate, a material adverse effect on the Company. Regardless of final outcomes, however, any such proceedings or claims may nonetheless impose a significant burden on management and employees and may come with costly defense costs or unfavorable preliminary interim rulings.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88" w:lineRule="auto"/>
        <w:ind w:left="0" w:right="0" w:firstLine="0"/>
        <w:jc w:val="left"/>
        <w:outlineLvl w:val="3"/>
        <w:rPr>
          <w:rFonts w:ascii="Times New Roman" w:eastAsia="Times New Roman" w:hAnsi="Times New Roman" w:cs="Times New Roman"/>
          <w:b/>
          <w:sz w:val="20"/>
        </w:rPr>
      </w:pPr>
      <w:bookmarkStart w:id="16" w:name="Section17"/>
      <w:bookmarkEnd w:id="16"/>
      <w:r>
        <w:rPr>
          <w:rFonts w:ascii="Times New Roman" w:eastAsia="Times New Roman" w:hAnsi="Times New Roman" w:cs="Times New Roman"/>
          <w:b/>
          <w:sz w:val="20"/>
        </w:rPr>
        <w:t>NOTE 8.</w:t>
      </w:r>
      <w:r>
        <w:rPr>
          <w:rFonts w:ascii="Times New Roman" w:eastAsia="Times New Roman" w:hAnsi="Times New Roman" w:cs="Times New Roman"/>
          <w:b/>
          <w:sz w:val="20"/>
        </w:rPr>
        <w:tab/>
      </w:r>
      <w:r>
        <w:rPr>
          <w:rFonts w:ascii="Times New Roman" w:eastAsia="Times New Roman" w:hAnsi="Times New Roman" w:cs="Times New Roman"/>
          <w:b/>
          <w:sz w:val="20"/>
        </w:rPr>
        <w:t>STOCKHOLDERS’ EQUITY</w:t>
      </w: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Authorized Shares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w:t>
      </w:r>
      <w:r>
        <w:rPr>
          <w:rFonts w:ascii="Times New Roman" w:eastAsia="Times New Roman" w:hAnsi="Times New Roman" w:cs="Times New Roman"/>
          <w:sz w:val="20"/>
        </w:rPr>
        <w:t>200,000,000</w:t>
      </w:r>
      <w:r>
        <w:rPr>
          <w:rFonts w:ascii="Times New Roman" w:eastAsia="Times New Roman" w:hAnsi="Times New Roman" w:cs="Times New Roman"/>
          <w:sz w:val="20"/>
        </w:rPr>
        <w:t xml:space="preserve"> authorized shares of common stock and </w:t>
      </w:r>
      <w:r>
        <w:rPr>
          <w:rFonts w:ascii="Times New Roman" w:eastAsia="Times New Roman" w:hAnsi="Times New Roman" w:cs="Times New Roman"/>
          <w:sz w:val="20"/>
        </w:rPr>
        <w:t>10,000,000</w:t>
      </w:r>
      <w:r>
        <w:rPr>
          <w:rFonts w:ascii="Times New Roman" w:eastAsia="Times New Roman" w:hAnsi="Times New Roman" w:cs="Times New Roman"/>
          <w:sz w:val="20"/>
        </w:rPr>
        <w:t xml:space="preserve"> authorized shares of preferred stock, each with a par value of </w:t>
      </w:r>
      <w:r>
        <w:rPr>
          <w:rFonts w:ascii="Times New Roman" w:eastAsia="Times New Roman" w:hAnsi="Times New Roman" w:cs="Times New Roman"/>
          <w:sz w:val="20"/>
        </w:rPr>
        <w:t>$0.0001</w:t>
      </w:r>
      <w:r>
        <w:rPr>
          <w:rFonts w:ascii="Times New Roman" w:eastAsia="Times New Roman" w:hAnsi="Times New Roman" w:cs="Times New Roman"/>
          <w:sz w:val="20"/>
        </w:rPr>
        <w:t xml:space="preserve"> per share.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Sale of Securities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76"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On June 4, 2020, the Company entered into an ATM Sales Agreement (the “2020 Sales Agreement”) with National Securities Corporation, as sales agent (“National Securities”), pursuant to which the Company </w:t>
      </w:r>
      <w:r>
        <w:rPr>
          <w:rFonts w:ascii="Times New Roman" w:eastAsia="Times New Roman" w:hAnsi="Times New Roman" w:cs="Times New Roman"/>
          <w:sz w:val="20"/>
        </w:rPr>
        <w:t>could</w:t>
      </w:r>
      <w:r>
        <w:rPr>
          <w:rFonts w:ascii="Times New Roman" w:eastAsia="Times New Roman" w:hAnsi="Times New Roman" w:cs="Times New Roman"/>
          <w:sz w:val="20"/>
        </w:rPr>
        <w:t xml:space="preserve"> offer and sell, from time to time, through National Securities, shares of the Company's common stock, by any method deemed to be an “at the market offering” (the “ATM Offering”).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sz w:val="24"/>
          <w:u w:val="single"/>
        </w:rPr>
      </w:pPr>
      <w:r>
        <w:rPr>
          <w:rFonts w:ascii="Times New Roman" w:eastAsia="Times New Roman" w:hAnsi="Times New Roman" w:cs="Times New Roman"/>
          <w:sz w:val="20"/>
        </w:rPr>
        <w:t xml:space="preserve">On June 12, 2020, the Company entered into an amendment to the 2020 Sales Agreement to increase the amount of common stock that </w:t>
      </w:r>
      <w:r>
        <w:rPr>
          <w:rFonts w:ascii="Times New Roman" w:eastAsia="Times New Roman" w:hAnsi="Times New Roman" w:cs="Times New Roman"/>
          <w:sz w:val="20"/>
        </w:rPr>
        <w:t>could</w:t>
      </w:r>
      <w:r>
        <w:rPr>
          <w:rFonts w:ascii="Times New Roman" w:eastAsia="Times New Roman" w:hAnsi="Times New Roman" w:cs="Times New Roman"/>
          <w:sz w:val="20"/>
        </w:rPr>
        <w:t xml:space="preserve"> be offered and sold in the ATM Offering to </w:t>
      </w:r>
      <w:r>
        <w:rPr>
          <w:rFonts w:ascii="Times New Roman" w:eastAsia="Times New Roman" w:hAnsi="Times New Roman" w:cs="Times New Roman"/>
          <w:sz w:val="20"/>
        </w:rPr>
        <w:t>$40,000,000</w:t>
      </w:r>
      <w:r>
        <w:rPr>
          <w:rFonts w:ascii="Times New Roman" w:eastAsia="Times New Roman" w:hAnsi="Times New Roman" w:cs="Times New Roman"/>
          <w:sz w:val="20"/>
        </w:rPr>
        <w:t xml:space="preserve"> in the aggregate. </w:t>
      </w:r>
      <w:r>
        <w:rPr>
          <w:rFonts w:ascii="Times New Roman" w:eastAsia="Times New Roman" w:hAnsi="Times New Roman" w:cs="Times New Roman"/>
          <w:sz w:val="20"/>
        </w:rPr>
        <w:t xml:space="preserve">On </w:t>
      </w:r>
      <w:r>
        <w:rPr>
          <w:rFonts w:ascii="Times New Roman" w:eastAsia="Times New Roman" w:hAnsi="Times New Roman" w:cs="Times New Roman"/>
          <w:sz w:val="20"/>
        </w:rPr>
        <w:t>January 25, 2021</w:t>
      </w:r>
      <w:r>
        <w:rPr>
          <w:rFonts w:ascii="Times New Roman" w:eastAsia="Times New Roman" w:hAnsi="Times New Roman" w:cs="Times New Roman"/>
          <w:sz w:val="20"/>
        </w:rPr>
        <w:t xml:space="preserve">, the Company entered into a new ATM Sales Agreement (the “2021 Sales Agreement”) with National Securities, pursuant to which the Company may offer and sell, from time to time, through National Securities, up to </w:t>
      </w:r>
      <w:r>
        <w:rPr>
          <w:rFonts w:ascii="Times New Roman" w:eastAsia="Times New Roman" w:hAnsi="Times New Roman" w:cs="Times New Roman"/>
          <w:sz w:val="20"/>
        </w:rPr>
        <w:t>$35,000,000</w:t>
      </w:r>
      <w:r>
        <w:rPr>
          <w:rFonts w:ascii="Times New Roman" w:eastAsia="Times New Roman" w:hAnsi="Times New Roman" w:cs="Times New Roman"/>
          <w:sz w:val="20"/>
        </w:rPr>
        <w:t xml:space="preserve"> shares of its common stock, by any method deemed to be an at-the-market offering.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D</w:t>
      </w:r>
      <w:r>
        <w:rPr>
          <w:rFonts w:ascii="Times New Roman" w:eastAsia="Times New Roman" w:hAnsi="Times New Roman" w:cs="Times New Roman"/>
          <w:sz w:val="20"/>
        </w:rPr>
        <w:t xml:space="preserve">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 xml:space="preserve">sold </w:t>
      </w:r>
      <w:r>
        <w:rPr>
          <w:rFonts w:ascii="Times New Roman" w:eastAsia="Times New Roman" w:hAnsi="Times New Roman" w:cs="Times New Roman"/>
          <w:sz w:val="20"/>
        </w:rPr>
        <w:t>8,701,691</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$3.95</w:t>
      </w:r>
      <w:r>
        <w:rPr>
          <w:rFonts w:ascii="Times New Roman" w:eastAsia="Times New Roman" w:hAnsi="Times New Roman" w:cs="Times New Roman"/>
          <w:sz w:val="20"/>
        </w:rPr>
        <w:t xml:space="preserve"> per share for total gross proceeds of </w:t>
      </w:r>
      <w:r>
        <w:rPr>
          <w:rFonts w:ascii="Times New Roman" w:eastAsia="Times New Roman" w:hAnsi="Times New Roman" w:cs="Times New Roman"/>
          <w:sz w:val="20"/>
        </w:rPr>
        <w:t>$34,358,012</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pursuant to the </w:t>
      </w:r>
      <w:r>
        <w:rPr>
          <w:rFonts w:ascii="Times New Roman" w:eastAsia="Times New Roman" w:hAnsi="Times New Roman" w:cs="Times New Roman"/>
          <w:sz w:val="20"/>
        </w:rPr>
        <w:t xml:space="preserve">2020 </w:t>
      </w:r>
      <w:r>
        <w:rPr>
          <w:rFonts w:ascii="Times New Roman" w:eastAsia="Times New Roman" w:hAnsi="Times New Roman" w:cs="Times New Roman"/>
          <w:sz w:val="20"/>
        </w:rPr>
        <w:t>and 2021</w:t>
      </w:r>
      <w:r>
        <w:rPr>
          <w:rFonts w:ascii="Times New Roman" w:eastAsia="Times New Roman" w:hAnsi="Times New Roman" w:cs="Times New Roman"/>
          <w:sz w:val="20"/>
        </w:rPr>
        <w:t xml:space="preserve"> </w:t>
      </w:r>
      <w:r>
        <w:rPr>
          <w:rFonts w:ascii="Times New Roman" w:eastAsia="Times New Roman" w:hAnsi="Times New Roman" w:cs="Times New Roman"/>
          <w:sz w:val="20"/>
        </w:rPr>
        <w:t>Sales Agreements with National Securities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the Company had sold </w:t>
      </w:r>
      <w:r>
        <w:rPr>
          <w:rFonts w:ascii="Times New Roman" w:eastAsia="Times New Roman" w:hAnsi="Times New Roman" w:cs="Times New Roman"/>
          <w:sz w:val="20"/>
        </w:rPr>
        <w:t>23,521,431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cumulative </w:t>
      </w:r>
      <w:r>
        <w:rPr>
          <w:rFonts w:ascii="Times New Roman" w:eastAsia="Times New Roman" w:hAnsi="Times New Roman" w:cs="Times New Roman"/>
          <w:sz w:val="20"/>
        </w:rPr>
        <w:t xml:space="preserve">shares at an average price of </w:t>
      </w:r>
      <w:r>
        <w:rPr>
          <w:rFonts w:ascii="Times New Roman" w:eastAsia="Times New Roman" w:hAnsi="Times New Roman" w:cs="Times New Roman"/>
          <w:sz w:val="20"/>
        </w:rPr>
        <w:t>$2.67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per share for total gross proceeds of </w:t>
      </w:r>
      <w:r>
        <w:rPr>
          <w:rFonts w:ascii="Times New Roman" w:eastAsia="Times New Roman" w:hAnsi="Times New Roman" w:cs="Times New Roman"/>
          <w:sz w:val="20"/>
        </w:rPr>
        <w:t>$62,813,108</w:t>
      </w:r>
      <w:r>
        <w:rPr>
          <w:rFonts w:ascii="Times New Roman" w:eastAsia="Times New Roman" w:hAnsi="Times New Roman" w:cs="Times New Roman"/>
          <w:sz w:val="20"/>
        </w:rPr>
        <w:t xml:space="preserve"> pursuant to the </w:t>
      </w:r>
      <w:r>
        <w:rPr>
          <w:rFonts w:ascii="Times New Roman" w:eastAsia="Times New Roman" w:hAnsi="Times New Roman" w:cs="Times New Roman"/>
          <w:sz w:val="20"/>
        </w:rPr>
        <w:t xml:space="preserve">2020 </w:t>
      </w:r>
      <w:r>
        <w:rPr>
          <w:rFonts w:ascii="Times New Roman" w:eastAsia="Times New Roman" w:hAnsi="Times New Roman" w:cs="Times New Roman"/>
          <w:sz w:val="20"/>
        </w:rPr>
        <w:t>and 2021</w:t>
      </w:r>
      <w:r>
        <w:rPr>
          <w:rFonts w:ascii="Times New Roman" w:eastAsia="Times New Roman" w:hAnsi="Times New Roman" w:cs="Times New Roman"/>
          <w:sz w:val="20"/>
        </w:rPr>
        <w:t xml:space="preserve"> </w:t>
      </w:r>
      <w:r>
        <w:rPr>
          <w:rFonts w:ascii="Times New Roman" w:eastAsia="Times New Roman" w:hAnsi="Times New Roman" w:cs="Times New Roman"/>
          <w:sz w:val="20"/>
        </w:rPr>
        <w:t>Sales Agreements with National Securities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sz w:val="24"/>
          <w:u w:val="single"/>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Equity Incentive Plans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May 2011, the Company’s Board of Directors (the “Board”) adopted the 2011 Equity Incentive Plan of IZEA Worldwide, Inc. (as amended, the “May 2011 Plan”). The stockholders approved an amendment and restatement of the Company’s May 2011 Plan at its 2020 Annual Meeting of Stockholders held on December 18, 2020, to allow the Company to award restricted stock, restricted stock units and stock options covering up to </w:t>
      </w:r>
      <w:r>
        <w:rPr>
          <w:rFonts w:ascii="Times New Roman" w:eastAsia="Times New Roman" w:hAnsi="Times New Roman" w:cs="Times New Roman"/>
          <w:sz w:val="20"/>
        </w:rPr>
        <w:t>7,500,000</w:t>
      </w:r>
      <w:r>
        <w:rPr>
          <w:rFonts w:ascii="Times New Roman" w:eastAsia="Times New Roman" w:hAnsi="Times New Roman" w:cs="Times New Roman"/>
          <w:sz w:val="20"/>
        </w:rPr>
        <w:t xml:space="preserve"> shares of common stock as incentive compensation for its </w:t>
      </w:r>
      <w:r>
        <w:rPr>
          <w:rFonts w:ascii="Times New Roman" w:eastAsia="Times New Roman" w:hAnsi="Times New Roman" w:cs="Times New Roman"/>
          <w:sz w:val="20"/>
        </w:rPr>
        <w:t xml:space="preserve">officers, </w:t>
      </w:r>
      <w:r>
        <w:rPr>
          <w:rFonts w:ascii="Times New Roman" w:eastAsia="Times New Roman" w:hAnsi="Times New Roman" w:cs="Times New Roman"/>
          <w:sz w:val="20"/>
        </w:rPr>
        <w:t>employees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consultants</w:t>
      </w:r>
      <w:r>
        <w:rPr>
          <w:rFonts w:ascii="Times New Roman" w:eastAsia="Times New Roman" w:hAnsi="Times New Roman" w:cs="Times New Roman"/>
          <w:sz w:val="20"/>
        </w:rPr>
        <w:t>, and advi</w:t>
      </w:r>
      <w:r>
        <w:rPr>
          <w:rFonts w:ascii="Times New Roman" w:eastAsia="Times New Roman" w:hAnsi="Times New Roman" w:cs="Times New Roman"/>
          <w:sz w:val="20"/>
        </w:rPr>
        <w:t>sors, in</w:t>
      </w:r>
      <w:r>
        <w:rPr>
          <w:rFonts w:ascii="Times New Roman" w:eastAsia="Times New Roman" w:hAnsi="Times New Roman" w:cs="Times New Roman"/>
          <w:sz w:val="20"/>
        </w:rPr>
        <w:t>cluding its non-employee direc</w:t>
      </w:r>
      <w:r>
        <w:rPr>
          <w:rFonts w:ascii="Times New Roman" w:eastAsia="Times New Roman" w:hAnsi="Times New Roman" w:cs="Times New Roman"/>
          <w:sz w:val="20"/>
        </w:rPr>
        <w:t>tors</w:t>
      </w:r>
      <w:r>
        <w:rPr>
          <w:rFonts w:ascii="Times New Roman" w:eastAsia="Times New Roman" w:hAnsi="Times New Roman" w:cs="Times New Roman"/>
          <w:sz w:val="20"/>
        </w:rPr>
        <w:t xml:space="preserve">. </w:t>
      </w:r>
      <w:r>
        <w:rPr>
          <w:rFonts w:ascii="Times New Roman" w:eastAsia="Times New Roman" w:hAnsi="Times New Roman" w:cs="Times New Roman"/>
          <w:sz w:val="20"/>
        </w:rPr>
        <w:t>S</w:t>
      </w:r>
      <w:r>
        <w:rPr>
          <w:rFonts w:ascii="Times New Roman" w:eastAsia="Times New Roman" w:hAnsi="Times New Roman" w:cs="Times New Roman"/>
          <w:sz w:val="20"/>
        </w:rPr>
        <w:t>hares of the Company’s common stock that are withheld (or not issued)</w:t>
      </w:r>
      <w:r>
        <w:rPr>
          <w:rFonts w:ascii="Times New Roman" w:eastAsia="Times New Roman" w:hAnsi="Times New Roman" w:cs="Times New Roman"/>
          <w:sz w:val="20"/>
        </w:rPr>
        <w:t xml:space="preserve"> to cover the purchase price of an</w:t>
      </w:r>
      <w:r>
        <w:rPr>
          <w:rFonts w:ascii="Times New Roman" w:eastAsia="Times New Roman" w:hAnsi="Times New Roman" w:cs="Times New Roman"/>
          <w:sz w:val="20"/>
        </w:rPr>
        <w:t xml:space="preserve"> option or any required tax withholding obligation</w:t>
      </w:r>
      <w:r>
        <w:rPr>
          <w:rFonts w:ascii="Times New Roman" w:eastAsia="Times New Roman" w:hAnsi="Times New Roman" w:cs="Times New Roman"/>
          <w:sz w:val="20"/>
        </w:rPr>
        <w:t xml:space="preserve"> will again be available for issuance under the </w:t>
      </w:r>
      <w:r>
        <w:rPr>
          <w:rFonts w:ascii="Times New Roman" w:eastAsia="Times New Roman" w:hAnsi="Times New Roman" w:cs="Times New Roman"/>
          <w:sz w:val="20"/>
        </w:rPr>
        <w:t>May 2011 Plan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3,809,381</w:t>
      </w:r>
      <w:r>
        <w:rPr>
          <w:rFonts w:ascii="Times New Roman" w:eastAsia="Times New Roman" w:hAnsi="Times New Roman" w:cs="Times New Roman"/>
          <w:sz w:val="20"/>
        </w:rPr>
        <w:t xml:space="preserve"> remaining shares of common stock available for issuance pursuant to future grants under the May 2011 Plan. </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August 2011, the Company adopted the 2011 B Equity Incentive Plan (the “August 2011 Plan”) reserving </w:t>
      </w:r>
      <w:r>
        <w:rPr>
          <w:rFonts w:ascii="Times New Roman" w:eastAsia="Times New Roman" w:hAnsi="Times New Roman" w:cs="Times New Roman"/>
          <w:sz w:val="20"/>
        </w:rPr>
        <w:t>4,375</w:t>
      </w:r>
      <w:r>
        <w:rPr>
          <w:rFonts w:ascii="Times New Roman" w:eastAsia="Times New Roman" w:hAnsi="Times New Roman" w:cs="Times New Roman"/>
          <w:sz w:val="20"/>
        </w:rPr>
        <w:t xml:space="preserve"> shares of common stock for issuance under the August 2011 Plan.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4,375</w:t>
      </w:r>
      <w:r>
        <w:rPr>
          <w:rFonts w:ascii="Times New Roman" w:eastAsia="Times New Roman" w:hAnsi="Times New Roman" w:cs="Times New Roman"/>
          <w:sz w:val="20"/>
        </w:rPr>
        <w:t xml:space="preserve"> remaining shares of common stock available for future grants under the August 2011 Plan.</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Restricted Stock </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Under both the May 2011 Plan and the August 2011 Plan (together, the “2011 Equity Incentive Plans”), the Board determines the terms and conditions of each restricted stock issuance, including any future vesting restrictions.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31, 2020, the Company issued its </w:t>
      </w:r>
      <w:r>
        <w:rPr>
          <w:rFonts w:ascii="Times New Roman" w:eastAsia="Times New Roman" w:hAnsi="Times New Roman" w:cs="Times New Roman"/>
          <w:sz w:val="20"/>
        </w:rPr>
        <w:t>five</w:t>
      </w:r>
      <w:r>
        <w:rPr>
          <w:rFonts w:ascii="Times New Roman" w:eastAsia="Times New Roman" w:hAnsi="Times New Roman" w:cs="Times New Roman"/>
          <w:sz w:val="20"/>
        </w:rPr>
        <w:t xml:space="preserve"> independent directors a total of </w:t>
      </w:r>
      <w:r>
        <w:rPr>
          <w:rFonts w:ascii="Times New Roman" w:eastAsia="Times New Roman" w:hAnsi="Times New Roman" w:cs="Times New Roman"/>
          <w:sz w:val="20"/>
        </w:rPr>
        <w:t>390,625</w:t>
      </w:r>
      <w:r>
        <w:rPr>
          <w:rFonts w:ascii="Times New Roman" w:eastAsia="Times New Roman" w:hAnsi="Times New Roman" w:cs="Times New Roman"/>
          <w:sz w:val="20"/>
        </w:rPr>
        <w:t xml:space="preserve"> shares of restricted common stock initially valued at </w:t>
      </w:r>
      <w:r>
        <w:rPr>
          <w:rFonts w:ascii="Times New Roman" w:eastAsia="Times New Roman" w:hAnsi="Times New Roman" w:cs="Times New Roman"/>
          <w:sz w:val="20"/>
        </w:rPr>
        <w:t>$125,000</w:t>
      </w:r>
      <w:r>
        <w:rPr>
          <w:rFonts w:ascii="Times New Roman" w:eastAsia="Times New Roman" w:hAnsi="Times New Roman" w:cs="Times New Roman"/>
          <w:sz w:val="20"/>
        </w:rPr>
        <w:t xml:space="preserve"> for their annual service as directors of the Company. The stock vests in equal monthly installments from January through December 2020.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sz w:val="20"/>
        </w:rPr>
        <w:t>, t</w:t>
      </w:r>
      <w:r>
        <w:rPr>
          <w:rFonts w:ascii="Times New Roman" w:eastAsia="Times New Roman" w:hAnsi="Times New Roman" w:cs="Times New Roman"/>
          <w:sz w:val="20"/>
        </w:rPr>
        <w:t xml:space="preserve">he Company </w:t>
      </w:r>
      <w:r>
        <w:rPr>
          <w:rFonts w:ascii="Times New Roman" w:eastAsia="Times New Roman" w:hAnsi="Times New Roman" w:cs="Times New Roman"/>
          <w:sz w:val="20"/>
        </w:rPr>
        <w:t xml:space="preserve">had </w:t>
      </w:r>
      <w:r>
        <w:rPr>
          <w:rFonts w:ascii="Times New Roman" w:eastAsia="Times New Roman" w:hAnsi="Times New Roman" w:cs="Times New Roman"/>
          <w:sz w:val="20"/>
        </w:rPr>
        <w:t xml:space="preserve">issued its </w:t>
      </w:r>
      <w:r>
        <w:rPr>
          <w:rFonts w:ascii="Times New Roman" w:eastAsia="Times New Roman" w:hAnsi="Times New Roman" w:cs="Times New Roman"/>
          <w:sz w:val="20"/>
        </w:rPr>
        <w:t>six</w:t>
      </w:r>
      <w:r>
        <w:rPr>
          <w:rFonts w:ascii="Times New Roman" w:eastAsia="Times New Roman" w:hAnsi="Times New Roman" w:cs="Times New Roman"/>
          <w:sz w:val="20"/>
        </w:rPr>
        <w:t xml:space="preserve"> independent directors a total of </w:t>
      </w:r>
      <w:r>
        <w:rPr>
          <w:rFonts w:ascii="Times New Roman" w:eastAsia="Times New Roman" w:hAnsi="Times New Roman" w:cs="Times New Roman"/>
          <w:sz w:val="20"/>
        </w:rPr>
        <w:t>30,324</w:t>
      </w:r>
      <w:r>
        <w:rPr>
          <w:rFonts w:ascii="Times New Roman" w:eastAsia="Times New Roman" w:hAnsi="Times New Roman" w:cs="Times New Roman"/>
          <w:sz w:val="20"/>
        </w:rPr>
        <w:t xml:space="preserve"> shares of restricted common stock initially valued at </w:t>
      </w:r>
      <w:r>
        <w:rPr>
          <w:rFonts w:ascii="Times New Roman" w:eastAsia="Times New Roman" w:hAnsi="Times New Roman" w:cs="Times New Roman"/>
          <w:sz w:val="20"/>
        </w:rPr>
        <w:t>$147,329</w:t>
      </w:r>
      <w:r>
        <w:rPr>
          <w:rFonts w:ascii="Times New Roman" w:eastAsia="Times New Roman" w:hAnsi="Times New Roman" w:cs="Times New Roman"/>
          <w:sz w:val="20"/>
        </w:rPr>
        <w:t xml:space="preserve"> for their annual service as directors of the Company. The stock vests in equal monthly installments from January through December 202</w:t>
      </w:r>
      <w:r>
        <w:rPr>
          <w:rFonts w:ascii="Times New Roman" w:eastAsia="Times New Roman" w:hAnsi="Times New Roman" w:cs="Times New Roman"/>
          <w:sz w:val="20"/>
        </w:rPr>
        <w:t>1</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contains summarized information about restricted stock issued during the year</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 xml:space="preserve">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55"/>
        <w:gridCol w:w="1535"/>
        <w:gridCol w:w="100"/>
        <w:gridCol w:w="160"/>
        <w:gridCol w:w="1375"/>
        <w:gridCol w:w="100"/>
        <w:gridCol w:w="163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trPr>
        <w:tc>
          <w:tcPr>
            <w:tcW w:w="53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i/>
                <w:color w:val="000000"/>
                <w:sz w:val="20"/>
              </w:rPr>
              <w:t>Restricted Stock Activity</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Common Shares</w:t>
            </w: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Grant Date</w:t>
            </w:r>
          </w:p>
          <w:p>
            <w:pPr>
              <w:spacing w:after="30" w:line="240" w:lineRule="auto"/>
              <w:ind w:left="0" w:right="0"/>
              <w:jc w:val="center"/>
            </w:pPr>
            <w:r>
              <w:rPr>
                <w:rFonts w:ascii="Times New Roman" w:eastAsia="Times New Roman" w:hAnsi="Times New Roman" w:cs="Times New Roman"/>
                <w:color w:val="000000"/>
                <w:sz w:val="20"/>
              </w:rPr>
              <w:t>Fair Value</w:t>
            </w: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Remaining Years</w:t>
            </w:r>
          </w:p>
          <w:p>
            <w:pPr>
              <w:spacing w:after="30" w:line="240" w:lineRule="auto"/>
              <w:ind w:left="0" w:right="0"/>
              <w:jc w:val="center"/>
            </w:pPr>
            <w:r>
              <w:rPr>
                <w:rFonts w:ascii="Times New Roman" w:eastAsia="Times New Roman" w:hAnsi="Times New Roman" w:cs="Times New Roman"/>
                <w:color w:val="000000"/>
                <w:sz w:val="20"/>
              </w:rPr>
              <w:t>to Vest</w:t>
            </w: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31,282 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1.9</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390,625 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(408,241)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2020</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13,666 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1.4</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30,324 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(9,823)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40" w:lineRule="auto"/>
              <w:ind w:left="0"/>
              <w:jc w:val="left"/>
            </w:pPr>
            <w:r>
              <w:rPr>
                <w:rFonts w:ascii="Times New Roman" w:eastAsia="Times New Roman" w:hAnsi="Times New Roman" w:cs="Times New Roman"/>
                <w:color w:val="000000"/>
                <w:sz w:val="20"/>
              </w:rPr>
              <w:t>Nonvested at March 31, 2021</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34,167 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4.02 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right="0"/>
              <w:jc w:val="right"/>
            </w:pPr>
            <w:r>
              <w:rPr>
                <w:rFonts w:ascii="Times New Roman" w:eastAsia="Times New Roman" w:hAnsi="Times New Roman" w:cs="Times New Roman"/>
                <w:color w:val="000000"/>
                <w:sz w:val="20"/>
              </w:rPr>
              <w:t>0.9</w:t>
            </w:r>
          </w:p>
        </w:tc>
      </w:tr>
    </w:tbl>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Although restricted stock is issued upon the grant of an award, the Company excludes restricted stock from the computations within the financial statements of total shares outstanding and basic earnings per share until such time as the restricted stock vests.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Expense recognized on restricted stock issued to non-employees for services was </w:t>
      </w:r>
      <w:r>
        <w:rPr>
          <w:rFonts w:ascii="Times New Roman" w:eastAsia="Times New Roman" w:hAnsi="Times New Roman" w:cs="Times New Roman"/>
          <w:sz w:val="20"/>
        </w:rPr>
        <w:t>$34,696</w:t>
      </w:r>
      <w:r>
        <w:rPr>
          <w:rFonts w:ascii="Times New Roman" w:eastAsia="Times New Roman" w:hAnsi="Times New Roman" w:cs="Times New Roman"/>
          <w:sz w:val="20"/>
        </w:rPr>
        <w:t xml:space="preserve"> and </w:t>
      </w:r>
      <w:r>
        <w:rPr>
          <w:rFonts w:ascii="Times New Roman" w:eastAsia="Times New Roman" w:hAnsi="Times New Roman" w:cs="Times New Roman"/>
          <w:sz w:val="20"/>
        </w:rPr>
        <w:t>$31,250</w:t>
      </w:r>
      <w:r>
        <w:rPr>
          <w:rFonts w:ascii="Times New Roman" w:eastAsia="Times New Roman" w:hAnsi="Times New Roman" w:cs="Times New Roman"/>
          <w:sz w:val="20"/>
        </w:rPr>
        <w:t xml:space="preserve"> during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respectively. Expense recognized on restricted stock issued to employees was </w:t>
      </w:r>
      <w:r>
        <w:rPr>
          <w:rFonts w:ascii="Times New Roman" w:eastAsia="Times New Roman" w:hAnsi="Times New Roman" w:cs="Times New Roman"/>
          <w:sz w:val="20"/>
        </w:rPr>
        <w:t>$6,507</w:t>
      </w:r>
      <w:r>
        <w:rPr>
          <w:rFonts w:ascii="Times New Roman" w:eastAsia="Times New Roman" w:hAnsi="Times New Roman" w:cs="Times New Roman"/>
          <w:sz w:val="20"/>
        </w:rPr>
        <w:t xml:space="preserve"> and </w:t>
      </w:r>
      <w:r>
        <w:rPr>
          <w:rFonts w:ascii="Times New Roman" w:eastAsia="Times New Roman" w:hAnsi="Times New Roman" w:cs="Times New Roman"/>
          <w:sz w:val="20"/>
        </w:rPr>
        <w:t>$13,535</w:t>
      </w:r>
      <w:r>
        <w:rPr>
          <w:rFonts w:ascii="Times New Roman" w:eastAsia="Times New Roman" w:hAnsi="Times New Roman" w:cs="Times New Roman"/>
          <w:sz w:val="20"/>
        </w:rPr>
        <w:t xml:space="preserve"> d</w:t>
      </w:r>
      <w:r>
        <w:rPr>
          <w:rFonts w:ascii="Times New Roman" w:eastAsia="Times New Roman" w:hAnsi="Times New Roman" w:cs="Times New Roman"/>
          <w:sz w:val="20"/>
        </w:rPr>
        <w:t xml:space="preserve">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On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the fair value of the Company’s common stock was approximately </w:t>
      </w:r>
      <w:r>
        <w:rPr>
          <w:rFonts w:ascii="Times New Roman" w:eastAsia="Times New Roman" w:hAnsi="Times New Roman" w:cs="Times New Roman"/>
          <w:sz w:val="20"/>
        </w:rPr>
        <w:t>$3.77</w:t>
      </w:r>
      <w:r>
        <w:rPr>
          <w:rFonts w:ascii="Times New Roman" w:eastAsia="Times New Roman" w:hAnsi="Times New Roman" w:cs="Times New Roman"/>
          <w:sz w:val="20"/>
        </w:rPr>
        <w:t xml:space="preserve"> per share and the intrinsic value on the non-vested restricted stock was </w:t>
      </w:r>
      <w:r>
        <w:rPr>
          <w:rFonts w:ascii="Times New Roman" w:eastAsia="Times New Roman" w:hAnsi="Times New Roman" w:cs="Times New Roman"/>
          <w:sz w:val="20"/>
        </w:rPr>
        <w:t>$128,810</w:t>
      </w:r>
      <w:r>
        <w:rPr>
          <w:rFonts w:ascii="Times New Roman" w:eastAsia="Times New Roman" w:hAnsi="Times New Roman" w:cs="Times New Roman"/>
          <w:sz w:val="20"/>
        </w:rPr>
        <w:t xml:space="preserve">. Future compensation expense related to issued, but non-vested, restricted stock awards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is </w:t>
      </w:r>
      <w:r>
        <w:rPr>
          <w:rFonts w:ascii="Times New Roman" w:eastAsia="Times New Roman" w:hAnsi="Times New Roman" w:cs="Times New Roman"/>
          <w:sz w:val="20"/>
        </w:rPr>
        <w:t>$137,328</w:t>
      </w:r>
      <w:r>
        <w:rPr>
          <w:rFonts w:ascii="Times New Roman" w:eastAsia="Times New Roman" w:hAnsi="Times New Roman" w:cs="Times New Roman"/>
          <w:sz w:val="20"/>
        </w:rPr>
        <w:t xml:space="preserve">. This value is estimated to be recognized over the weighted-average vesting period of approximately </w:t>
      </w:r>
      <w:r>
        <w:rPr>
          <w:rFonts w:ascii="Times New Roman" w:eastAsia="Times New Roman" w:hAnsi="Times New Roman" w:cs="Times New Roman"/>
          <w:sz w:val="20"/>
        </w:rPr>
        <w:t>ten months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Restricted Stock Unit</w:t>
      </w:r>
      <w:r>
        <w:rPr>
          <w:rFonts w:ascii="Times New Roman" w:eastAsia="Times New Roman" w:hAnsi="Times New Roman" w:cs="Times New Roman"/>
          <w:b/>
          <w:i/>
          <w:sz w:val="20"/>
        </w:rPr>
        <w:t>s</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Board determines the terms and conditions of each restricted stock unit award issued under the May 2011 Plan.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shd w:val="clear" w:color="auto" w:fill="FFFF00"/>
        </w:rPr>
      </w:pPr>
    </w:p>
    <w:p>
      <w:pPr>
        <w:keepNext w:val="0"/>
        <w:keepLines w:val="0"/>
        <w:pageBreakBefore w:val="0"/>
        <w:widowControl/>
        <w:numPr>
          <w:ilvl w:val="0"/>
          <w:numId w:val="0"/>
        </w:numPr>
        <w:spacing w:before="0" w:after="0" w:line="276" w:lineRule="auto"/>
        <w:ind w:left="0" w:right="0" w:firstLine="720"/>
        <w:jc w:val="both"/>
        <w:outlineLvl w:val="9"/>
        <w:rPr>
          <w:rFonts w:ascii="Times New Roman" w:eastAsia="Times New Roman" w:hAnsi="Times New Roman" w:cs="Times New Roman"/>
          <w:b/>
          <w:i/>
          <w:sz w:val="20"/>
          <w:shd w:val="clear" w:color="auto" w:fill="FFFF0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84,994</w:t>
      </w:r>
      <w:r>
        <w:rPr>
          <w:rFonts w:ascii="Times New Roman" w:eastAsia="Times New Roman" w:hAnsi="Times New Roman" w:cs="Times New Roman"/>
          <w:sz w:val="20"/>
        </w:rPr>
        <w:t xml:space="preserve"> restricted stock units on January 3, 2020 to Mr. Schram under the terms of his employment agreement. The restricted stock units were initially valued at </w:t>
      </w:r>
      <w:r>
        <w:rPr>
          <w:rFonts w:ascii="Times New Roman" w:eastAsia="Times New Roman" w:hAnsi="Times New Roman" w:cs="Times New Roman"/>
          <w:sz w:val="20"/>
        </w:rPr>
        <w:t>$23,739</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 The Company also issued </w:t>
      </w:r>
      <w:r>
        <w:rPr>
          <w:rFonts w:ascii="Times New Roman" w:eastAsia="Times New Roman" w:hAnsi="Times New Roman" w:cs="Times New Roman"/>
          <w:sz w:val="20"/>
        </w:rPr>
        <w:t>100,000</w:t>
      </w:r>
      <w:r>
        <w:rPr>
          <w:rFonts w:ascii="Times New Roman" w:eastAsia="Times New Roman" w:hAnsi="Times New Roman" w:cs="Times New Roman"/>
          <w:sz w:val="20"/>
        </w:rPr>
        <w:t xml:space="preserve"> restricted stock units on January 3, 2020 to Mr. Schram as additional incentive compensation. The restricted stock units were initially valued at </w:t>
      </w:r>
      <w:r>
        <w:rPr>
          <w:rFonts w:ascii="Times New Roman" w:eastAsia="Times New Roman" w:hAnsi="Times New Roman" w:cs="Times New Roman"/>
          <w:sz w:val="20"/>
        </w:rPr>
        <w:t>$27,930</w:t>
      </w:r>
      <w:r>
        <w:rPr>
          <w:rFonts w:ascii="Times New Roman" w:eastAsia="Times New Roman" w:hAnsi="Times New Roman" w:cs="Times New Roman"/>
          <w:sz w:val="20"/>
        </w:rPr>
        <w:t xml:space="preserve"> and vest in a lump sum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issued a total of </w:t>
      </w:r>
      <w:r>
        <w:rPr>
          <w:rFonts w:ascii="Times New Roman" w:eastAsia="Times New Roman" w:hAnsi="Times New Roman" w:cs="Times New Roman"/>
          <w:sz w:val="20"/>
        </w:rPr>
        <w:t>580,099</w:t>
      </w:r>
      <w:r>
        <w:rPr>
          <w:rFonts w:ascii="Times New Roman" w:eastAsia="Times New Roman" w:hAnsi="Times New Roman" w:cs="Times New Roman"/>
          <w:sz w:val="20"/>
        </w:rPr>
        <w:t xml:space="preserve"> restricted stock units initially valued at </w:t>
      </w:r>
      <w:r>
        <w:rPr>
          <w:rFonts w:ascii="Times New Roman" w:eastAsia="Times New Roman" w:hAnsi="Times New Roman" w:cs="Times New Roman"/>
          <w:sz w:val="20"/>
        </w:rPr>
        <w:t>$215,936</w:t>
      </w:r>
      <w:r>
        <w:rPr>
          <w:rFonts w:ascii="Times New Roman" w:eastAsia="Times New Roman" w:hAnsi="Times New Roman" w:cs="Times New Roman"/>
          <w:sz w:val="20"/>
        </w:rPr>
        <w:t xml:space="preserve"> to non-executive employees as additional incentive compensation. The restricted stock units vest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t</w:t>
      </w:r>
      <w:r>
        <w:rPr>
          <w:rFonts w:ascii="Times New Roman" w:eastAsia="Times New Roman" w:hAnsi="Times New Roman" w:cs="Times New Roman"/>
          <w:sz w:val="20"/>
        </w:rPr>
        <w:t xml:space="preserve">he Company issued Mr. Murphy </w:t>
      </w:r>
      <w:r>
        <w:rPr>
          <w:rFonts w:ascii="Times New Roman" w:eastAsia="Times New Roman" w:hAnsi="Times New Roman" w:cs="Times New Roman"/>
          <w:sz w:val="20"/>
        </w:rPr>
        <w:t>123,228</w:t>
      </w:r>
      <w:r>
        <w:rPr>
          <w:rFonts w:ascii="Times New Roman" w:eastAsia="Times New Roman" w:hAnsi="Times New Roman" w:cs="Times New Roman"/>
          <w:sz w:val="20"/>
        </w:rPr>
        <w:t xml:space="preserve"> restricted stock units  valued at</w:t>
      </w:r>
      <w:r>
        <w:rPr>
          <w:rFonts w:ascii="Times New Roman" w:eastAsia="Times New Roman" w:hAnsi="Times New Roman" w:cs="Times New Roman"/>
          <w:sz w:val="20"/>
        </w:rPr>
        <w:t xml:space="preserve"> </w:t>
      </w:r>
      <w:r>
        <w:rPr>
          <w:rFonts w:ascii="Times New Roman" w:eastAsia="Times New Roman" w:hAnsi="Times New Roman" w:cs="Times New Roman"/>
          <w:sz w:val="20"/>
        </w:rPr>
        <w:t>$61,790</w:t>
      </w:r>
      <w:r>
        <w:rPr>
          <w:rFonts w:ascii="Times New Roman" w:eastAsia="Times New Roman" w:hAnsi="Times New Roman" w:cs="Times New Roman"/>
          <w:sz w:val="20"/>
        </w:rPr>
        <w:t xml:space="preserve"> for bonuses owed under the terms of his amended employment agreement. The restricted stock units vest in equal monthly installments over </w:t>
      </w:r>
      <w:r>
        <w:rPr>
          <w:rFonts w:ascii="Times New Roman" w:eastAsia="Times New Roman" w:hAnsi="Times New Roman" w:cs="Times New Roman"/>
          <w:sz w:val="20"/>
        </w:rPr>
        <w:t>36</w:t>
      </w:r>
      <w:r>
        <w:rPr>
          <w:rFonts w:ascii="Times New Roman" w:eastAsia="Times New Roman" w:hAnsi="Times New Roman" w:cs="Times New Roman"/>
          <w:sz w:val="20"/>
        </w:rPr>
        <w:t xml:space="preserve"> months from issuance.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issued Mr. Schram </w:t>
      </w:r>
      <w:r>
        <w:rPr>
          <w:rFonts w:ascii="Times New Roman" w:eastAsia="Times New Roman" w:hAnsi="Times New Roman" w:cs="Times New Roman"/>
          <w:sz w:val="20"/>
        </w:rPr>
        <w:t>41,824</w:t>
      </w:r>
      <w:r>
        <w:rPr>
          <w:rFonts w:ascii="Times New Roman" w:eastAsia="Times New Roman" w:hAnsi="Times New Roman" w:cs="Times New Roman"/>
          <w:sz w:val="20"/>
        </w:rPr>
        <w:t xml:space="preserve"> restricted stock units initially valued at </w:t>
      </w:r>
      <w:r>
        <w:rPr>
          <w:rFonts w:ascii="Times New Roman" w:eastAsia="Times New Roman" w:hAnsi="Times New Roman" w:cs="Times New Roman"/>
          <w:sz w:val="20"/>
        </w:rPr>
        <w:t>$14,052</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bonuses owed </w:t>
      </w:r>
      <w:r>
        <w:rPr>
          <w:rFonts w:ascii="Times New Roman" w:eastAsia="Times New Roman" w:hAnsi="Times New Roman" w:cs="Times New Roman"/>
          <w:sz w:val="20"/>
        </w:rPr>
        <w:t xml:space="preserve">under the terms of his employment agreement. The restricted stock units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 </w:t>
      </w:r>
    </w:p>
    <w:p>
      <w:pPr>
        <w:keepNext w:val="0"/>
        <w:keepLines w:val="0"/>
        <w:pageBreakBefore w:val="0"/>
        <w:widowControl/>
        <w:numPr>
          <w:ilvl w:val="0"/>
          <w:numId w:val="0"/>
        </w:numPr>
        <w:spacing w:before="0" w:after="0" w:line="276" w:lineRule="auto"/>
        <w:ind w:left="0" w:right="0" w:firstLine="720"/>
        <w:jc w:val="left"/>
        <w:outlineLvl w:val="9"/>
        <w:rPr>
          <w:rFonts w:ascii="Arial" w:eastAsia="Arial" w:hAnsi="Arial" w:cs="Arial"/>
          <w:b/>
          <w:i/>
          <w:sz w:val="24"/>
        </w:rPr>
      </w:pPr>
    </w:p>
    <w:p>
      <w:pPr>
        <w:keepNext w:val="0"/>
        <w:keepLines w:val="0"/>
        <w:pageBreakBefore w:val="0"/>
        <w:widowControl/>
        <w:numPr>
          <w:ilvl w:val="0"/>
          <w:numId w:val="0"/>
        </w:numPr>
        <w:spacing w:before="0" w:after="0" w:line="276"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D</w:t>
      </w:r>
      <w:r>
        <w:rPr>
          <w:rFonts w:ascii="Times New Roman" w:eastAsia="Times New Roman" w:hAnsi="Times New Roman" w:cs="Times New Roman"/>
          <w:sz w:val="20"/>
        </w:rPr>
        <w:t xml:space="preserve">uring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the Company </w:t>
      </w:r>
      <w:r>
        <w:rPr>
          <w:rFonts w:ascii="Times New Roman" w:eastAsia="Times New Roman" w:hAnsi="Times New Roman" w:cs="Times New Roman"/>
          <w:sz w:val="20"/>
        </w:rPr>
        <w:t xml:space="preserve">issued Mr. Murphy </w:t>
      </w:r>
      <w:r>
        <w:rPr>
          <w:rFonts w:ascii="Times New Roman" w:eastAsia="Times New Roman" w:hAnsi="Times New Roman" w:cs="Times New Roman"/>
          <w:sz w:val="20"/>
        </w:rPr>
        <w:t>100,000</w:t>
      </w:r>
      <w:r>
        <w:rPr>
          <w:rFonts w:ascii="Times New Roman" w:eastAsia="Times New Roman" w:hAnsi="Times New Roman" w:cs="Times New Roman"/>
          <w:sz w:val="20"/>
        </w:rPr>
        <w:t xml:space="preserve"> restricted stock units </w:t>
      </w:r>
      <w:r>
        <w:rPr>
          <w:rFonts w:ascii="Times New Roman" w:eastAsia="Times New Roman" w:hAnsi="Times New Roman" w:cs="Times New Roman"/>
          <w:sz w:val="20"/>
        </w:rPr>
        <w:t>valued at</w:t>
      </w:r>
      <w:r>
        <w:rPr>
          <w:rFonts w:ascii="Times New Roman" w:eastAsia="Times New Roman" w:hAnsi="Times New Roman" w:cs="Times New Roman"/>
          <w:sz w:val="20"/>
        </w:rPr>
        <w:t xml:space="preserve"> </w:t>
      </w:r>
      <w:r>
        <w:rPr>
          <w:rFonts w:ascii="Times New Roman" w:eastAsia="Times New Roman" w:hAnsi="Times New Roman" w:cs="Times New Roman"/>
          <w:sz w:val="20"/>
        </w:rPr>
        <w:t>$394,000</w:t>
      </w:r>
      <w:r>
        <w:rPr>
          <w:rFonts w:ascii="Times New Roman" w:eastAsia="Times New Roman" w:hAnsi="Times New Roman" w:cs="Times New Roman"/>
          <w:sz w:val="20"/>
        </w:rPr>
        <w:t xml:space="preserve"> as a</w:t>
      </w:r>
      <w:r>
        <w:rPr>
          <w:rFonts w:ascii="Times New Roman" w:eastAsia="Times New Roman" w:hAnsi="Times New Roman" w:cs="Times New Roman"/>
          <w:sz w:val="20"/>
        </w:rPr>
        <w:t xml:space="preserve"> one</w:t>
      </w:r>
      <w:r>
        <w:rPr>
          <w:rFonts w:ascii="Times New Roman" w:eastAsia="Times New Roman" w:hAnsi="Times New Roman" w:cs="Times New Roman"/>
          <w:sz w:val="20"/>
        </w:rPr>
        <w:t>-</w:t>
      </w:r>
      <w:r>
        <w:rPr>
          <w:rFonts w:ascii="Times New Roman" w:eastAsia="Times New Roman" w:hAnsi="Times New Roman" w:cs="Times New Roman"/>
          <w:sz w:val="20"/>
        </w:rPr>
        <w:t>time bonus</w:t>
      </w:r>
      <w:r>
        <w:rPr>
          <w:rFonts w:ascii="Times New Roman" w:eastAsia="Times New Roman" w:hAnsi="Times New Roman" w:cs="Times New Roman"/>
          <w:sz w:val="20"/>
        </w:rPr>
        <w:t xml:space="preserve">. The restricted stock units vest in equal monthly installments over </w:t>
      </w:r>
      <w:r>
        <w:rPr>
          <w:rFonts w:ascii="Times New Roman" w:eastAsia="Times New Roman" w:hAnsi="Times New Roman" w:cs="Times New Roman"/>
          <w:sz w:val="20"/>
        </w:rPr>
        <w:t>10</w:t>
      </w:r>
      <w:r>
        <w:rPr>
          <w:rFonts w:ascii="Times New Roman" w:eastAsia="Times New Roman" w:hAnsi="Times New Roman" w:cs="Times New Roman"/>
          <w:sz w:val="20"/>
        </w:rPr>
        <w:t xml:space="preserve"> months from issuance. </w:t>
      </w:r>
      <w:r>
        <w:rPr>
          <w:rFonts w:ascii="Times New Roman" w:eastAsia="Times New Roman" w:hAnsi="Times New Roman" w:cs="Times New Roman"/>
          <w:sz w:val="20"/>
        </w:rPr>
        <w:tab/>
      </w:r>
    </w:p>
    <w:p>
      <w:pPr>
        <w:keepNext/>
        <w:keepLines/>
        <w:pageBreakBefore w:val="0"/>
        <w:widowControl w:val="0"/>
        <w:numPr>
          <w:ilvl w:val="0"/>
          <w:numId w:val="0"/>
        </w:numPr>
        <w:spacing w:before="0" w:after="10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The following table contains summarized information about restricted stock units during the year</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w:t>
      </w:r>
      <w:r>
        <w:rPr>
          <w:rFonts w:ascii="Times New Roman" w:eastAsia="Times New Roman" w:hAnsi="Times New Roman" w:cs="Times New Roman"/>
          <w:sz w:val="20"/>
        </w:rPr>
        <w:t xml:space="preserve"> </w:t>
      </w:r>
      <w:r>
        <w:rPr>
          <w:rFonts w:ascii="Times New Roman" w:eastAsia="Times New Roman" w:hAnsi="Times New Roman" w:cs="Times New Roman"/>
          <w:sz w:val="20"/>
        </w:rPr>
        <w:t>March 31, 2021</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55"/>
        <w:gridCol w:w="1535"/>
        <w:gridCol w:w="100"/>
        <w:gridCol w:w="160"/>
        <w:gridCol w:w="1375"/>
        <w:gridCol w:w="100"/>
        <w:gridCol w:w="163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trPr>
        <w:tc>
          <w:tcPr>
            <w:tcW w:w="53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i/>
                <w:color w:val="000000"/>
                <w:sz w:val="20"/>
              </w:rPr>
              <w:t>Restricted Stock Units Activity</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Common Shares</w:t>
            </w: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Grant Date</w:t>
            </w:r>
          </w:p>
          <w:p>
            <w:pPr>
              <w:spacing w:after="30" w:line="240" w:lineRule="auto"/>
              <w:ind w:left="0" w:right="0"/>
              <w:jc w:val="center"/>
            </w:pPr>
            <w:r>
              <w:rPr>
                <w:rFonts w:ascii="Times New Roman" w:eastAsia="Times New Roman" w:hAnsi="Times New Roman" w:cs="Times New Roman"/>
                <w:color w:val="000000"/>
                <w:sz w:val="20"/>
              </w:rPr>
              <w:t>Fair Value</w:t>
            </w: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Remaining Years</w:t>
            </w:r>
          </w:p>
          <w:p>
            <w:pPr>
              <w:spacing w:after="30" w:line="240" w:lineRule="auto"/>
              <w:ind w:left="0" w:right="0"/>
              <w:jc w:val="center"/>
            </w:pPr>
            <w:r>
              <w:rPr>
                <w:rFonts w:ascii="Times New Roman" w:eastAsia="Times New Roman" w:hAnsi="Times New Roman" w:cs="Times New Roman"/>
                <w:color w:val="000000"/>
                <w:sz w:val="20"/>
              </w:rPr>
              <w:t>to Vest</w:t>
            </w: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366,812 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0.42 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3.2</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930,145 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(172,441)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(154,167)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2020</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970,349 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0.39 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1.2</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(524,256)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40" w:lineRule="auto"/>
              <w:ind w:left="0"/>
              <w:jc w:val="left"/>
            </w:pPr>
            <w:r>
              <w:rPr>
                <w:rFonts w:ascii="Times New Roman" w:eastAsia="Times New Roman" w:hAnsi="Times New Roman" w:cs="Times New Roman"/>
                <w:color w:val="000000"/>
                <w:sz w:val="20"/>
              </w:rPr>
              <w:t>Nonvested at March 31, 2021</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546,093 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0.96 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right="0"/>
              <w:jc w:val="right"/>
            </w:pPr>
            <w:r>
              <w:rPr>
                <w:rFonts w:ascii="Times New Roman" w:eastAsia="Times New Roman" w:hAnsi="Times New Roman" w:cs="Times New Roman"/>
                <w:color w:val="000000"/>
                <w:sz w:val="20"/>
              </w:rPr>
              <w:t>1.8</w:t>
            </w: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D</w:t>
      </w:r>
      <w:r>
        <w:rPr>
          <w:rFonts w:ascii="Times New Roman" w:eastAsia="Times New Roman" w:hAnsi="Times New Roman" w:cs="Times New Roman"/>
          <w:sz w:val="20"/>
        </w:rPr>
        <w:t xml:space="preserve">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t</w:t>
      </w:r>
      <w:r>
        <w:rPr>
          <w:rFonts w:ascii="Times New Roman" w:eastAsia="Times New Roman" w:hAnsi="Times New Roman" w:cs="Times New Roman"/>
          <w:sz w:val="20"/>
        </w:rPr>
        <w:t xml:space="preserve">he Company </w:t>
      </w:r>
      <w:r>
        <w:rPr>
          <w:rFonts w:ascii="Times New Roman" w:eastAsia="Times New Roman" w:hAnsi="Times New Roman" w:cs="Times New Roman"/>
          <w:sz w:val="20"/>
        </w:rPr>
        <w:t xml:space="preserve">withheld </w:t>
      </w:r>
      <w:r>
        <w:rPr>
          <w:rFonts w:ascii="Times New Roman" w:eastAsia="Times New Roman" w:hAnsi="Times New Roman" w:cs="Times New Roman"/>
          <w:sz w:val="20"/>
        </w:rPr>
        <w:t>163,998</w:t>
      </w:r>
      <w:r>
        <w:rPr>
          <w:rFonts w:ascii="Times New Roman" w:eastAsia="Times New Roman" w:hAnsi="Times New Roman" w:cs="Times New Roman"/>
          <w:sz w:val="20"/>
        </w:rPr>
        <w:t xml:space="preserve"> </w:t>
      </w:r>
      <w:r>
        <w:rPr>
          <w:rFonts w:ascii="Times New Roman" w:eastAsia="Times New Roman" w:hAnsi="Times New Roman" w:cs="Times New Roman"/>
          <w:sz w:val="20"/>
        </w:rPr>
        <w:t>shar</w:t>
      </w:r>
      <w:r>
        <w:rPr>
          <w:rFonts w:ascii="Times New Roman" w:eastAsia="Times New Roman" w:hAnsi="Times New Roman" w:cs="Times New Roman"/>
          <w:sz w:val="20"/>
        </w:rPr>
        <w:t xml:space="preserve">es of common stock </w:t>
      </w:r>
      <w:r>
        <w:rPr>
          <w:rFonts w:ascii="Times New Roman" w:eastAsia="Times New Roman" w:hAnsi="Times New Roman" w:cs="Times New Roman"/>
          <w:sz w:val="20"/>
        </w:rPr>
        <w:t xml:space="preserve">valued at </w:t>
      </w:r>
      <w:r>
        <w:rPr>
          <w:rFonts w:ascii="Times New Roman" w:eastAsia="Times New Roman" w:hAnsi="Times New Roman" w:cs="Times New Roman"/>
          <w:sz w:val="20"/>
        </w:rPr>
        <w:t>$341,576</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 cover statutory </w:t>
      </w:r>
      <w:r>
        <w:rPr>
          <w:rFonts w:ascii="Times New Roman" w:eastAsia="Times New Roman" w:hAnsi="Times New Roman" w:cs="Times New Roman"/>
          <w:sz w:val="20"/>
        </w:rPr>
        <w:t xml:space="preserve">employee </w:t>
      </w:r>
      <w:r>
        <w:rPr>
          <w:rFonts w:ascii="Times New Roman" w:eastAsia="Times New Roman" w:hAnsi="Times New Roman" w:cs="Times New Roman"/>
          <w:sz w:val="20"/>
        </w:rPr>
        <w:t xml:space="preserve">withholding taxes </w:t>
      </w:r>
      <w:r>
        <w:rPr>
          <w:rFonts w:ascii="Times New Roman" w:eastAsia="Times New Roman" w:hAnsi="Times New Roman" w:cs="Times New Roman"/>
          <w:sz w:val="20"/>
        </w:rPr>
        <w:t xml:space="preserve">due </w:t>
      </w:r>
      <w:r>
        <w:rPr>
          <w:rFonts w:ascii="Times New Roman" w:eastAsia="Times New Roman" w:hAnsi="Times New Roman" w:cs="Times New Roman"/>
          <w:sz w:val="20"/>
        </w:rPr>
        <w:t>upon the delivery of</w:t>
      </w:r>
      <w:r>
        <w:rPr>
          <w:rFonts w:ascii="Times New Roman" w:eastAsia="Times New Roman" w:hAnsi="Times New Roman" w:cs="Times New Roman"/>
          <w:sz w:val="20"/>
        </w:rPr>
        <w:t xml:space="preserve"> common stock for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vested </w:t>
      </w:r>
      <w:r>
        <w:rPr>
          <w:rFonts w:ascii="Times New Roman" w:eastAsia="Times New Roman" w:hAnsi="Times New Roman" w:cs="Times New Roman"/>
          <w:sz w:val="20"/>
        </w:rPr>
        <w:t>rest</w:t>
      </w:r>
      <w:r>
        <w:rPr>
          <w:rFonts w:ascii="Times New Roman" w:eastAsia="Times New Roman" w:hAnsi="Times New Roman" w:cs="Times New Roman"/>
          <w:sz w:val="20"/>
        </w:rPr>
        <w:t>ricted stock unit</w:t>
      </w:r>
      <w:r>
        <w:rPr>
          <w:rFonts w:ascii="Times New Roman" w:eastAsia="Times New Roman" w:hAnsi="Times New Roman" w:cs="Times New Roman"/>
          <w:sz w:val="20"/>
        </w:rPr>
        <w:t>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Expense recognized on restricted stock units issued to employees was </w:t>
      </w:r>
      <w:r>
        <w:rPr>
          <w:rFonts w:ascii="Times New Roman" w:eastAsia="Times New Roman" w:hAnsi="Times New Roman" w:cs="Times New Roman"/>
          <w:sz w:val="20"/>
        </w:rPr>
        <w:t>$137,808</w:t>
      </w:r>
      <w:r>
        <w:rPr>
          <w:rFonts w:ascii="Times New Roman" w:eastAsia="Times New Roman" w:hAnsi="Times New Roman" w:cs="Times New Roman"/>
          <w:sz w:val="20"/>
        </w:rPr>
        <w:t xml:space="preserve"> and </w:t>
      </w:r>
      <w:r>
        <w:rPr>
          <w:rFonts w:ascii="Times New Roman" w:eastAsia="Times New Roman" w:hAnsi="Times New Roman" w:cs="Times New Roman"/>
          <w:sz w:val="20"/>
        </w:rPr>
        <w:t>$56,607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respectively. On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the fair value of the Company’s common stock was approximately </w:t>
      </w:r>
      <w:r>
        <w:rPr>
          <w:rFonts w:ascii="Times New Roman" w:eastAsia="Times New Roman" w:hAnsi="Times New Roman" w:cs="Times New Roman"/>
          <w:sz w:val="20"/>
        </w:rPr>
        <w:t>$3.77</w:t>
      </w:r>
      <w:r>
        <w:rPr>
          <w:rFonts w:ascii="Times New Roman" w:eastAsia="Times New Roman" w:hAnsi="Times New Roman" w:cs="Times New Roman"/>
          <w:sz w:val="20"/>
        </w:rPr>
        <w:t xml:space="preserve"> per share and the intrinsic value on the non-vested restricted units was </w:t>
      </w:r>
      <w:r>
        <w:rPr>
          <w:rFonts w:ascii="Times New Roman" w:eastAsia="Times New Roman" w:hAnsi="Times New Roman" w:cs="Times New Roman"/>
          <w:sz w:val="20"/>
        </w:rPr>
        <w:t>$2,058,771</w:t>
      </w:r>
      <w:r>
        <w:rPr>
          <w:rFonts w:ascii="Times New Roman" w:eastAsia="Times New Roman" w:hAnsi="Times New Roman" w:cs="Times New Roman"/>
          <w:sz w:val="20"/>
        </w:rPr>
        <w:t xml:space="preserve">. Future compensation related to the non-vested restricted stock units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is </w:t>
      </w:r>
      <w:r>
        <w:rPr>
          <w:rFonts w:ascii="Times New Roman" w:eastAsia="Times New Roman" w:hAnsi="Times New Roman" w:cs="Times New Roman"/>
          <w:sz w:val="20"/>
        </w:rPr>
        <w:t>$491,208</w:t>
      </w:r>
      <w:r>
        <w:rPr>
          <w:rFonts w:ascii="Times New Roman" w:eastAsia="Times New Roman" w:hAnsi="Times New Roman" w:cs="Times New Roman"/>
          <w:sz w:val="20"/>
        </w:rPr>
        <w:t xml:space="preserve"> and it is estimated to be recognized over the weighted-average vesting period of approximately </w:t>
      </w:r>
      <w:r>
        <w:rPr>
          <w:rFonts w:ascii="Times New Roman" w:eastAsia="Times New Roman" w:hAnsi="Times New Roman" w:cs="Times New Roman"/>
          <w:sz w:val="20"/>
        </w:rPr>
        <w:t>1.8 years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keepLines/>
        <w:pageBreakBefore w:val="0"/>
        <w:widowControl w:val="0"/>
        <w:numPr>
          <w:ilvl w:val="0"/>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Stock Options </w:t>
      </w:r>
    </w:p>
    <w:p>
      <w:pPr>
        <w:keepNext w:val="0"/>
        <w:keepLines w:val="0"/>
        <w:pageBreakBefore w:val="0"/>
        <w:widowControl w:val="0"/>
        <w:numPr>
          <w:ilvl w:val="0"/>
          <w:numId w:val="0"/>
        </w:numPr>
        <w:spacing w:before="18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Under the 2011 Equity Incentive Plans, the Board determines the exercise price to be paid for the stock option shares, the period within which each stock option may be exercised, and the terms and conditions of each stock option. The exercise price of incentive and non-qualified stock options may not be less than </w:t>
      </w:r>
      <w:r>
        <w:rPr>
          <w:rFonts w:ascii="Times New Roman" w:eastAsia="Times New Roman" w:hAnsi="Times New Roman" w:cs="Times New Roman"/>
          <w:sz w:val="20"/>
        </w:rPr>
        <w:t>100%</w:t>
      </w:r>
      <w:r>
        <w:rPr>
          <w:rFonts w:ascii="Times New Roman" w:eastAsia="Times New Roman" w:hAnsi="Times New Roman" w:cs="Times New Roman"/>
          <w:sz w:val="20"/>
        </w:rPr>
        <w:t xml:space="preserve"> of the fair market value per share of the Company’s common stock on the grant date. If an individual owns stock representing more than </w:t>
      </w:r>
      <w:r>
        <w:rPr>
          <w:rFonts w:ascii="Times New Roman" w:eastAsia="Times New Roman" w:hAnsi="Times New Roman" w:cs="Times New Roman"/>
          <w:sz w:val="20"/>
        </w:rPr>
        <w:t>10%</w:t>
      </w:r>
      <w:r>
        <w:rPr>
          <w:rFonts w:ascii="Times New Roman" w:eastAsia="Times New Roman" w:hAnsi="Times New Roman" w:cs="Times New Roman"/>
          <w:sz w:val="20"/>
        </w:rPr>
        <w:t xml:space="preserve"> of the outstanding shares, the exercise price of each share of an incentive stock option must be equal to or exceed </w:t>
      </w:r>
      <w:r>
        <w:rPr>
          <w:rFonts w:ascii="Times New Roman" w:eastAsia="Times New Roman" w:hAnsi="Times New Roman" w:cs="Times New Roman"/>
          <w:sz w:val="20"/>
        </w:rPr>
        <w:t>110%</w:t>
      </w:r>
      <w:r>
        <w:rPr>
          <w:rFonts w:ascii="Times New Roman" w:eastAsia="Times New Roman" w:hAnsi="Times New Roman" w:cs="Times New Roman"/>
          <w:sz w:val="20"/>
        </w:rPr>
        <w:t xml:space="preserve"> of fair market value. Unless otherwise determined by the Board at the time of grant, the exercise price is set at the fair market value of the Company’s common stock on the grant date (or the last trading day prior to the grant date, if it is awarded on a non-trading day). Additionally, the term is set at </w:t>
      </w:r>
      <w:r>
        <w:rPr>
          <w:rFonts w:ascii="Times New Roman" w:eastAsia="Times New Roman" w:hAnsi="Times New Roman" w:cs="Times New Roman"/>
          <w:sz w:val="20"/>
        </w:rPr>
        <w:t>ten</w:t>
      </w:r>
      <w:r>
        <w:rPr>
          <w:rFonts w:ascii="Times New Roman" w:eastAsia="Times New Roman" w:hAnsi="Times New Roman" w:cs="Times New Roman"/>
          <w:sz w:val="20"/>
        </w:rPr>
        <w:t xml:space="preserve"> years and the option typically vests on a straight-line basis over the requisite service period as follows: </w:t>
      </w:r>
      <w:r>
        <w:rPr>
          <w:rFonts w:ascii="Times New Roman" w:eastAsia="Times New Roman" w:hAnsi="Times New Roman" w:cs="Times New Roman"/>
          <w:sz w:val="20"/>
        </w:rPr>
        <w:t>25%</w:t>
      </w:r>
      <w:r>
        <w:rPr>
          <w:rFonts w:ascii="Times New Roman" w:eastAsia="Times New Roman" w:hAnsi="Times New Roman" w:cs="Times New Roman"/>
          <w:sz w:val="20"/>
        </w:rPr>
        <w:t xml:space="preserve">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from the date of grant with the remaining vesting monthly in equal increments over the following </w:t>
      </w:r>
      <w:r>
        <w:rPr>
          <w:rFonts w:ascii="Times New Roman" w:eastAsia="Times New Roman" w:hAnsi="Times New Roman" w:cs="Times New Roman"/>
          <w:sz w:val="20"/>
        </w:rPr>
        <w:t>three</w:t>
      </w:r>
      <w:r>
        <w:rPr>
          <w:rFonts w:ascii="Times New Roman" w:eastAsia="Times New Roman" w:hAnsi="Times New Roman" w:cs="Times New Roman"/>
          <w:sz w:val="20"/>
        </w:rPr>
        <w:t xml:space="preserve"> years. The Company issues new shares for any stock awards or options exercised under its 2011 Equity Incentive Plans. </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keepLines w:val="0"/>
        <w:pageBreakBefore w:val="0"/>
        <w:widowControl/>
        <w:numPr>
          <w:ilvl w:val="0"/>
          <w:numId w:val="0"/>
        </w:numPr>
        <w:spacing w:before="0" w:after="10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A summary of option activity under the 2011 Equity Incentive Plans during the year</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w:t>
      </w:r>
      <w:r>
        <w:rPr>
          <w:rFonts w:ascii="Times New Roman" w:eastAsia="Times New Roman" w:hAnsi="Times New Roman" w:cs="Times New Roman"/>
          <w:sz w:val="20"/>
        </w:rPr>
        <w:t xml:space="preserve">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is presented below: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05"/>
        <w:gridCol w:w="1535"/>
        <w:gridCol w:w="100"/>
        <w:gridCol w:w="75"/>
        <w:gridCol w:w="160"/>
        <w:gridCol w:w="1375"/>
        <w:gridCol w:w="100"/>
        <w:gridCol w:w="75"/>
        <w:gridCol w:w="163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jc w:val="left"/>
        </w:trPr>
        <w:tc>
          <w:tcPr>
            <w:tcW w:w="52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i/>
                <w:color w:val="000000"/>
                <w:sz w:val="20"/>
              </w:rPr>
              <w:t>Options Outstanding</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Common Shares</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after="30" w:line="240" w:lineRule="auto"/>
              <w:ind w:left="0" w:right="0"/>
              <w:jc w:val="center"/>
            </w:pPr>
            <w:r>
              <w:rPr>
                <w:rFonts w:ascii="Times New Roman" w:eastAsia="Times New Roman" w:hAnsi="Times New Roman" w:cs="Times New Roman"/>
                <w:color w:val="000000"/>
                <w:sz w:val="20"/>
              </w:rPr>
              <w:t>Exercise Price</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Remaining Life</w:t>
            </w:r>
          </w:p>
          <w:p>
            <w:pPr>
              <w:spacing w:after="30" w:line="240" w:lineRule="auto"/>
              <w:ind w:left="0" w:right="0"/>
              <w:jc w:val="center"/>
            </w:pPr>
            <w:r>
              <w:rPr>
                <w:rFonts w:ascii="Times New Roman" w:eastAsia="Times New Roman" w:hAnsi="Times New Roman" w:cs="Times New Roman"/>
                <w:color w:val="000000"/>
                <w:sz w:val="20"/>
              </w:rPr>
              <w:t>(Years)</w:t>
            </w:r>
          </w:p>
        </w:tc>
      </w:tr>
      <w:tr>
        <w:tblPrEx>
          <w:tblW w:w="10465" w:type="dxa"/>
          <w:jc w:val="left"/>
          <w:tblInd w:w="0" w:type="dxa"/>
          <w:tblCellMar>
            <w:left w:w="108" w:type="dxa"/>
            <w:right w:w="108" w:type="dxa"/>
          </w:tblCellMar>
        </w:tblPrEx>
        <w:trPr>
          <w:cantSplit/>
          <w:trHeight w:hRule="exact" w:val="300"/>
          <w:jc w:val="left"/>
        </w:trPr>
        <w:tc>
          <w:tcPr>
            <w:tcW w:w="5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Outstanding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1,357,837 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7.2</w:t>
            </w: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411,350 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Exercised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(369)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Expired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(56,012)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3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Outstanding at December 31, 2020</w:t>
            </w:r>
          </w:p>
        </w:tc>
        <w:tc>
          <w:tcPr>
            <w:tcW w:w="153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1,712,806 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right="0"/>
              <w:jc w:val="right"/>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2.56 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6.9</w:t>
            </w: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44,155 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Exercised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Expired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(6,934)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5.57 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Outstanding at March 31, 2021</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1,748,517 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2.55 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6.8</w:t>
            </w:r>
          </w:p>
        </w:tc>
      </w:tr>
      <w:tr>
        <w:tblPrEx>
          <w:tblW w:w="10465" w:type="dxa"/>
          <w:jc w:val="left"/>
          <w:tblInd w:w="0" w:type="dxa"/>
          <w:tblCellMar>
            <w:left w:w="108" w:type="dxa"/>
            <w:right w:w="108" w:type="dxa"/>
          </w:tblCellMar>
        </w:tblPrEx>
        <w:trPr>
          <w:cantSplit/>
          <w:trHeight w:hRule="exact" w:val="180"/>
          <w:jc w:val="left"/>
        </w:trPr>
        <w:tc>
          <w:tcPr>
            <w:tcW w:w="5205" w:type="dxa"/>
            <w:tcBorders>
              <w:top w:val="doub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jc w:val="left"/>
            </w:pPr>
          </w:p>
        </w:tc>
        <w:tc>
          <w:tcPr>
            <w:tcW w:w="163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Exercisable at March 31, 2021</w:t>
            </w:r>
          </w:p>
        </w:tc>
        <w:tc>
          <w:tcPr>
            <w:tcW w:w="1535"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1,070,149 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3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3.60 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35"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75" w:after="30" w:line="240" w:lineRule="auto"/>
              <w:ind w:right="0"/>
              <w:jc w:val="right"/>
            </w:pPr>
            <w:r>
              <w:rPr>
                <w:rFonts w:ascii="Times New Roman" w:eastAsia="Times New Roman" w:hAnsi="Times New Roman" w:cs="Times New Roman"/>
                <w:color w:val="000000"/>
                <w:sz w:val="20"/>
              </w:rPr>
              <w:t>5.7</w:t>
            </w: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r>
        <w:rPr>
          <w:rFonts w:ascii="Times New Roman" w:eastAsia="Times New Roman" w:hAnsi="Times New Roman" w:cs="Times New Roman"/>
          <w:sz w:val="20"/>
        </w:rPr>
        <w:t>1510</w:t>
      </w:r>
      <w:r>
        <w:rPr>
          <w:rFonts w:ascii="Times New Roman" w:eastAsia="Times New Roman" w:hAnsi="Times New Roman" w:cs="Times New Roman"/>
          <w:sz w:val="20"/>
        </w:rPr>
        <w:t xml:space="preserve"> options were exercised for gross proceeds of </w:t>
      </w:r>
      <w:r>
        <w:rPr>
          <w:rFonts w:ascii="Times New Roman" w:eastAsia="Times New Roman" w:hAnsi="Times New Roman" w:cs="Times New Roman"/>
          <w:sz w:val="20"/>
        </w:rPr>
        <w:t>$2,144</w:t>
      </w:r>
      <w:r>
        <w:rPr>
          <w:rFonts w:ascii="Times New Roman" w:eastAsia="Times New Roman" w:hAnsi="Times New Roman" w:cs="Times New Roman"/>
          <w:sz w:val="20"/>
        </w:rPr>
        <w:t xml:space="preserve">. The intrinsic value on exercised options was </w:t>
      </w:r>
      <w:r>
        <w:rPr>
          <w:rFonts w:ascii="Times New Roman" w:eastAsia="Times New Roman" w:hAnsi="Times New Roman" w:cs="Times New Roman"/>
          <w:sz w:val="20"/>
        </w:rPr>
        <w:t>$4,651</w:t>
      </w:r>
      <w:r>
        <w:rPr>
          <w:rFonts w:ascii="Times New Roman" w:eastAsia="Times New Roman" w:hAnsi="Times New Roman" w:cs="Times New Roman"/>
          <w:sz w:val="20"/>
        </w:rPr>
        <w:t xml:space="preserve">. 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options exercised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2020</w:t>
      </w:r>
      <w:r>
        <w:rPr>
          <w:rFonts w:ascii="Times New Roman" w:eastAsia="Times New Roman" w:hAnsi="Times New Roman" w:cs="Times New Roman"/>
          <w:sz w:val="20"/>
        </w:rPr>
        <w:t xml:space="preserve">. The fair value of the Company's common stock on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was approximately </w:t>
      </w:r>
      <w:r>
        <w:rPr>
          <w:rFonts w:ascii="Times New Roman" w:eastAsia="Times New Roman" w:hAnsi="Times New Roman" w:cs="Times New Roman"/>
          <w:sz w:val="20"/>
        </w:rPr>
        <w:t>$3.77</w:t>
      </w:r>
      <w:r>
        <w:rPr>
          <w:rFonts w:ascii="Times New Roman" w:eastAsia="Times New Roman" w:hAnsi="Times New Roman" w:cs="Times New Roman"/>
          <w:sz w:val="20"/>
        </w:rPr>
        <w:t xml:space="preserve"> per share and the intrinsic value on outstanding options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$3,277,104</w:t>
      </w:r>
      <w:r>
        <w:rPr>
          <w:rFonts w:ascii="Times New Roman" w:eastAsia="Times New Roman" w:hAnsi="Times New Roman" w:cs="Times New Roman"/>
          <w:sz w:val="20"/>
        </w:rPr>
        <w:t xml:space="preserve">. The intrinsic value on exercisable options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$1,321,186</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10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A summary of the nonvested stock option activity under the 2011 Equity Incentive Plans during the year</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w:t>
      </w:r>
      <w:r>
        <w:rPr>
          <w:rFonts w:ascii="Times New Roman" w:eastAsia="Times New Roman" w:hAnsi="Times New Roman" w:cs="Times New Roman"/>
          <w:sz w:val="20"/>
        </w:rPr>
        <w:t xml:space="preserve"> </w:t>
      </w:r>
      <w:r>
        <w:rPr>
          <w:rFonts w:ascii="Times New Roman" w:eastAsia="Times New Roman" w:hAnsi="Times New Roman" w:cs="Times New Roman"/>
          <w:sz w:val="20"/>
        </w:rPr>
        <w:t>March 31, 2021</w:t>
      </w:r>
      <w:r>
        <w:rPr>
          <w:rFonts w:ascii="Times New Roman" w:eastAsia="Times New Roman" w:hAnsi="Times New Roman" w:cs="Times New Roman"/>
          <w:sz w:val="20"/>
        </w:rPr>
        <w:t>, is presented below:</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05"/>
        <w:gridCol w:w="1535"/>
        <w:gridCol w:w="100"/>
        <w:gridCol w:w="75"/>
        <w:gridCol w:w="160"/>
        <w:gridCol w:w="1375"/>
        <w:gridCol w:w="100"/>
        <w:gridCol w:w="75"/>
        <w:gridCol w:w="163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trPr>
        <w:tc>
          <w:tcPr>
            <w:tcW w:w="52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i/>
                <w:color w:val="000000"/>
                <w:sz w:val="20"/>
              </w:rPr>
              <w:t>Nonvested Options</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Common Shares</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Grant Date</w:t>
            </w:r>
          </w:p>
          <w:p>
            <w:pPr>
              <w:spacing w:after="30" w:line="240" w:lineRule="auto"/>
              <w:ind w:left="0" w:right="0"/>
              <w:jc w:val="center"/>
            </w:pPr>
            <w:r>
              <w:rPr>
                <w:rFonts w:ascii="Times New Roman" w:eastAsia="Times New Roman" w:hAnsi="Times New Roman" w:cs="Times New Roman"/>
                <w:color w:val="000000"/>
                <w:sz w:val="20"/>
              </w:rPr>
              <w:t>Fair Value</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Remaining Years</w:t>
            </w:r>
          </w:p>
          <w:p>
            <w:pPr>
              <w:spacing w:after="30" w:line="240" w:lineRule="auto"/>
              <w:ind w:left="0" w:right="0"/>
              <w:jc w:val="center"/>
            </w:pPr>
            <w:r>
              <w:rPr>
                <w:rFonts w:ascii="Times New Roman" w:eastAsia="Times New Roman" w:hAnsi="Times New Roman" w:cs="Times New Roman"/>
                <w:color w:val="000000"/>
                <w:sz w:val="20"/>
              </w:rPr>
              <w:t>to Vest</w:t>
            </w:r>
          </w:p>
        </w:tc>
      </w:tr>
      <w:tr>
        <w:tblPrEx>
          <w:tblW w:w="10465" w:type="dxa"/>
          <w:tblInd w:w="0" w:type="dxa"/>
          <w:tblCellMar>
            <w:left w:w="108" w:type="dxa"/>
            <w:right w:w="108" w:type="dxa"/>
          </w:tblCellMar>
        </w:tblPrEx>
        <w:trPr>
          <w:cantSplit/>
          <w:trHeight w:hRule="exact" w:val="300"/>
        </w:trPr>
        <w:tc>
          <w:tcPr>
            <w:tcW w:w="52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600,779 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0.64 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3.0</w:t>
            </w: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411,350 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(283,766)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(12,877)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0.88 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52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2020</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715,486 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0.56 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2.5</w:t>
            </w: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44,155 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(79,460)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(1,813)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0.64 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r>
      <w:tr>
        <w:tblPrEx>
          <w:tblW w:w="10465" w:type="dxa"/>
          <w:tblInd w:w="0" w:type="dxa"/>
          <w:tblCellMar>
            <w:left w:w="108" w:type="dxa"/>
            <w:right w:w="108" w:type="dxa"/>
          </w:tblCellMar>
        </w:tblPrEx>
        <w:trPr>
          <w:cantSplit/>
          <w:trHeight w:hRule="exact" w:val="300"/>
        </w:trPr>
        <w:tc>
          <w:tcPr>
            <w:tcW w:w="520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40" w:lineRule="auto"/>
              <w:ind w:left="0"/>
              <w:jc w:val="left"/>
            </w:pPr>
            <w:r>
              <w:rPr>
                <w:rFonts w:ascii="Times New Roman" w:eastAsia="Times New Roman" w:hAnsi="Times New Roman" w:cs="Times New Roman"/>
                <w:color w:val="000000"/>
                <w:sz w:val="20"/>
              </w:rPr>
              <w:t>Nonvested at March 31, 2021</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678,368 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left="0"/>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0.64 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left="0"/>
              <w:jc w:val="lef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right="0"/>
              <w:jc w:val="right"/>
            </w:pPr>
            <w:r>
              <w:rPr>
                <w:rFonts w:ascii="Times New Roman" w:eastAsia="Times New Roman" w:hAnsi="Times New Roman" w:cs="Times New Roman"/>
                <w:color w:val="000000"/>
                <w:sz w:val="20"/>
              </w:rPr>
              <w:t>2.4</w:t>
            </w: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There were outstanding options to purchase </w:t>
      </w:r>
      <w:r>
        <w:rPr>
          <w:rFonts w:ascii="Times New Roman" w:eastAsia="Times New Roman" w:hAnsi="Times New Roman" w:cs="Times New Roman"/>
          <w:sz w:val="20"/>
        </w:rPr>
        <w:t>1,748,517</w:t>
      </w:r>
      <w:r>
        <w:rPr>
          <w:rFonts w:ascii="Times New Roman" w:eastAsia="Times New Roman" w:hAnsi="Times New Roman" w:cs="Times New Roman"/>
          <w:sz w:val="20"/>
        </w:rPr>
        <w:t xml:space="preserve"> shares</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with a weighted average exercise price of </w:t>
      </w:r>
      <w:r>
        <w:rPr>
          <w:rFonts w:ascii="Times New Roman" w:eastAsia="Times New Roman" w:hAnsi="Times New Roman" w:cs="Times New Roman"/>
          <w:sz w:val="20"/>
        </w:rPr>
        <w:t>$2.55</w:t>
      </w:r>
      <w:r>
        <w:rPr>
          <w:rFonts w:ascii="Times New Roman" w:eastAsia="Times New Roman" w:hAnsi="Times New Roman" w:cs="Times New Roman"/>
          <w:sz w:val="20"/>
        </w:rPr>
        <w:t xml:space="preserve"> per share, of which options to purchase </w:t>
      </w:r>
      <w:r>
        <w:rPr>
          <w:rFonts w:ascii="Times New Roman" w:eastAsia="Times New Roman" w:hAnsi="Times New Roman" w:cs="Times New Roman"/>
          <w:sz w:val="20"/>
        </w:rPr>
        <w:t>1,070,149</w:t>
      </w:r>
      <w:r>
        <w:rPr>
          <w:rFonts w:ascii="Times New Roman" w:eastAsia="Times New Roman" w:hAnsi="Times New Roman" w:cs="Times New Roman"/>
          <w:sz w:val="20"/>
        </w:rPr>
        <w:t xml:space="preserve"> shares were exercisable with a weighted average exercise price of </w:t>
      </w:r>
      <w:r>
        <w:rPr>
          <w:rFonts w:ascii="Times New Roman" w:eastAsia="Times New Roman" w:hAnsi="Times New Roman" w:cs="Times New Roman"/>
          <w:sz w:val="20"/>
        </w:rPr>
        <w:t>$3.60</w:t>
      </w:r>
      <w:r>
        <w:rPr>
          <w:rFonts w:ascii="Times New Roman" w:eastAsia="Times New Roman" w:hAnsi="Times New Roman" w:cs="Times New Roman"/>
          <w:sz w:val="20"/>
        </w:rPr>
        <w:t xml:space="preserve"> per share as of </w:t>
      </w:r>
      <w:r>
        <w:rPr>
          <w:rFonts w:ascii="Times New Roman" w:eastAsia="Times New Roman" w:hAnsi="Times New Roman" w:cs="Times New Roman"/>
          <w:sz w:val="20"/>
        </w:rPr>
        <w:t>March 31, 2021</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Expense recognized on stock options issued to employees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$52,407</w:t>
      </w:r>
      <w:r>
        <w:rPr>
          <w:rFonts w:ascii="Times New Roman" w:eastAsia="Times New Roman" w:hAnsi="Times New Roman" w:cs="Times New Roman"/>
          <w:sz w:val="20"/>
        </w:rPr>
        <w:t xml:space="preserve"> and </w:t>
      </w:r>
      <w:r>
        <w:rPr>
          <w:rFonts w:ascii="Times New Roman" w:eastAsia="Times New Roman" w:hAnsi="Times New Roman" w:cs="Times New Roman"/>
          <w:sz w:val="20"/>
        </w:rPr>
        <w:t>$59,051</w:t>
      </w:r>
      <w:r>
        <w:rPr>
          <w:rFonts w:ascii="Times New Roman" w:eastAsia="Times New Roman" w:hAnsi="Times New Roman" w:cs="Times New Roman"/>
          <w:sz w:val="20"/>
        </w:rPr>
        <w:t xml:space="preserve">, respectively. Future compensation related to non-vested awards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is </w:t>
      </w:r>
      <w:r>
        <w:rPr>
          <w:rFonts w:ascii="Times New Roman" w:eastAsia="Times New Roman" w:hAnsi="Times New Roman" w:cs="Times New Roman"/>
          <w:sz w:val="20"/>
        </w:rPr>
        <w:t>$388,112</w:t>
      </w:r>
      <w:r>
        <w:rPr>
          <w:rFonts w:ascii="Times New Roman" w:eastAsia="Times New Roman" w:hAnsi="Times New Roman" w:cs="Times New Roman"/>
          <w:sz w:val="20"/>
        </w:rPr>
        <w:t xml:space="preserve">, and it is estimated to be recognized over the weighted-average vesting period of approximately </w:t>
      </w:r>
      <w:r>
        <w:rPr>
          <w:rFonts w:ascii="Times New Roman" w:eastAsia="Times New Roman" w:hAnsi="Times New Roman" w:cs="Times New Roman"/>
          <w:sz w:val="20"/>
        </w:rPr>
        <w:t>2.4 years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keepLines w:val="0"/>
        <w:pageBreakBefore w:val="0"/>
        <w:widowControl/>
        <w:numPr>
          <w:ilvl w:val="0"/>
          <w:numId w:val="0"/>
        </w:numPr>
        <w:spacing w:before="0" w:after="10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following table shows the number of stock options granted under the Company’s 2011 Equity Incentive Plans and the assumptions used to determine the fair value of those options using a Black-Scholes option-pricing model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0"/>
        <w:gridCol w:w="75"/>
        <w:gridCol w:w="965"/>
        <w:gridCol w:w="100"/>
        <w:gridCol w:w="75"/>
        <w:gridCol w:w="1065"/>
        <w:gridCol w:w="75"/>
        <w:gridCol w:w="1065"/>
        <w:gridCol w:w="75"/>
        <w:gridCol w:w="1065"/>
        <w:gridCol w:w="75"/>
        <w:gridCol w:w="1065"/>
        <w:gridCol w:w="75"/>
        <w:gridCol w:w="965"/>
        <w:gridCol w:w="100"/>
        <w:gridCol w:w="75"/>
        <w:gridCol w:w="106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25"/>
          <w:jc w:val="left"/>
        </w:trPr>
        <w:tc>
          <w:tcPr>
            <w:tcW w:w="228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Period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8"/>
              </w:rPr>
              <w:t>Total Stock</w:t>
            </w:r>
          </w:p>
          <w:p>
            <w:pPr>
              <w:spacing w:line="240" w:lineRule="auto"/>
              <w:ind w:left="0" w:right="0"/>
              <w:jc w:val="center"/>
            </w:pPr>
            <w:r>
              <w:rPr>
                <w:rFonts w:ascii="Times New Roman" w:eastAsia="Times New Roman" w:hAnsi="Times New Roman" w:cs="Times New Roman"/>
                <w:color w:val="000000"/>
                <w:sz w:val="18"/>
              </w:rPr>
              <w:t>Options</w:t>
            </w:r>
          </w:p>
          <w:p>
            <w:pPr>
              <w:spacing w:after="30" w:line="240" w:lineRule="auto"/>
              <w:ind w:left="0" w:right="0"/>
              <w:jc w:val="center"/>
            </w:pPr>
            <w:r>
              <w:rPr>
                <w:rFonts w:ascii="Times New Roman" w:eastAsia="Times New Roman" w:hAnsi="Times New Roman" w:cs="Times New Roman"/>
                <w:color w:val="000000"/>
                <w:sz w:val="18"/>
              </w:rPr>
              <w:t>Granted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Weighted-Average Exercise Price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Weighted-Average Expected Term</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Weighted-Average Volatility</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Weighted-Average Risk-Free Interest Rate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Expected Dividends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8"/>
              </w:rPr>
              <w:t>Weighted-Average</w:t>
            </w:r>
          </w:p>
          <w:p>
            <w:pPr>
              <w:spacing w:line="240" w:lineRule="auto"/>
              <w:ind w:left="0" w:right="0"/>
              <w:jc w:val="center"/>
            </w:pPr>
            <w:r>
              <w:rPr>
                <w:rFonts w:ascii="Times New Roman" w:eastAsia="Times New Roman" w:hAnsi="Times New Roman" w:cs="Times New Roman"/>
                <w:color w:val="000000"/>
                <w:sz w:val="18"/>
              </w:rPr>
              <w:t>Grant Date</w:t>
            </w:r>
          </w:p>
          <w:p>
            <w:pPr>
              <w:spacing w:after="30" w:line="240" w:lineRule="auto"/>
              <w:ind w:left="0" w:right="0"/>
              <w:jc w:val="center"/>
            </w:pPr>
            <w:r>
              <w:rPr>
                <w:rFonts w:ascii="Times New Roman" w:eastAsia="Times New Roman" w:hAnsi="Times New Roman" w:cs="Times New Roman"/>
                <w:color w:val="000000"/>
                <w:sz w:val="18"/>
              </w:rPr>
              <w:t>Fair Value</w:t>
            </w:r>
          </w:p>
        </w:tc>
      </w:tr>
      <w:tr>
        <w:tblPrEx>
          <w:tblW w:w="10465" w:type="dxa"/>
          <w:jc w:val="left"/>
          <w:tblInd w:w="0" w:type="dxa"/>
          <w:tblCellMar>
            <w:left w:w="108" w:type="dxa"/>
            <w:right w:w="108" w:type="dxa"/>
          </w:tblCellMar>
        </w:tblPrEx>
        <w:trPr>
          <w:cantSplit/>
          <w:trHeight w:hRule="exact" w:val="285"/>
          <w:jc w:val="left"/>
        </w:trPr>
        <w:tc>
          <w:tcPr>
            <w:tcW w:w="228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Times New Roman" w:eastAsia="Times New Roman" w:hAnsi="Times New Roman" w:cs="Times New Roman"/>
                <w:color w:val="000000"/>
                <w:sz w:val="20"/>
              </w:rPr>
              <w:t>March 31,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8,917 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$0.25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101.92%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1.71%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$0.16</w:t>
            </w:r>
          </w:p>
        </w:tc>
      </w:tr>
      <w:tr>
        <w:tblPrEx>
          <w:tblW w:w="10465" w:type="dxa"/>
          <w:jc w:val="left"/>
          <w:tblInd w:w="0" w:type="dxa"/>
          <w:tblCellMar>
            <w:left w:w="108" w:type="dxa"/>
            <w:right w:w="108" w:type="dxa"/>
          </w:tblCellMar>
        </w:tblPrEx>
        <w:trPr>
          <w:cantSplit/>
          <w:trHeight w:hRule="exact" w:val="285"/>
          <w:jc w:val="left"/>
        </w:trPr>
        <w:tc>
          <w:tcPr>
            <w:tcW w:w="228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March 31, 2021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44,155 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$2.61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117.97%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0.70%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$2.24</w:t>
            </w:r>
          </w:p>
        </w:tc>
      </w:tr>
    </w:tbl>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sz w:val="20"/>
          <w:u w:val="single"/>
        </w:rPr>
        <w:t>Employee Stock Purchase Plan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amended and restated IZEA Worldwide, Inc. 2014 Employee Stock Purchase Plan (the “ESPP”), provides for the issuance of up to </w:t>
      </w:r>
      <w:r>
        <w:rPr>
          <w:rFonts w:ascii="Times New Roman" w:eastAsia="Times New Roman" w:hAnsi="Times New Roman" w:cs="Times New Roman"/>
          <w:sz w:val="20"/>
        </w:rPr>
        <w:t>500,000</w:t>
      </w:r>
      <w:r>
        <w:rPr>
          <w:rFonts w:ascii="Times New Roman" w:eastAsia="Times New Roman" w:hAnsi="Times New Roman" w:cs="Times New Roman"/>
          <w:sz w:val="20"/>
        </w:rPr>
        <w:t xml:space="preserve"> shares of the Company’s common stock to employees regularly employed by the Company for </w:t>
      </w:r>
      <w:r>
        <w:rPr>
          <w:rFonts w:ascii="Times New Roman" w:eastAsia="Times New Roman" w:hAnsi="Times New Roman" w:cs="Times New Roman"/>
          <w:sz w:val="20"/>
        </w:rPr>
        <w:t>90</w:t>
      </w:r>
      <w:r>
        <w:rPr>
          <w:rFonts w:ascii="Times New Roman" w:eastAsia="Times New Roman" w:hAnsi="Times New Roman" w:cs="Times New Roman"/>
          <w:sz w:val="20"/>
        </w:rPr>
        <w:t xml:space="preserve"> days or more on a full-time or part-time basis (</w:t>
      </w:r>
      <w:r>
        <w:rPr>
          <w:rFonts w:ascii="Times New Roman" w:eastAsia="Times New Roman" w:hAnsi="Times New Roman" w:cs="Times New Roman"/>
          <w:sz w:val="20"/>
        </w:rPr>
        <w:t>20</w:t>
      </w:r>
      <w:r>
        <w:rPr>
          <w:rFonts w:ascii="Times New Roman" w:eastAsia="Times New Roman" w:hAnsi="Times New Roman" w:cs="Times New Roman"/>
          <w:sz w:val="20"/>
        </w:rPr>
        <w:t xml:space="preserve"> hours or more per week on a regular schedule). The ESPP operates in successive </w:t>
      </w:r>
      <w:r>
        <w:rPr>
          <w:rFonts w:ascii="Times New Roman" w:eastAsia="Times New Roman" w:hAnsi="Times New Roman" w:cs="Times New Roman"/>
          <w:sz w:val="20"/>
        </w:rPr>
        <w:t>six</w:t>
      </w:r>
      <w:r>
        <w:rPr>
          <w:rFonts w:ascii="Times New Roman" w:eastAsia="Times New Roman" w:hAnsi="Times New Roman" w:cs="Times New Roman"/>
          <w:sz w:val="20"/>
        </w:rPr>
        <w:t xml:space="preserve"> months offering periods commencing at the beginning of each fiscal year half. Each eligible employee who elects to participate may purchase up to </w:t>
      </w:r>
      <w:r>
        <w:rPr>
          <w:rFonts w:ascii="Times New Roman" w:eastAsia="Times New Roman" w:hAnsi="Times New Roman" w:cs="Times New Roman"/>
          <w:sz w:val="20"/>
        </w:rPr>
        <w:t>10%</w:t>
      </w:r>
      <w:r>
        <w:rPr>
          <w:rFonts w:ascii="Times New Roman" w:eastAsia="Times New Roman" w:hAnsi="Times New Roman" w:cs="Times New Roman"/>
          <w:sz w:val="20"/>
        </w:rPr>
        <w:t xml:space="preserve"> of their annual compensation in common stock not to exceed </w:t>
      </w:r>
      <w:r>
        <w:rPr>
          <w:rFonts w:ascii="Times New Roman" w:eastAsia="Times New Roman" w:hAnsi="Times New Roman" w:cs="Times New Roman"/>
          <w:sz w:val="20"/>
        </w:rPr>
        <w:t>$21,250</w:t>
      </w:r>
      <w:r>
        <w:rPr>
          <w:rFonts w:ascii="Times New Roman" w:eastAsia="Times New Roman" w:hAnsi="Times New Roman" w:cs="Times New Roman"/>
          <w:sz w:val="20"/>
        </w:rPr>
        <w:t xml:space="preserve"> annually or </w:t>
      </w:r>
      <w:r>
        <w:rPr>
          <w:rFonts w:ascii="Times New Roman" w:eastAsia="Times New Roman" w:hAnsi="Times New Roman" w:cs="Times New Roman"/>
          <w:sz w:val="20"/>
        </w:rPr>
        <w:t>2,000</w:t>
      </w:r>
      <w:r>
        <w:rPr>
          <w:rFonts w:ascii="Times New Roman" w:eastAsia="Times New Roman" w:hAnsi="Times New Roman" w:cs="Times New Roman"/>
          <w:sz w:val="20"/>
        </w:rPr>
        <w:t xml:space="preserve"> shares per offering period. The purchase price will be the lower of (i) </w:t>
      </w:r>
      <w:r>
        <w:rPr>
          <w:rFonts w:ascii="Times New Roman" w:eastAsia="Times New Roman" w:hAnsi="Times New Roman" w:cs="Times New Roman"/>
          <w:sz w:val="20"/>
        </w:rPr>
        <w:t>85%</w:t>
      </w:r>
      <w:r>
        <w:rPr>
          <w:rFonts w:ascii="Times New Roman" w:eastAsia="Times New Roman" w:hAnsi="Times New Roman" w:cs="Times New Roman"/>
          <w:sz w:val="20"/>
        </w:rPr>
        <w:t xml:space="preserve"> of the fair market value of a share of common stock on the first day of the offering period or (ii) </w:t>
      </w:r>
      <w:r>
        <w:rPr>
          <w:rFonts w:ascii="Times New Roman" w:eastAsia="Times New Roman" w:hAnsi="Times New Roman" w:cs="Times New Roman"/>
          <w:sz w:val="20"/>
        </w:rPr>
        <w:t>85%</w:t>
      </w:r>
      <w:r>
        <w:rPr>
          <w:rFonts w:ascii="Times New Roman" w:eastAsia="Times New Roman" w:hAnsi="Times New Roman" w:cs="Times New Roman"/>
          <w:sz w:val="20"/>
        </w:rPr>
        <w:t xml:space="preserve"> of the fair market value of a share of common stock on the last day of the offering period. The ESPP will continue until January 1, 2024, unless otherwise terminated by the Board. </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pageBreakBefore w:val="0"/>
        <w:widowControl w:val="0"/>
        <w:numPr>
          <w:ilvl w:val="0"/>
          <w:numId w:val="0"/>
        </w:numPr>
        <w:spacing w:before="0" w:after="0" w:line="276"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Expense recognized on </w:t>
      </w:r>
      <w:r>
        <w:rPr>
          <w:rFonts w:ascii="Times New Roman" w:eastAsia="Times New Roman" w:hAnsi="Times New Roman" w:cs="Times New Roman"/>
          <w:sz w:val="20"/>
        </w:rPr>
        <w:t>the option</w:t>
      </w:r>
      <w:r>
        <w:rPr>
          <w:rFonts w:ascii="Times New Roman" w:eastAsia="Times New Roman" w:hAnsi="Times New Roman" w:cs="Times New Roman"/>
          <w:sz w:val="20"/>
        </w:rPr>
        <w:t>s</w:t>
      </w:r>
      <w:r>
        <w:rPr>
          <w:rFonts w:ascii="Times New Roman" w:eastAsia="Times New Roman" w:hAnsi="Times New Roman" w:cs="Times New Roman"/>
          <w:sz w:val="20"/>
        </w:rPr>
        <w:t xml:space="preserve"> to purch</w:t>
      </w:r>
      <w:r>
        <w:rPr>
          <w:rFonts w:ascii="Times New Roman" w:eastAsia="Times New Roman" w:hAnsi="Times New Roman" w:cs="Times New Roman"/>
          <w:sz w:val="20"/>
        </w:rPr>
        <w:t xml:space="preserve">ase shares under the </w:t>
      </w:r>
      <w:r>
        <w:rPr>
          <w:rFonts w:ascii="Times New Roman" w:eastAsia="Times New Roman" w:hAnsi="Times New Roman" w:cs="Times New Roman"/>
          <w:sz w:val="20"/>
        </w:rPr>
        <w:t>ESPP</w:t>
      </w:r>
      <w:r>
        <w:rPr>
          <w:rFonts w:ascii="Times New Roman" w:eastAsia="Times New Roman" w:hAnsi="Times New Roman" w:cs="Times New Roman"/>
          <w:sz w:val="20"/>
        </w:rPr>
        <w:t xml:space="preserve"> was </w:t>
      </w:r>
      <w:r>
        <w:rPr>
          <w:rFonts w:ascii="Times New Roman" w:eastAsia="Times New Roman" w:hAnsi="Times New Roman" w:cs="Times New Roman"/>
          <w:sz w:val="20"/>
        </w:rPr>
        <w:t>$1,264</w:t>
      </w:r>
      <w:r>
        <w:rPr>
          <w:rFonts w:ascii="Times New Roman" w:eastAsia="Times New Roman" w:hAnsi="Times New Roman" w:cs="Times New Roman"/>
          <w:sz w:val="20"/>
        </w:rPr>
        <w:t xml:space="preserve"> and </w:t>
      </w:r>
      <w:r>
        <w:rPr>
          <w:rFonts w:ascii="Times New Roman" w:eastAsia="Times New Roman" w:hAnsi="Times New Roman" w:cs="Times New Roman"/>
          <w:sz w:val="20"/>
        </w:rPr>
        <w:t>$378</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395,613</w:t>
      </w:r>
      <w:r>
        <w:rPr>
          <w:rFonts w:ascii="Times New Roman" w:eastAsia="Times New Roman" w:hAnsi="Times New Roman" w:cs="Times New Roman"/>
          <w:sz w:val="20"/>
        </w:rPr>
        <w:t xml:space="preserve"> remaining shares of common stock available for future issuances under the ESPP.</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u w:val="single"/>
        </w:rPr>
      </w:pPr>
      <w:r>
        <w:rPr>
          <w:rFonts w:ascii="Times New Roman" w:eastAsia="Times New Roman" w:hAnsi="Times New Roman" w:cs="Times New Roman"/>
          <w:b/>
          <w:sz w:val="20"/>
          <w:u w:val="single"/>
        </w:rPr>
        <w:t>Summary Stock-Based Compensation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keepLines w:val="0"/>
        <w:pageBreakBefore w:val="0"/>
        <w:widowControl/>
        <w:numPr>
          <w:ilvl w:val="0"/>
          <w:numId w:val="0"/>
        </w:numPr>
        <w:spacing w:before="0" w:after="10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Stock-based compensation cost related to all awards granted to employees is measured at the grant date based on the fair value of the award, and is recognized as an expense over the employee’s requisite service period utilizing the weighted-average forfeiture rates disclosed in Note 1. </w:t>
      </w:r>
      <w:r>
        <w:rPr>
          <w:rFonts w:ascii="Times New Roman" w:eastAsia="Times New Roman" w:hAnsi="Times New Roman" w:cs="Times New Roman"/>
          <w:sz w:val="20"/>
        </w:rPr>
        <w:t xml:space="preserve">Total stock-based compensation expense recognized on restricted stock, restricted stock units, stock options, and employee stock purchase plan issuances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was recorded in the Company’s consolidated statements of operations </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follows: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160"/>
        <w:gridCol w:w="113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w:t>
            </w:r>
          </w:p>
        </w:tc>
      </w:tr>
      <w:tr>
        <w:tblPrEx>
          <w:tblW w:w="10465" w:type="dxa"/>
          <w:jc w:val="left"/>
          <w:tblInd w:w="0" w:type="dxa"/>
          <w:tblCellMar>
            <w:left w:w="108" w:type="dxa"/>
            <w:right w:w="108" w:type="dxa"/>
          </w:tblCellMar>
        </w:tblPrEx>
        <w:trPr>
          <w:cantSplit/>
          <w:trHeight w:hRule="exact" w:val="465"/>
          <w:jc w:val="left"/>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2020</w:t>
            </w:r>
          </w:p>
        </w:tc>
      </w:tr>
      <w:tr>
        <w:tblPrEx>
          <w:tblW w:w="10465" w:type="dxa"/>
          <w:jc w:val="left"/>
          <w:tblInd w:w="0" w:type="dxa"/>
          <w:tblCellMar>
            <w:left w:w="108" w:type="dxa"/>
            <w:right w:w="108" w:type="dxa"/>
          </w:tblCellMar>
        </w:tblPrEx>
        <w:trPr>
          <w:cantSplit/>
          <w:trHeight w:hRule="exact" w:val="285"/>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Cost of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1,454 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7,004 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Sales and marketing</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5,430 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22,056 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General and administrative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191,102 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100,511 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Total 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197,986 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129,571 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u w:val="single"/>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u w:val="single"/>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u w:val="single"/>
        </w:rPr>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both"/>
        <w:outlineLvl w:val="3"/>
        <w:rPr>
          <w:rFonts w:ascii="Times New Roman" w:eastAsia="Times New Roman" w:hAnsi="Times New Roman" w:cs="Times New Roman"/>
          <w:b/>
          <w:sz w:val="20"/>
        </w:rPr>
      </w:pPr>
      <w:bookmarkStart w:id="17" w:name="Section18"/>
      <w:bookmarkEnd w:id="17"/>
      <w:r>
        <w:rPr>
          <w:rFonts w:ascii="Times New Roman" w:eastAsia="Times New Roman" w:hAnsi="Times New Roman" w:cs="Times New Roman"/>
          <w:b/>
          <w:sz w:val="20"/>
        </w:rPr>
        <w:t>NOTE 9.</w:t>
      </w:r>
      <w:r>
        <w:rPr>
          <w:rFonts w:ascii="Times New Roman" w:eastAsia="Times New Roman" w:hAnsi="Times New Roman" w:cs="Times New Roman"/>
          <w:b/>
          <w:sz w:val="20"/>
        </w:rPr>
        <w:tab/>
      </w:r>
      <w:r>
        <w:rPr>
          <w:rFonts w:ascii="Times New Roman" w:eastAsia="Times New Roman" w:hAnsi="Times New Roman" w:cs="Times New Roman"/>
          <w:b/>
          <w:sz w:val="20"/>
        </w:rPr>
        <w:t>LOSS PER COMMON SHARE</w:t>
      </w: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Basic earnings (loss) per common share is computed by dividing the net income or loss by the basic weighted-average number of shares of common stock outstanding during each period presented. Although restricted stock is issued upon the grant of an award, the Company excludes restricted stock from the computations of weighted-average number of shares of common stock outstanding until such time as the stock vests. </w:t>
      </w:r>
      <w:r>
        <w:rPr>
          <w:rFonts w:ascii="Times New Roman" w:eastAsia="Times New Roman" w:hAnsi="Times New Roman" w:cs="Times New Roman"/>
          <w:sz w:val="20"/>
        </w:rPr>
        <w:t xml:space="preserve">Diluted loss per share is computed by dividing the net income or loss by the sum of the total of the basic weighted-average number of shares of common stock outstanding plus the additional dilutive securities that could be exercised or converted into common shares during each period presented less the amount of shares that could be repurchased using the proceeds from the exercises.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160"/>
        <w:gridCol w:w="1135"/>
        <w:gridCol w:w="100"/>
        <w:gridCol w:w="75"/>
        <w:gridCol w:w="160"/>
        <w:gridCol w:w="113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w:t>
            </w:r>
          </w:p>
        </w:tc>
      </w:tr>
      <w:tr>
        <w:tblPrEx>
          <w:tblW w:w="10465" w:type="dxa"/>
          <w:jc w:val="center"/>
          <w:tblInd w:w="0" w:type="dxa"/>
          <w:tblCellMar>
            <w:left w:w="108" w:type="dxa"/>
            <w:right w:w="108" w:type="dxa"/>
          </w:tblCellMar>
        </w:tblPrEx>
        <w:trPr>
          <w:cantSplit/>
          <w:trHeight w:hRule="exact" w:val="495"/>
          <w:jc w:val="center"/>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2020</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Net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(1,992,438)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(6,163,461)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495"/>
          <w:jc w:val="center"/>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Weighted average shares outstanding - basic and diluted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56,334,219 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34,681,198 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Basic and diluted loss per common share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(0.04)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(0.18)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excluded the following weighted average items from the above computation of diluted loss per common share, as their effect would be anti-dilutive: </w:t>
      </w:r>
    </w:p>
    <w:tbl>
      <w:tblPr>
        <w:tblW w:w="105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75"/>
        <w:gridCol w:w="1295"/>
        <w:gridCol w:w="100"/>
        <w:gridCol w:w="75"/>
        <w:gridCol w:w="1295"/>
        <w:gridCol w:w="100"/>
      </w:tblGrid>
      <w:tr>
        <w:tblPrEx>
          <w:tblW w:w="105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w:t>
            </w:r>
          </w:p>
        </w:tc>
      </w:tr>
      <w:tr>
        <w:tblPrEx>
          <w:tblW w:w="10542" w:type="dxa"/>
          <w:jc w:val="center"/>
          <w:tblInd w:w="0" w:type="dxa"/>
          <w:tblCellMar>
            <w:left w:w="108" w:type="dxa"/>
            <w:right w:w="108" w:type="dxa"/>
          </w:tblCellMar>
        </w:tblPrEx>
        <w:trPr>
          <w:cantSplit/>
          <w:trHeight w:hRule="exact" w:val="495"/>
          <w:jc w:val="center"/>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2020</w:t>
            </w:r>
          </w:p>
        </w:tc>
      </w:tr>
      <w:tr>
        <w:tblPrEx>
          <w:tblW w:w="10542"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Stock options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1,738,854 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1,358,501 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542"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Restricted stock units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654,209 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812,687 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542"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Restricted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29,331 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386,209 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542"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Warrants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13,709 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542"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Total excluded shares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2,422,394 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2,571,106 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both"/>
        <w:outlineLvl w:val="3"/>
        <w:rPr>
          <w:rFonts w:ascii="Times New Roman" w:eastAsia="Times New Roman" w:hAnsi="Times New Roman" w:cs="Times New Roman"/>
          <w:b/>
          <w:sz w:val="20"/>
        </w:rPr>
      </w:pPr>
      <w:bookmarkStart w:id="18" w:name="Section19"/>
      <w:bookmarkEnd w:id="18"/>
      <w:r>
        <w:rPr>
          <w:rFonts w:ascii="Times New Roman" w:eastAsia="Times New Roman" w:hAnsi="Times New Roman" w:cs="Times New Roman"/>
          <w:b/>
          <w:sz w:val="20"/>
        </w:rPr>
        <w:t>NOTE 10.</w:t>
      </w:r>
      <w:r>
        <w:rPr>
          <w:rFonts w:ascii="Times New Roman" w:eastAsia="Times New Roman" w:hAnsi="Times New Roman" w:cs="Times New Roman"/>
          <w:b/>
          <w:sz w:val="20"/>
        </w:rPr>
        <w:tab/>
      </w:r>
      <w:r>
        <w:rPr>
          <w:rFonts w:ascii="Times New Roman" w:eastAsia="Times New Roman" w:hAnsi="Times New Roman" w:cs="Times New Roman"/>
          <w:b/>
          <w:sz w:val="20"/>
        </w:rPr>
        <w:t>REVENUE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consistently applied its accounting policies with respect to revenue to all periods presented in the consolidated financial statements contained herein. </w:t>
      </w:r>
      <w:r>
        <w:rPr>
          <w:rFonts w:ascii="Times New Roman" w:eastAsia="Times New Roman" w:hAnsi="Times New Roman" w:cs="Times New Roman"/>
          <w:sz w:val="20"/>
        </w:rPr>
        <w:t>The following table illustrates the Company’s revenue by product service type: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160"/>
        <w:gridCol w:w="113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w:t>
            </w:r>
          </w:p>
        </w:tc>
      </w:tr>
      <w:tr>
        <w:tblPrEx>
          <w:tblW w:w="10465" w:type="dxa"/>
          <w:jc w:val="left"/>
          <w:tblInd w:w="0" w:type="dxa"/>
          <w:tblCellMar>
            <w:left w:w="108" w:type="dxa"/>
            <w:right w:w="108" w:type="dxa"/>
          </w:tblCellMar>
        </w:tblPrEx>
        <w:trPr>
          <w:cantSplit/>
          <w:trHeight w:hRule="exact" w:val="465"/>
          <w:jc w:val="left"/>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2020</w:t>
            </w: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20"/>
              </w:rPr>
              <w:t>Managed Services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4,872,034 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4,125,061 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165"/>
          <w:jc w:val="left"/>
        </w:trPr>
        <w:tc>
          <w:tcPr>
            <w:tcW w:w="73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Marketplace Spend Fees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108,797 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166,293 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License Fees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383,041 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451,548 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Other Fees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11,760 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20,766 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20"/>
              </w:rPr>
              <w:t>SaaS Services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503,598 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638,607 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165"/>
          <w:jc w:val="left"/>
        </w:trPr>
        <w:tc>
          <w:tcPr>
            <w:tcW w:w="73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495"/>
              <w:jc w:val="left"/>
            </w:pPr>
            <w:r>
              <w:rPr>
                <w:rFonts w:ascii="Times New Roman" w:eastAsia="Times New Roman" w:hAnsi="Times New Roman" w:cs="Times New Roman"/>
                <w:b/>
                <w:color w:val="000000"/>
                <w:sz w:val="20"/>
              </w:rPr>
              <w:t>Total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5,375,632 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4,763,668 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provides the Company’s revenues as determined by the country of domicile: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45"/>
        <w:gridCol w:w="75"/>
        <w:gridCol w:w="75"/>
        <w:gridCol w:w="160"/>
        <w:gridCol w:w="113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72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w:t>
            </w:r>
          </w:p>
        </w:tc>
      </w:tr>
      <w:tr>
        <w:tblPrEx>
          <w:tblW w:w="10465" w:type="dxa"/>
          <w:jc w:val="left"/>
          <w:tblInd w:w="0" w:type="dxa"/>
          <w:tblCellMar>
            <w:left w:w="108" w:type="dxa"/>
            <w:right w:w="108" w:type="dxa"/>
          </w:tblCellMar>
        </w:tblPrEx>
        <w:trPr>
          <w:cantSplit/>
          <w:trHeight w:hRule="exact" w:val="465"/>
          <w:jc w:val="left"/>
        </w:trPr>
        <w:tc>
          <w:tcPr>
            <w:tcW w:w="72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March 31,</w:t>
            </w:r>
            <w:r>
              <w:br/>
            </w:r>
            <w:r>
              <w:rPr>
                <w:rFonts w:ascii="Times New Roman" w:eastAsia="Times New Roman" w:hAnsi="Times New Roman" w:cs="Times New Roman"/>
                <w:color w:val="000000"/>
                <w:sz w:val="20"/>
              </w:rPr>
              <w:t>2020</w:t>
            </w:r>
          </w:p>
        </w:tc>
      </w:tr>
      <w:tr>
        <w:tblPrEx>
          <w:tblW w:w="10465" w:type="dxa"/>
          <w:jc w:val="left"/>
          <w:tblInd w:w="0" w:type="dxa"/>
          <w:tblCellMar>
            <w:left w:w="108" w:type="dxa"/>
            <w:right w:w="108" w:type="dxa"/>
          </w:tblCellMar>
        </w:tblPrEx>
        <w:trPr>
          <w:cantSplit/>
          <w:trHeight w:hRule="exact" w:val="300"/>
          <w:jc w:val="left"/>
        </w:trPr>
        <w:tc>
          <w:tcPr>
            <w:tcW w:w="72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United States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5,128,245 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4,578,008 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72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Canada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247,387 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185,660 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24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5,375,632 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4,763,668 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sz w:val="20"/>
        </w:rPr>
      </w:pPr>
    </w:p>
    <w:p>
      <w:pPr>
        <w:keepNext/>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Contract Balances</w:t>
      </w:r>
    </w:p>
    <w:p>
      <w:pPr>
        <w:keepNext/>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provides information about receivables, contract assets and contract liabilities from contracts with customers reported in the Company’s consolidated balance sheet:</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5"/>
        <w:gridCol w:w="160"/>
        <w:gridCol w:w="1135"/>
        <w:gridCol w:w="100"/>
        <w:gridCol w:w="75"/>
        <w:gridCol w:w="160"/>
        <w:gridCol w:w="113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73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March 31,</w:t>
            </w:r>
            <w:r>
              <w:br/>
            </w:r>
            <w:r>
              <w:rPr>
                <w:rFonts w:ascii="Times New Roman" w:eastAsia="Times New Roman" w:hAnsi="Times New Roman" w:cs="Times New Roman"/>
                <w:color w:val="000000"/>
                <w:sz w:val="18"/>
              </w:rPr>
              <w:t>2021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r>
      <w:tr>
        <w:tblPrEx>
          <w:tblW w:w="10435" w:type="dxa"/>
          <w:jc w:val="left"/>
          <w:tblInd w:w="0" w:type="dxa"/>
          <w:tblCellMar>
            <w:left w:w="108" w:type="dxa"/>
            <w:right w:w="108" w:type="dxa"/>
          </w:tblCellMar>
        </w:tblPrEx>
        <w:trPr>
          <w:cantSplit/>
          <w:trHeight w:hRule="exact" w:val="285"/>
          <w:jc w:val="left"/>
        </w:trPr>
        <w:tc>
          <w:tcPr>
            <w:tcW w:w="73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Accounts receivable, net</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4,071,940 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5,207,205 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73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Contract liabilities (unearned revenue)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7,222,120 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7,180,264 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increase in contract liabilities is primarily the result of the increase in </w:t>
      </w:r>
      <w:r>
        <w:rPr>
          <w:rFonts w:ascii="Times New Roman" w:eastAsia="Times New Roman" w:hAnsi="Times New Roman" w:cs="Times New Roman"/>
          <w:sz w:val="20"/>
        </w:rPr>
        <w:t>first</w:t>
      </w:r>
      <w:r>
        <w:rPr>
          <w:rFonts w:ascii="Times New Roman" w:eastAsia="Times New Roman" w:hAnsi="Times New Roman" w:cs="Times New Roman"/>
          <w:sz w:val="20"/>
        </w:rPr>
        <w:t xml:space="preserve"> quarter contracts where the customers have paid in advance for services in future periods. The Company does not typically engage in contracts that are longer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Therefore, the Company recognized substantially </w:t>
      </w:r>
      <w:r>
        <w:rPr>
          <w:rFonts w:ascii="Times New Roman" w:eastAsia="Times New Roman" w:hAnsi="Times New Roman" w:cs="Times New Roman"/>
          <w:sz w:val="20"/>
        </w:rPr>
        <w:t xml:space="preserve">all </w:t>
      </w:r>
      <w:r>
        <w:rPr>
          <w:rFonts w:ascii="Times New Roman" w:eastAsia="Times New Roman" w:hAnsi="Times New Roman" w:cs="Times New Roman"/>
          <w:sz w:val="20"/>
        </w:rPr>
        <w:t xml:space="preserve">of the contract liabilities recorded at the end of the year in the following year and it did not recognize any contract assets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or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does not capitalize costs to obtain its customer contracts given their general duration of less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and the amounts are not material.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Contract receivables are recognized when the receipt of consideration is unconditional. Contract liabilities relate to consideration received from customers in advance of the Company satisfying performance obligations under the terms of the contracts, which will be earned in future periods. Contract liabilities increase as a result of receiving new advance payments from customers and decrease as revenue is recognized upon the Company meeting the performance obligations. As a practical expedient, the Company expenses the costs of sales commissions that are paid to its sales force associated with obtaining contracts less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in length in the period incurred.</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Remaining Performance Obligations</w:t>
      </w:r>
    </w:p>
    <w:p>
      <w:pPr>
        <w:keepNext w:val="0"/>
        <w:keepLines w:val="0"/>
        <w:pageBreakBefore w:val="0"/>
        <w:widowControl/>
        <w:numPr>
          <w:ilvl w:val="0"/>
          <w:numId w:val="0"/>
        </w:numPr>
        <w:spacing w:before="18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typically enters into contracts that are one year or less in length. As such, the remaining performance obligations at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are equal to the contract liabilities disclosed above. The Company expects to recognize the full balance of the unearned revenue at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within the next year</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rPr>
      </w:pPr>
      <w:bookmarkStart w:id="19" w:name="Section20"/>
      <w:bookmarkEnd w:id="19"/>
    </w:p>
    <w:p>
      <w:pPr>
        <w:keepNext/>
        <w:keepLines/>
        <w:pageBreakBefore w:val="0"/>
        <w:widowControl w:val="0"/>
        <w:numPr>
          <w:ilvl w:val="0"/>
          <w:numId w:val="0"/>
        </w:numPr>
        <w:spacing w:before="0" w:after="0" w:line="288" w:lineRule="auto"/>
        <w:ind w:left="0" w:right="0" w:firstLine="0"/>
        <w:jc w:val="left"/>
        <w:outlineLvl w:val="3"/>
        <w:rPr>
          <w:rFonts w:ascii="Times New Roman" w:eastAsia="Times New Roman" w:hAnsi="Times New Roman" w:cs="Times New Roman"/>
          <w:sz w:val="20"/>
        </w:rPr>
      </w:pPr>
      <w:r>
        <w:rPr>
          <w:rFonts w:ascii="Times New Roman" w:eastAsia="Times New Roman" w:hAnsi="Times New Roman" w:cs="Times New Roman"/>
          <w:b/>
          <w:sz w:val="20"/>
        </w:rPr>
        <w:t>NOTE 1</w:t>
      </w:r>
      <w:r>
        <w:rPr>
          <w:rFonts w:ascii="Times New Roman" w:eastAsia="Times New Roman" w:hAnsi="Times New Roman" w:cs="Times New Roman"/>
          <w:b/>
          <w:sz w:val="20"/>
        </w:rPr>
        <w:t>1</w:t>
      </w:r>
      <w:r>
        <w:rPr>
          <w:rFonts w:ascii="Times New Roman" w:eastAsia="Times New Roman" w:hAnsi="Times New Roman" w:cs="Times New Roman"/>
          <w:b/>
          <w:sz w:val="20"/>
        </w:rPr>
        <w:t>. </w:t>
      </w:r>
      <w:r>
        <w:rPr>
          <w:rFonts w:ascii="Times New Roman" w:eastAsia="Times New Roman" w:hAnsi="Times New Roman" w:cs="Times New Roman"/>
          <w:b/>
          <w:sz w:val="20"/>
        </w:rPr>
        <w:tab/>
      </w:r>
      <w:r>
        <w:rPr>
          <w:rFonts w:ascii="Times New Roman" w:eastAsia="Times New Roman" w:hAnsi="Times New Roman" w:cs="Times New Roman"/>
          <w:b/>
          <w:sz w:val="20"/>
        </w:rPr>
        <w:t>SUBSEQUENT EVENTS</w:t>
      </w: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line="288" w:lineRule="auto"/>
        <w:ind w:left="0" w:right="0" w:firstLine="72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In </w:t>
      </w:r>
      <w:r>
        <w:rPr>
          <w:rFonts w:ascii="Times New Roman" w:eastAsia="Times New Roman" w:hAnsi="Times New Roman" w:cs="Times New Roman"/>
          <w:sz w:val="20"/>
        </w:rPr>
        <w:t>April</w:t>
      </w:r>
      <w:r>
        <w:rPr>
          <w:rFonts w:ascii="Times New Roman" w:eastAsia="Times New Roman" w:hAnsi="Times New Roman" w:cs="Times New Roman"/>
          <w:sz w:val="20"/>
        </w:rPr>
        <w:t xml:space="preserve"> </w:t>
      </w:r>
      <w:r>
        <w:rPr>
          <w:rFonts w:ascii="Times New Roman" w:eastAsia="Times New Roman" w:hAnsi="Times New Roman" w:cs="Times New Roman"/>
          <w:sz w:val="20"/>
        </w:rPr>
        <w:t>2021</w:t>
      </w:r>
      <w:r>
        <w:rPr>
          <w:rFonts w:ascii="Times New Roman" w:eastAsia="Times New Roman" w:hAnsi="Times New Roman" w:cs="Times New Roman"/>
          <w:sz w:val="20"/>
        </w:rPr>
        <w:t>,</w:t>
      </w:r>
      <w:r>
        <w:rPr>
          <w:rFonts w:ascii="Times New Roman" w:eastAsia="Times New Roman" w:hAnsi="Times New Roman" w:cs="Times New Roman"/>
          <w:sz w:val="20"/>
        </w:rPr>
        <w:t xml:space="preserve"> the Company sold </w:t>
      </w:r>
      <w:r>
        <w:rPr>
          <w:rFonts w:ascii="Times New Roman" w:eastAsia="Times New Roman" w:hAnsi="Times New Roman" w:cs="Times New Roman"/>
          <w:sz w:val="20"/>
        </w:rPr>
        <w:t>2,484,393</w:t>
      </w:r>
      <w:r>
        <w:rPr>
          <w:rFonts w:ascii="Times New Roman" w:eastAsia="Times New Roman" w:hAnsi="Times New Roman" w:cs="Times New Roman"/>
          <w:sz w:val="20"/>
        </w:rPr>
        <w:t xml:space="preserve"> shares</w:t>
      </w:r>
      <w:r>
        <w:rPr>
          <w:rFonts w:ascii="Times New Roman" w:eastAsia="Times New Roman" w:hAnsi="Times New Roman" w:cs="Times New Roman"/>
          <w:sz w:val="20"/>
        </w:rPr>
        <w:t xml:space="preserve"> of its common stoc</w:t>
      </w:r>
      <w:r>
        <w:rPr>
          <w:rFonts w:ascii="Times New Roman" w:eastAsia="Times New Roman" w:hAnsi="Times New Roman" w:cs="Times New Roman"/>
          <w:sz w:val="20"/>
        </w:rPr>
        <w:t>k</w:t>
      </w:r>
      <w:r>
        <w:rPr>
          <w:rFonts w:ascii="Times New Roman" w:eastAsia="Times New Roman" w:hAnsi="Times New Roman" w:cs="Times New Roman"/>
          <w:sz w:val="20"/>
        </w:rPr>
        <w:t xml:space="preserve"> at an average price of </w:t>
      </w:r>
      <w:r>
        <w:rPr>
          <w:rFonts w:ascii="Times New Roman" w:eastAsia="Times New Roman" w:hAnsi="Times New Roman" w:cs="Times New Roman"/>
          <w:sz w:val="20"/>
        </w:rPr>
        <w:t>$4.91</w:t>
      </w:r>
      <w:r>
        <w:rPr>
          <w:rFonts w:ascii="Times New Roman" w:eastAsia="Times New Roman" w:hAnsi="Times New Roman" w:cs="Times New Roman"/>
          <w:sz w:val="20"/>
        </w:rPr>
        <w:t xml:space="preserve"> per share for gross proceeds of </w:t>
      </w:r>
      <w:r>
        <w:rPr>
          <w:rFonts w:ascii="Times New Roman" w:eastAsia="Times New Roman" w:hAnsi="Times New Roman" w:cs="Times New Roman"/>
          <w:sz w:val="20"/>
        </w:rPr>
        <w:t>$12,186,677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under </w:t>
      </w:r>
      <w:r>
        <w:rPr>
          <w:rFonts w:ascii="Times New Roman" w:eastAsia="Times New Roman" w:hAnsi="Times New Roman" w:cs="Times New Roman"/>
          <w:sz w:val="20"/>
        </w:rPr>
        <w:t xml:space="preserve">the 2021 Sales Agreement with National Securities. </w:t>
      </w:r>
      <w:r>
        <w:rPr>
          <w:rFonts w:ascii="Times New Roman" w:eastAsia="Times New Roman" w:hAnsi="Times New Roman" w:cs="Times New Roman"/>
          <w:sz w:val="20"/>
        </w:rPr>
        <w:t xml:space="preserve">On April 15, 2021, the Company announced that it had sold the entire </w:t>
      </w:r>
      <w:r>
        <w:rPr>
          <w:rFonts w:ascii="Times New Roman" w:eastAsia="Times New Roman" w:hAnsi="Times New Roman" w:cs="Times New Roman"/>
          <w:sz w:val="20"/>
        </w:rPr>
        <w:t>$35.0 million</w:t>
      </w:r>
      <w:r>
        <w:rPr>
          <w:rFonts w:ascii="Times New Roman" w:eastAsia="Times New Roman" w:hAnsi="Times New Roman" w:cs="Times New Roman"/>
          <w:sz w:val="20"/>
        </w:rPr>
        <w:t xml:space="preserve"> of common stock available for sale under the 2021 Sales Agreement. </w:t>
      </w:r>
      <w:r>
        <w:rPr>
          <w:rFonts w:ascii="Times New Roman" w:eastAsia="Times New Roman" w:hAnsi="Times New Roman" w:cs="Times New Roman"/>
          <w:sz w:val="20"/>
        </w:rPr>
        <w:t>All shares eligible to be sold under the ATM Offering were sold by the Company in the last two fiscal quarters of 2020 and the first two fiscal quarters of 2021.</w:t>
      </w:r>
      <w:r>
        <w:rPr>
          <w:rFonts w:ascii="Times New Roman" w:eastAsia="Times New Roman" w:hAnsi="Times New Roman" w:cs="Times New Roman"/>
          <w:sz w:val="20"/>
        </w:rPr>
        <w:t xml:space="preserve"> Over the selling period, </w:t>
      </w:r>
      <w:r>
        <w:rPr>
          <w:rFonts w:ascii="Times New Roman" w:eastAsia="Times New Roman" w:hAnsi="Times New Roman" w:cs="Times New Roman"/>
          <w:sz w:val="20"/>
        </w:rPr>
        <w:t>t</w:t>
      </w:r>
      <w:r>
        <w:rPr>
          <w:rFonts w:ascii="Times New Roman" w:eastAsia="Times New Roman" w:hAnsi="Times New Roman" w:cs="Times New Roman"/>
          <w:sz w:val="20"/>
        </w:rPr>
        <w:t xml:space="preserve">he Company </w:t>
      </w:r>
      <w:r>
        <w:rPr>
          <w:rFonts w:ascii="Times New Roman" w:eastAsia="Times New Roman" w:hAnsi="Times New Roman" w:cs="Times New Roman"/>
          <w:sz w:val="20"/>
        </w:rPr>
        <w:t xml:space="preserve">sold </w:t>
      </w:r>
      <w:r>
        <w:rPr>
          <w:rFonts w:ascii="Times New Roman" w:eastAsia="Times New Roman" w:hAnsi="Times New Roman" w:cs="Times New Roman"/>
          <w:sz w:val="20"/>
        </w:rPr>
        <w:t xml:space="preserve">a total of </w:t>
      </w:r>
      <w:r>
        <w:rPr>
          <w:rFonts w:ascii="Times New Roman" w:eastAsia="Times New Roman" w:hAnsi="Times New Roman" w:cs="Times New Roman"/>
          <w:sz w:val="20"/>
        </w:rPr>
        <w:t>26,005,824</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$2.88</w:t>
      </w:r>
      <w:r>
        <w:rPr>
          <w:rFonts w:ascii="Times New Roman" w:eastAsia="Times New Roman" w:hAnsi="Times New Roman" w:cs="Times New Roman"/>
          <w:sz w:val="20"/>
        </w:rPr>
        <w:t xml:space="preserve"> per share for </w:t>
      </w:r>
      <w:r>
        <w:rPr>
          <w:rFonts w:ascii="Times New Roman" w:eastAsia="Times New Roman" w:hAnsi="Times New Roman" w:cs="Times New Roman"/>
          <w:sz w:val="20"/>
        </w:rPr>
        <w:t xml:space="preserve">total gross proceeds of </w:t>
      </w:r>
      <w:r>
        <w:rPr>
          <w:rFonts w:ascii="Times New Roman" w:eastAsia="Times New Roman" w:hAnsi="Times New Roman" w:cs="Times New Roman"/>
          <w:sz w:val="20"/>
        </w:rPr>
        <w:t>a</w:t>
      </w:r>
      <w:r>
        <w:rPr>
          <w:rFonts w:ascii="Times New Roman" w:eastAsia="Times New Roman" w:hAnsi="Times New Roman" w:cs="Times New Roman"/>
          <w:sz w:val="20"/>
        </w:rPr>
        <w:t>p</w:t>
      </w:r>
      <w:r>
        <w:rPr>
          <w:rFonts w:ascii="Times New Roman" w:eastAsia="Times New Roman" w:hAnsi="Times New Roman" w:cs="Times New Roman"/>
          <w:sz w:val="20"/>
        </w:rPr>
        <w:t>p</w:t>
      </w:r>
      <w:r>
        <w:rPr>
          <w:rFonts w:ascii="Times New Roman" w:eastAsia="Times New Roman" w:hAnsi="Times New Roman" w:cs="Times New Roman"/>
          <w:sz w:val="20"/>
        </w:rPr>
        <w:t>r</w:t>
      </w:r>
      <w:r>
        <w:rPr>
          <w:rFonts w:ascii="Times New Roman" w:eastAsia="Times New Roman" w:hAnsi="Times New Roman" w:cs="Times New Roman"/>
          <w:sz w:val="20"/>
        </w:rPr>
        <w:t>o</w:t>
      </w:r>
      <w:r>
        <w:rPr>
          <w:rFonts w:ascii="Times New Roman" w:eastAsia="Times New Roman" w:hAnsi="Times New Roman" w:cs="Times New Roman"/>
          <w:sz w:val="20"/>
        </w:rPr>
        <w:t xml:space="preserve">ximately </w:t>
      </w:r>
      <w:r>
        <w:rPr>
          <w:rFonts w:ascii="Times New Roman" w:eastAsia="Times New Roman" w:hAnsi="Times New Roman" w:cs="Times New Roman"/>
          <w:sz w:val="20"/>
        </w:rPr>
        <w:t>$75.0 million</w:t>
      </w:r>
      <w:r>
        <w:rPr>
          <w:rFonts w:ascii="Times New Roman" w:eastAsia="Times New Roman" w:hAnsi="Times New Roman" w:cs="Times New Roman"/>
          <w:sz w:val="20"/>
        </w:rPr>
        <w:t xml:space="preserve"> pursuant to the </w:t>
      </w:r>
      <w:r>
        <w:rPr>
          <w:rFonts w:ascii="Times New Roman" w:eastAsia="Times New Roman" w:hAnsi="Times New Roman" w:cs="Times New Roman"/>
          <w:sz w:val="20"/>
        </w:rPr>
        <w:t xml:space="preserve">2020 </w:t>
      </w:r>
      <w:r>
        <w:rPr>
          <w:rFonts w:ascii="Times New Roman" w:eastAsia="Times New Roman" w:hAnsi="Times New Roman" w:cs="Times New Roman"/>
          <w:sz w:val="20"/>
        </w:rPr>
        <w:t>and 2021</w:t>
      </w:r>
      <w:r>
        <w:rPr>
          <w:rFonts w:ascii="Times New Roman" w:eastAsia="Times New Roman" w:hAnsi="Times New Roman" w:cs="Times New Roman"/>
          <w:sz w:val="20"/>
        </w:rPr>
        <w:t xml:space="preserve"> </w:t>
      </w:r>
      <w:r>
        <w:rPr>
          <w:rFonts w:ascii="Times New Roman" w:eastAsia="Times New Roman" w:hAnsi="Times New Roman" w:cs="Times New Roman"/>
          <w:sz w:val="20"/>
        </w:rPr>
        <w:t>Sales Agreement</w:t>
      </w:r>
      <w:r>
        <w:rPr>
          <w:rFonts w:ascii="Times New Roman" w:eastAsia="Times New Roman" w:hAnsi="Times New Roman" w:cs="Times New Roman"/>
          <w:sz w:val="20"/>
        </w:rPr>
        <w:t>s with National Securities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The 2020</w:t>
      </w:r>
      <w:r>
        <w:rPr>
          <w:rFonts w:ascii="Times New Roman" w:eastAsia="Times New Roman" w:hAnsi="Times New Roman" w:cs="Times New Roman"/>
          <w:sz w:val="20"/>
        </w:rPr>
        <w:t xml:space="preserve"> and 2021</w:t>
      </w:r>
      <w:r>
        <w:rPr>
          <w:rFonts w:ascii="Times New Roman" w:eastAsia="Times New Roman" w:hAnsi="Times New Roman" w:cs="Times New Roman"/>
          <w:sz w:val="20"/>
        </w:rPr>
        <w:t xml:space="preserve"> Sales Agreement</w:t>
      </w:r>
      <w:r>
        <w:rPr>
          <w:rFonts w:ascii="Times New Roman" w:eastAsia="Times New Roman" w:hAnsi="Times New Roman" w:cs="Times New Roman"/>
          <w:sz w:val="20"/>
        </w:rPr>
        <w:t>s were</w:t>
      </w:r>
      <w:r>
        <w:rPr>
          <w:rFonts w:ascii="Times New Roman" w:eastAsia="Times New Roman" w:hAnsi="Times New Roman" w:cs="Times New Roman"/>
          <w:sz w:val="20"/>
        </w:rPr>
        <w:t xml:space="preserve"> terminated following the sale of all shares of common stock available to be sold thereunder.</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945"/>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945"/>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20" w:name="Section21"/>
      <w:bookmarkEnd w:id="20"/>
      <w:r>
        <w:rPr>
          <w:rFonts w:ascii="Times New Roman" w:eastAsia="Times New Roman" w:hAnsi="Times New Roman" w:cs="Times New Roman"/>
          <w:b/>
          <w:sz w:val="20"/>
        </w:rPr>
        <w:t xml:space="preserve">ITEM </w:t>
      </w:r>
      <w:r>
        <w:rPr>
          <w:rFonts w:ascii="Times New Roman" w:eastAsia="Times New Roman" w:hAnsi="Times New Roman" w:cs="Times New Roman"/>
          <w:b/>
          <w:sz w:val="20"/>
        </w:rPr>
        <w:t>2</w:t>
      </w:r>
      <w:r>
        <w:rPr>
          <w:rFonts w:ascii="Times New Roman" w:eastAsia="Times New Roman" w:hAnsi="Times New Roman" w:cs="Times New Roman"/>
          <w:b/>
          <w:sz w:val="20"/>
        </w:rPr>
        <w:t xml:space="preserve"> – MANAGEMENT’S DISCUSSION AND ANALYSIS OF FINANCIAL CONDITION AND RESULTS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headerReference w:type="default" r:id="rId10"/>
          <w:pgSz w:w="12240" w:h="15840"/>
          <w:pgMar w:top="855" w:right="990" w:bottom="855" w:left="990" w:header="270" w:footer="270"/>
          <w:cols w:space="708"/>
        </w:sectPr>
      </w:pPr>
    </w:p>
    <w:p>
      <w:pPr>
        <w:keepNext/>
        <w:keepLines w:val="0"/>
        <w:pageBreakBefore w:val="0"/>
        <w:widowControl/>
        <w:numPr>
          <w:ilvl w:val="0"/>
          <w:numId w:val="0"/>
        </w:numPr>
        <w:spacing w:before="0" w:after="0" w:line="288" w:lineRule="auto"/>
        <w:ind w:left="0" w:right="0" w:firstLine="0"/>
        <w:jc w:val="both"/>
        <w:outlineLvl w:val="2"/>
        <w:rPr>
          <w:rFonts w:ascii="Times New Roman" w:eastAsia="Times New Roman" w:hAnsi="Times New Roman" w:cs="Times New Roman"/>
          <w:b/>
          <w:sz w:val="20"/>
        </w:rPr>
      </w:pPr>
      <w:bookmarkStart w:id="21" w:name="Section22"/>
      <w:bookmarkEnd w:id="21"/>
      <w:r>
        <w:rPr>
          <w:rFonts w:ascii="Times New Roman" w:eastAsia="Times New Roman" w:hAnsi="Times New Roman" w:cs="Times New Roman"/>
          <w:b/>
          <w:sz w:val="20"/>
        </w:rPr>
        <w:t>Cautionary Note Regarding Forward-Looking Information</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This </w:t>
      </w:r>
      <w:r>
        <w:rPr>
          <w:rFonts w:ascii="Times New Roman" w:eastAsia="Times New Roman" w:hAnsi="Times New Roman" w:cs="Times New Roman"/>
          <w:sz w:val="20"/>
        </w:rPr>
        <w:t>Q</w:t>
      </w:r>
      <w:r>
        <w:rPr>
          <w:rFonts w:ascii="Times New Roman" w:eastAsia="Times New Roman" w:hAnsi="Times New Roman" w:cs="Times New Roman"/>
          <w:sz w:val="20"/>
        </w:rPr>
        <w:t xml:space="preserve">uarterly </w:t>
      </w:r>
      <w:r>
        <w:rPr>
          <w:rFonts w:ascii="Times New Roman" w:eastAsia="Times New Roman" w:hAnsi="Times New Roman" w:cs="Times New Roman"/>
          <w:sz w:val="20"/>
        </w:rPr>
        <w:t>Report on Form 10-</w:t>
      </w:r>
      <w:r>
        <w:rPr>
          <w:rFonts w:ascii="Times New Roman" w:eastAsia="Times New Roman" w:hAnsi="Times New Roman" w:cs="Times New Roman"/>
          <w:sz w:val="20"/>
        </w:rPr>
        <w:t>Q</w:t>
      </w:r>
      <w:r>
        <w:rPr>
          <w:rFonts w:ascii="Times New Roman" w:eastAsia="Times New Roman" w:hAnsi="Times New Roman" w:cs="Times New Roman"/>
          <w:sz w:val="20"/>
        </w:rPr>
        <w:t xml:space="preserve"> </w:t>
      </w:r>
      <w:r>
        <w:rPr>
          <w:rFonts w:ascii="Times New Roman" w:eastAsia="Times New Roman" w:hAnsi="Times New Roman" w:cs="Times New Roman"/>
          <w:sz w:val="20"/>
        </w:rPr>
        <w:t>(this “</w:t>
      </w:r>
      <w:r>
        <w:rPr>
          <w:rFonts w:ascii="Times New Roman" w:eastAsia="Times New Roman" w:hAnsi="Times New Roman" w:cs="Times New Roman"/>
          <w:sz w:val="20"/>
        </w:rPr>
        <w:t>Quarterly</w:t>
      </w:r>
      <w:r>
        <w:rPr>
          <w:rFonts w:ascii="Times New Roman" w:eastAsia="Times New Roman" w:hAnsi="Times New Roman" w:cs="Times New Roman"/>
          <w:sz w:val="20"/>
        </w:rPr>
        <w:t xml:space="preserve"> Report”)</w:t>
      </w:r>
      <w:r>
        <w:rPr>
          <w:rFonts w:ascii="Times New Roman" w:eastAsia="Times New Roman" w:hAnsi="Times New Roman" w:cs="Times New Roman"/>
          <w:sz w:val="20"/>
        </w:rPr>
        <w:t xml:space="preserve"> </w:t>
      </w:r>
      <w:r>
        <w:rPr>
          <w:rFonts w:ascii="Times New Roman" w:eastAsia="Times New Roman" w:hAnsi="Times New Roman" w:cs="Times New Roman"/>
          <w:sz w:val="20"/>
        </w:rPr>
        <w:t>contains “forward-looking statements” intended to qualify for the safe harbor from liability established by the Private Securities Litigation Reform Act of 1995. The statements, which are not historical facts contained in this report, including those contained in Management’s Discussion and Analysis of Financial Condition and Results of Operations, and the notes to our consolidated financial statements, particularly those that utilize terminology such as “may,” “will,” “would,” “could,” “should,” “expects,” “anticipates,” “anticipates,” “estimates,” “believes,” “thinks,” “intends,” “likely,” “projects,” “plans,” “pursue,” “strategy” or “future,” or the negative of these words or other words or expressions of similar meaning, are forward-looking statements. Such statements are based on currently available operating, financial and competitive information, and are subject to inherent risks, uncertainties, and changes in circumstances that are difficult to predict and many of which are outside of our control. Future events and our actual results and financial condition may differ materially from those reflected in these forward-looking statements. Therefore, you should not rely on any of these forward-looking statements. Important factors that could cause these differences include, but are not limited to, the following:</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impact of the COVID-19 pandemic on our operations, financial condition, and the worldwide economy;</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customer cancellations;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raise additional funding needed to fund our business operation in the future;</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satisfy the requirements for continued listing of our common stock on the Nasdaq Capital Market;</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maintain effective disclosure controls and procedures and internal control over financial reporting;</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ability to protect our intellectual property;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ability to maintain and grow our business;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results of any future litigation;</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competition in the industry;</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variability of operating results;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maintain and enhance our brand;</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accuracy of tracking the number of user accounts;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development and introduction of new products and services;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successful integration of acquired companies, technologies and assets into our portfolio of software and services;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marketing and other business development initiatives;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general government regulation;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economic conditions, including as a result of health and safety concerns;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dependence on key personnel;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ability to attract, hire, and retain personnel who possess the technical skills and experience necessary to meet the service requirements of our customers;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potential liability with respect to actions taken by our existing and past employees; </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risks associated with international sales; and</w:t>
      </w:r>
    </w:p>
    <w:p>
      <w:pPr>
        <w:keepNext w:val="0"/>
        <w:keepLines w:val="0"/>
        <w:pageBreakBefore w:val="0"/>
        <w:widowControl/>
        <w:numPr>
          <w:ilvl w:val="0"/>
          <w:numId w:val="5"/>
        </w:numPr>
        <w:spacing w:before="0" w:after="0" w:line="288" w:lineRule="auto"/>
        <w:ind w:left="1440" w:right="0" w:hanging="36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the other risks and uncertainties described in the Risk Factors section</w:t>
      </w:r>
      <w:r>
        <w:rPr>
          <w:rFonts w:ascii="Times New Roman" w:eastAsia="Times New Roman" w:hAnsi="Times New Roman" w:cs="Times New Roman"/>
          <w:sz w:val="20"/>
        </w:rPr>
        <w:t>s</w:t>
      </w:r>
      <w:r>
        <w:rPr>
          <w:rFonts w:ascii="Times New Roman" w:eastAsia="Times New Roman" w:hAnsi="Times New Roman" w:cs="Times New Roman"/>
          <w:sz w:val="20"/>
        </w:rPr>
        <w:t xml:space="preserve"> of this </w:t>
      </w:r>
      <w:r>
        <w:rPr>
          <w:rFonts w:ascii="Times New Roman" w:eastAsia="Times New Roman" w:hAnsi="Times New Roman" w:cs="Times New Roman"/>
          <w:sz w:val="20"/>
        </w:rPr>
        <w:t>Quarterly</w:t>
      </w:r>
      <w:r>
        <w:rPr>
          <w:rFonts w:ascii="Times New Roman" w:eastAsia="Times New Roman" w:hAnsi="Times New Roman" w:cs="Times New Roman"/>
          <w:sz w:val="20"/>
        </w:rPr>
        <w:t xml:space="preserve"> </w:t>
      </w:r>
      <w:r>
        <w:rPr>
          <w:rFonts w:ascii="Times New Roman" w:eastAsia="Times New Roman" w:hAnsi="Times New Roman" w:cs="Times New Roman"/>
          <w:sz w:val="20"/>
        </w:rPr>
        <w:t>Report</w:t>
      </w:r>
      <w:r>
        <w:rPr>
          <w:rFonts w:ascii="Times New Roman" w:eastAsia="Times New Roman" w:hAnsi="Times New Roman" w:cs="Times New Roman"/>
          <w:sz w:val="20"/>
        </w:rPr>
        <w:t xml:space="preserve"> </w:t>
      </w:r>
      <w:r>
        <w:rPr>
          <w:rFonts w:ascii="Times New Roman" w:eastAsia="Times New Roman" w:hAnsi="Times New Roman" w:cs="Times New Roman"/>
          <w:sz w:val="20"/>
        </w:rPr>
        <w:t>and our Annual Report on Form 10-K for the year ended December 31, 20</w:t>
      </w:r>
      <w:r>
        <w:rPr>
          <w:rFonts w:ascii="Times New Roman" w:eastAsia="Times New Roman" w:hAnsi="Times New Roman" w:cs="Times New Roman"/>
          <w:sz w:val="20"/>
        </w:rPr>
        <w:t>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All forward-looking statements in this document are based on our current expectations, intentions, and beliefs using information currently available to us as of the date of this </w:t>
      </w:r>
      <w:r>
        <w:rPr>
          <w:rFonts w:ascii="Times New Roman" w:eastAsia="Times New Roman" w:hAnsi="Times New Roman" w:cs="Times New Roman"/>
          <w:sz w:val="20"/>
        </w:rPr>
        <w:t>Quarterly</w:t>
      </w:r>
      <w:r>
        <w:rPr>
          <w:rFonts w:ascii="Times New Roman" w:eastAsia="Times New Roman" w:hAnsi="Times New Roman" w:cs="Times New Roman"/>
          <w:sz w:val="20"/>
        </w:rPr>
        <w:t xml:space="preserve"> </w:t>
      </w:r>
      <w:r>
        <w:rPr>
          <w:rFonts w:ascii="Times New Roman" w:eastAsia="Times New Roman" w:hAnsi="Times New Roman" w:cs="Times New Roman"/>
          <w:sz w:val="20"/>
        </w:rPr>
        <w:t>Report, and we assume no obligation to update any forward-looking statements, except as required by law. Forward-looking statements involve known and unknown risks, uncertainties, and other factors that may cause the actual results to differ materially from any future results, performance or achievements expressed or implied by such forward-looking statements.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keepLines w:val="0"/>
        <w:pageBreakBefore w:val="0"/>
        <w:widowControl/>
        <w:numPr>
          <w:ilvl w:val="0"/>
          <w:numId w:val="0"/>
        </w:numPr>
        <w:spacing w:before="0" w:after="0" w:line="288" w:lineRule="auto"/>
        <w:ind w:left="0" w:right="0" w:firstLine="0"/>
        <w:jc w:val="both"/>
        <w:outlineLvl w:val="2"/>
        <w:rPr>
          <w:rFonts w:ascii="Times New Roman" w:eastAsia="Times New Roman" w:hAnsi="Times New Roman" w:cs="Times New Roman"/>
          <w:b/>
          <w:sz w:val="20"/>
        </w:rPr>
      </w:pPr>
      <w:bookmarkStart w:id="22" w:name="Section23"/>
      <w:bookmarkEnd w:id="22"/>
      <w:r>
        <w:rPr>
          <w:rFonts w:ascii="Times New Roman" w:eastAsia="Times New Roman" w:hAnsi="Times New Roman" w:cs="Times New Roman"/>
          <w:b/>
          <w:sz w:val="20"/>
        </w:rPr>
        <w:t>Company Overview</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IZEA</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Worldwide, Inc. (“IZEA”, “we”, “us” or “our”)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creates and operates online marketplaces that connect marketers, including brands, agencies, and publishers, with content creators such as bloggers and tweeters (“creators”). Our technology brings the marketers and creators together, enabling their transactions to be completed at scale through the management of custom content workflow, creator search and targeting, bidding, analytics, and payment processing.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help power the creator economy, allowing everyone from college students and stay-at-home individuals to celebrities and accredited journalists the opportunity to monetize their content, creativity and influence through our marketers. These creators are compensated by IZEA for producing unique content such as long and short form text, videos, photos, status updates, and illustrations for marketers or distributing such content on behalf of marketers through their personal websites, blogs, and social media channels.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Marketers engage us to gain access to our industry expertise, technology, data, analytics, and network of creators. The majority of the marketers engage us to perform these services on their behalf, but they also have the ability to use our marketplaces on a self-service basis by licensing our technology. Our technology is used for two primary purposes: the engagement of creators for influencer marketing campaigns, or the engagement of creators to create stand-alone custom content for the marketers’ own use and distribution. Marketers receive influential consumer content and engaging, shareable stories that drive awareness.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Arial" w:eastAsia="Arial" w:hAnsi="Arial" w:cs="Arial"/>
          <w:sz w:val="24"/>
        </w:rPr>
      </w:pPr>
      <w:r>
        <w:rPr>
          <w:rFonts w:ascii="Times New Roman" w:eastAsia="Times New Roman" w:hAnsi="Times New Roman" w:cs="Times New Roman"/>
          <w:sz w:val="20"/>
        </w:rPr>
        <w:t xml:space="preserve">Our primary technology platform, </w:t>
      </w:r>
      <w:r>
        <w:rPr>
          <w:rFonts w:ascii="Times New Roman" w:eastAsia="Times New Roman" w:hAnsi="Times New Roman" w:cs="Times New Roman"/>
          <w:i/>
          <w:sz w:val="20"/>
        </w:rPr>
        <w:t xml:space="preserve">The IZEA Exchange </w:t>
      </w:r>
      <w:r>
        <w:rPr>
          <w:rFonts w:ascii="Times New Roman" w:eastAsia="Times New Roman" w:hAnsi="Times New Roman" w:cs="Times New Roman"/>
          <w:sz w:val="20"/>
        </w:rPr>
        <w:t>(“</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Arial" w:eastAsia="Arial" w:hAnsi="Arial" w:cs="Arial"/>
          <w:sz w:val="24"/>
        </w:rPr>
      </w:pPr>
      <w:r>
        <w:rPr>
          <w:rFonts w:ascii="Times New Roman" w:eastAsia="Times New Roman" w:hAnsi="Times New Roman" w:cs="Times New Roman"/>
          <w:sz w:val="20"/>
        </w:rPr>
        <w:t xml:space="preserve">In 2020, we launched two new platforms,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is a social media intelligence platform that is heavily integrated with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both platforms rely heavily on data from each other, but it is also available as a stand-alone platform. The platform maps and classifies the complex hierarchy of corporation-to-brand relationships by category and associates social content with brands through a proprietary content analysis engine.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is a new online marketplace where buyers can quickly and easily hire creators of all types for influencer marketing, photography, design, and other digital services. The Shake platform is aimed at digital creatives seeking freelance “gig” work. Creators list available “Shakes” on their accounts in the platform and marketers select and purchase creative packages from them through a streamlined chat experience, assisted by ShakeBot - a proprietary, artificial intelligence assistant.</w:t>
      </w:r>
    </w:p>
    <w:p>
      <w:pPr>
        <w:keepNext w:val="0"/>
        <w:keepLines w:val="0"/>
        <w:pageBreakBefore w:val="0"/>
        <w:widowControl/>
        <w:numPr>
          <w:ilvl w:val="0"/>
          <w:numId w:val="0"/>
        </w:numPr>
        <w:spacing w:before="0" w:after="0" w:line="276" w:lineRule="auto"/>
        <w:ind w:left="0" w:right="0" w:firstLine="720"/>
        <w:jc w:val="left"/>
        <w:outlineLvl w:val="9"/>
        <w:rPr>
          <w:rFonts w:ascii="Times New Roman" w:eastAsia="Times New Roman" w:hAnsi="Times New Roman" w:cs="Times New Roman"/>
          <w:sz w:val="24"/>
        </w:rPr>
      </w:pPr>
    </w:p>
    <w:p>
      <w:pPr>
        <w:keepNext/>
        <w:keepLines w:val="0"/>
        <w:pageBreakBefore w:val="0"/>
        <w:widowControl/>
        <w:numPr>
          <w:ilvl w:val="0"/>
          <w:numId w:val="0"/>
        </w:numPr>
        <w:spacing w:before="0" w:after="0" w:line="288" w:lineRule="auto"/>
        <w:ind w:left="0" w:right="0" w:firstLine="0"/>
        <w:jc w:val="left"/>
        <w:outlineLvl w:val="9"/>
        <w:rPr>
          <w:rFonts w:ascii="Helvetica" w:eastAsia="Helvetica" w:hAnsi="Helvetica" w:cs="Helvetica"/>
          <w:b/>
          <w:i/>
          <w:sz w:val="24"/>
        </w:rPr>
      </w:pPr>
      <w:r>
        <w:rPr>
          <w:rFonts w:ascii="Times New Roman" w:eastAsia="Times New Roman" w:hAnsi="Times New Roman" w:cs="Times New Roman"/>
          <w:b/>
          <w:i/>
          <w:sz w:val="20"/>
        </w:rPr>
        <w:t>Impact of COVID-19 on our Business</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color w:val="1A1A1A"/>
          <w:sz w:val="20"/>
        </w:rPr>
      </w:pPr>
      <w:r>
        <w:rPr>
          <w:rFonts w:ascii="Times New Roman" w:eastAsia="Times New Roman" w:hAnsi="Times New Roman" w:cs="Times New Roman"/>
          <w:sz w:val="20"/>
        </w:rPr>
        <w:t xml:space="preserve">Our operations, sales, and finances were impacted by the COVID-19 pandemic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2020</w:t>
      </w:r>
      <w:r>
        <w:rPr>
          <w:rFonts w:ascii="Times New Roman" w:eastAsia="Times New Roman" w:hAnsi="Times New Roman" w:cs="Times New Roman"/>
          <w:sz w:val="20"/>
        </w:rPr>
        <w:t>. In an effort to protect the health and safety of our employees, we took precautionary action and directed all staff to work from home effective March 16, 2020</w:t>
      </w:r>
      <w:r>
        <w:rPr>
          <w:rFonts w:ascii="Times New Roman" w:eastAsia="Times New Roman" w:hAnsi="Times New Roman" w:cs="Times New Roman"/>
          <w:sz w:val="20"/>
        </w:rPr>
        <w:t xml:space="preserve"> and we allowed the</w:t>
      </w:r>
      <w:r>
        <w:rPr>
          <w:rFonts w:ascii="Times New Roman" w:eastAsia="Times New Roman" w:hAnsi="Times New Roman" w:cs="Times New Roman"/>
          <w:sz w:val="20"/>
        </w:rPr>
        <w:t xml:space="preserve"> leases for our </w:t>
      </w:r>
      <w:r>
        <w:rPr>
          <w:rFonts w:ascii="Times New Roman" w:eastAsia="Times New Roman" w:hAnsi="Times New Roman" w:cs="Times New Roman"/>
          <w:sz w:val="20"/>
        </w:rPr>
        <w:t xml:space="preserve">company </w:t>
      </w:r>
      <w:r>
        <w:rPr>
          <w:rFonts w:ascii="Times New Roman" w:eastAsia="Times New Roman" w:hAnsi="Times New Roman" w:cs="Times New Roman"/>
          <w:sz w:val="20"/>
        </w:rPr>
        <w:t xml:space="preserve">headquarters and temporary office spaces </w:t>
      </w:r>
      <w:r>
        <w:rPr>
          <w:rFonts w:ascii="Times New Roman" w:eastAsia="Times New Roman" w:hAnsi="Times New Roman" w:cs="Times New Roman"/>
          <w:sz w:val="20"/>
        </w:rPr>
        <w:t xml:space="preserve">to expire </w:t>
      </w:r>
      <w:r>
        <w:rPr>
          <w:rFonts w:ascii="Times New Roman" w:eastAsia="Times New Roman" w:hAnsi="Times New Roman" w:cs="Times New Roman"/>
          <w:sz w:val="20"/>
        </w:rPr>
        <w:t xml:space="preserve">at the end of their terms throughout 2020. </w:t>
      </w:r>
      <w:r>
        <w:rPr>
          <w:rFonts w:ascii="Times New Roman" w:eastAsia="Times New Roman" w:hAnsi="Times New Roman" w:cs="Times New Roman"/>
          <w:sz w:val="20"/>
        </w:rPr>
        <w:t xml:space="preserve">We have not experienced any </w:t>
      </w:r>
      <w:r>
        <w:rPr>
          <w:rFonts w:ascii="Times New Roman" w:eastAsia="Times New Roman" w:hAnsi="Times New Roman" w:cs="Times New Roman"/>
          <w:sz w:val="20"/>
        </w:rPr>
        <w:t>m</w:t>
      </w:r>
      <w:r>
        <w:rPr>
          <w:rFonts w:ascii="Times New Roman" w:eastAsia="Times New Roman" w:hAnsi="Times New Roman" w:cs="Times New Roman"/>
          <w:sz w:val="20"/>
        </w:rPr>
        <w:t>a</w:t>
      </w:r>
      <w:r>
        <w:rPr>
          <w:rFonts w:ascii="Times New Roman" w:eastAsia="Times New Roman" w:hAnsi="Times New Roman" w:cs="Times New Roman"/>
          <w:sz w:val="20"/>
        </w:rPr>
        <w:t>jor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declines in operating efficiency in our remote working environment and </w:t>
      </w:r>
      <w:r>
        <w:rPr>
          <w:rFonts w:ascii="Times New Roman" w:eastAsia="Times New Roman" w:hAnsi="Times New Roman" w:cs="Times New Roman"/>
          <w:sz w:val="20"/>
        </w:rPr>
        <w:t>h</w:t>
      </w:r>
      <w:r>
        <w:rPr>
          <w:rFonts w:ascii="Times New Roman" w:eastAsia="Times New Roman" w:hAnsi="Times New Roman" w:cs="Times New Roman"/>
          <w:sz w:val="20"/>
        </w:rPr>
        <w:t xml:space="preserve">ave </w:t>
      </w:r>
      <w:r>
        <w:rPr>
          <w:rFonts w:ascii="Times New Roman" w:eastAsia="Times New Roman" w:hAnsi="Times New Roman" w:cs="Times New Roman"/>
          <w:sz w:val="20"/>
        </w:rPr>
        <w:t xml:space="preserve">made the decision to </w:t>
      </w:r>
      <w:r>
        <w:rPr>
          <w:rFonts w:ascii="Times New Roman" w:eastAsia="Times New Roman" w:hAnsi="Times New Roman" w:cs="Times New Roman"/>
          <w:sz w:val="20"/>
        </w:rPr>
        <w:t xml:space="preserve">continue our work from home policy </w:t>
      </w:r>
      <w:r>
        <w:rPr>
          <w:rFonts w:ascii="Times New Roman" w:eastAsia="Times New Roman" w:hAnsi="Times New Roman" w:cs="Times New Roman"/>
          <w:sz w:val="20"/>
        </w:rPr>
        <w:t xml:space="preserve">indefinitely </w:t>
      </w:r>
      <w:r>
        <w:rPr>
          <w:rFonts w:ascii="Times New Roman" w:eastAsia="Times New Roman" w:hAnsi="Times New Roman" w:cs="Times New Roman"/>
          <w:sz w:val="20"/>
        </w:rPr>
        <w:t>as a</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virtual first</w:t>
      </w:r>
      <w:r>
        <w:rPr>
          <w:rFonts w:ascii="Times New Roman" w:eastAsia="Times New Roman" w:hAnsi="Times New Roman" w:cs="Times New Roman"/>
          <w:color w:val="1A1A1A"/>
          <w:sz w:val="20"/>
        </w:rPr>
        <w:t xml:space="preserve"> </w:t>
      </w:r>
      <w:r>
        <w:rPr>
          <w:rFonts w:ascii="Times New Roman" w:eastAsia="Times New Roman" w:hAnsi="Times New Roman" w:cs="Times New Roman"/>
          <w:color w:val="1A1A1A"/>
          <w:sz w:val="20"/>
        </w:rPr>
        <w:t>employer</w:t>
      </w:r>
      <w:r>
        <w:rPr>
          <w:rFonts w:ascii="Times New Roman" w:eastAsia="Times New Roman" w:hAnsi="Times New Roman" w:cs="Times New Roman"/>
          <w:color w:val="1A1A1A"/>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While we are able to maintain full operations remotely, the economic conditions caused by COVID-19 have negatively impacted the business activity of our customers. We observed changes in advertising decisions, timing, and spending priorities from brand and agency customers, which </w:t>
      </w:r>
      <w:r>
        <w:rPr>
          <w:rFonts w:ascii="Times New Roman" w:eastAsia="Times New Roman" w:hAnsi="Times New Roman" w:cs="Times New Roman"/>
          <w:sz w:val="20"/>
        </w:rPr>
        <w:t xml:space="preserve">resulted in </w:t>
      </w:r>
      <w:r>
        <w:rPr>
          <w:rFonts w:ascii="Times New Roman" w:eastAsia="Times New Roman" w:hAnsi="Times New Roman" w:cs="Times New Roman"/>
          <w:color w:val="1A1A1A"/>
          <w:sz w:val="20"/>
        </w:rPr>
        <w:t>a negative impact to our revenue</w:t>
      </w:r>
      <w:r>
        <w:rPr>
          <w:rFonts w:ascii="Times New Roman" w:eastAsia="Times New Roman" w:hAnsi="Times New Roman" w:cs="Times New Roman"/>
          <w:color w:val="1A1A1A"/>
          <w:sz w:val="20"/>
        </w:rPr>
        <w:t xml:space="preserve"> in </w:t>
      </w:r>
      <w:r>
        <w:rPr>
          <w:rFonts w:ascii="Times New Roman" w:eastAsia="Times New Roman" w:hAnsi="Times New Roman" w:cs="Times New Roman"/>
          <w:color w:val="1A1A1A"/>
          <w:sz w:val="20"/>
        </w:rPr>
        <w:t>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color w:val="1A1A1A"/>
          <w:sz w:val="20"/>
        </w:rPr>
      </w:pPr>
      <w:r>
        <w:rPr>
          <w:rFonts w:ascii="Times New Roman" w:eastAsia="Times New Roman" w:hAnsi="Times New Roman" w:cs="Times New Roman"/>
          <w:sz w:val="20"/>
        </w:rPr>
        <w:t xml:space="preserve">When COVID-19 is demonstrably contained, we anticipate a rebound in economic activity, depending on the rate, pace, and effectiveness of the containment efforts deployed by various national, state, and local governments; however, the timing and extent of any such rebound is uncertain. In </w:t>
      </w:r>
      <w:r>
        <w:rPr>
          <w:rFonts w:ascii="Times New Roman" w:eastAsia="Times New Roman" w:hAnsi="Times New Roman" w:cs="Times New Roman"/>
          <w:sz w:val="20"/>
        </w:rPr>
        <w:t xml:space="preserve">the </w:t>
      </w:r>
      <w:r>
        <w:rPr>
          <w:rFonts w:ascii="Times New Roman" w:eastAsia="Times New Roman" w:hAnsi="Times New Roman" w:cs="Times New Roman"/>
          <w:sz w:val="20"/>
        </w:rPr>
        <w:t>fourt</w:t>
      </w:r>
      <w:r>
        <w:rPr>
          <w:rFonts w:ascii="Times New Roman" w:eastAsia="Times New Roman" w:hAnsi="Times New Roman" w:cs="Times New Roman"/>
          <w:sz w:val="20"/>
        </w:rPr>
        <w:t xml:space="preserve">h quarter of 2020 and the </w:t>
      </w:r>
      <w:r>
        <w:rPr>
          <w:rFonts w:ascii="Times New Roman" w:eastAsia="Times New Roman" w:hAnsi="Times New Roman" w:cs="Times New Roman"/>
          <w:sz w:val="20"/>
        </w:rPr>
        <w:t xml:space="preserve">first quarter </w:t>
      </w:r>
      <w:r>
        <w:rPr>
          <w:rFonts w:ascii="Times New Roman" w:eastAsia="Times New Roman" w:hAnsi="Times New Roman" w:cs="Times New Roman"/>
          <w:sz w:val="20"/>
        </w:rPr>
        <w:t>of 2021</w:t>
      </w:r>
      <w:r>
        <w:rPr>
          <w:rFonts w:ascii="Times New Roman" w:eastAsia="Times New Roman" w:hAnsi="Times New Roman" w:cs="Times New Roman"/>
          <w:sz w:val="20"/>
        </w:rPr>
        <w:t xml:space="preserve">, we </w:t>
      </w:r>
      <w:r>
        <w:rPr>
          <w:rFonts w:ascii="Times New Roman" w:eastAsia="Times New Roman" w:hAnsi="Times New Roman" w:cs="Times New Roman"/>
          <w:sz w:val="20"/>
        </w:rPr>
        <w:t xml:space="preserve">saw a </w:t>
      </w:r>
      <w:r>
        <w:rPr>
          <w:rFonts w:ascii="Times New Roman" w:eastAsia="Times New Roman" w:hAnsi="Times New Roman" w:cs="Times New Roman"/>
          <w:sz w:val="20"/>
        </w:rPr>
        <w:t>year over year increase in Managed Services bookings</w:t>
      </w:r>
      <w:r>
        <w:rPr>
          <w:rFonts w:ascii="Times New Roman" w:eastAsia="Times New Roman" w:hAnsi="Times New Roman" w:cs="Times New Roman"/>
          <w:color w:val="1A1A1A"/>
          <w:sz w:val="20"/>
          <w:shd w:val="clear" w:color="auto" w:fill="FFFFFF"/>
        </w:rPr>
        <w:t>, our net orders from customers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That growth </w:t>
      </w:r>
      <w:r>
        <w:rPr>
          <w:rFonts w:ascii="Times New Roman" w:eastAsia="Times New Roman" w:hAnsi="Times New Roman" w:cs="Times New Roman"/>
          <w:sz w:val="20"/>
        </w:rPr>
        <w:t xml:space="preserve">in bookings </w:t>
      </w:r>
      <w:r>
        <w:rPr>
          <w:rFonts w:ascii="Times New Roman" w:eastAsia="Times New Roman" w:hAnsi="Times New Roman" w:cs="Times New Roman"/>
          <w:sz w:val="20"/>
        </w:rPr>
        <w:t xml:space="preserve">led to </w:t>
      </w:r>
      <w:r>
        <w:rPr>
          <w:rFonts w:ascii="Times New Roman" w:eastAsia="Times New Roman" w:hAnsi="Times New Roman" w:cs="Times New Roman"/>
          <w:sz w:val="20"/>
        </w:rPr>
        <w:t>a</w:t>
      </w:r>
      <w:r>
        <w:rPr>
          <w:rFonts w:ascii="Times New Roman" w:eastAsia="Times New Roman" w:hAnsi="Times New Roman" w:cs="Times New Roman"/>
          <w:sz w:val="20"/>
        </w:rPr>
        <w:t xml:space="preserve"> </w:t>
      </w:r>
      <w:r>
        <w:rPr>
          <w:rFonts w:ascii="Times New Roman" w:eastAsia="Times New Roman" w:hAnsi="Times New Roman" w:cs="Times New Roman"/>
          <w:sz w:val="20"/>
        </w:rPr>
        <w:t>13%</w:t>
      </w:r>
      <w:r>
        <w:rPr>
          <w:rFonts w:ascii="Times New Roman" w:eastAsia="Times New Roman" w:hAnsi="Times New Roman" w:cs="Times New Roman"/>
          <w:sz w:val="20"/>
        </w:rPr>
        <w:t xml:space="preserve"> growth in overall revenu</w:t>
      </w:r>
      <w:r>
        <w:rPr>
          <w:rFonts w:ascii="Times New Roman" w:eastAsia="Times New Roman" w:hAnsi="Times New Roman" w:cs="Times New Roman"/>
          <w:sz w:val="20"/>
        </w:rPr>
        <w:t xml:space="preserve">e </w:t>
      </w:r>
      <w:r>
        <w:rPr>
          <w:rFonts w:ascii="Times New Roman" w:eastAsia="Times New Roman" w:hAnsi="Times New Roman" w:cs="Times New Roman"/>
          <w:sz w:val="20"/>
        </w:rPr>
        <w:t xml:space="preserve">in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While we have seen </w:t>
      </w:r>
      <w:r>
        <w:rPr>
          <w:rFonts w:ascii="Times New Roman" w:eastAsia="Times New Roman" w:hAnsi="Times New Roman" w:cs="Times New Roman"/>
          <w:sz w:val="20"/>
        </w:rPr>
        <w:t>an increase in</w:t>
      </w:r>
      <w:r>
        <w:rPr>
          <w:rFonts w:ascii="Times New Roman" w:eastAsia="Times New Roman" w:hAnsi="Times New Roman" w:cs="Times New Roman"/>
          <w:sz w:val="20"/>
        </w:rPr>
        <w:t xml:space="preserve"> Managed Services bookings</w:t>
      </w:r>
      <w:r>
        <w:rPr>
          <w:rFonts w:ascii="Times New Roman" w:eastAsia="Times New Roman" w:hAnsi="Times New Roman" w:cs="Times New Roman"/>
          <w:sz w:val="20"/>
        </w:rPr>
        <w:t xml:space="preserve">, there is still risk that bookings will not be recognized as revenue if customers cancel prior to the performance of service.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will continue to actively monitor the situation and may take further actions altering our business operations that we determine are in the best interests of our employees, customers, partners, suppliers, and stakeholders, or as required by federal, state, or local authorities. It is not clear what the potential effects any such alterations or modifications may have on our business, including the effects on our customers, employees, and prospects, or on our future financial results.</w:t>
      </w:r>
    </w:p>
    <w:p>
      <w:pPr>
        <w:keepNext w:val="0"/>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120" w:after="0" w:line="28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val="0"/>
        <w:numPr>
          <w:ilvl w:val="0"/>
          <w:numId w:val="0"/>
        </w:numPr>
        <w:spacing w:before="0" w:after="0" w:line="288" w:lineRule="auto"/>
        <w:ind w:left="0" w:right="180" w:firstLine="0"/>
        <w:jc w:val="left"/>
        <w:outlineLvl w:val="2"/>
        <w:rPr>
          <w:rFonts w:ascii="Times New Roman" w:eastAsia="Times New Roman" w:hAnsi="Times New Roman" w:cs="Times New Roman"/>
          <w:b/>
          <w:sz w:val="20"/>
        </w:rPr>
      </w:pPr>
      <w:bookmarkStart w:id="23" w:name="Section24"/>
      <w:bookmarkEnd w:id="23"/>
      <w:r>
        <w:rPr>
          <w:rFonts w:ascii="Times New Roman" w:eastAsia="Times New Roman" w:hAnsi="Times New Roman" w:cs="Times New Roman"/>
          <w:b/>
          <w:sz w:val="20"/>
        </w:rPr>
        <w:t>Key Components of Results of Operations</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Overall consolidated results of operations are evaluated based on Revenue, Cost of Revenue, Sales and Marketing expenses, General and Administrative expenses, Depreciation and Amortization, and Other Income (Expense), net.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We </w:t>
      </w:r>
      <w:r>
        <w:rPr>
          <w:rFonts w:ascii="Times New Roman" w:eastAsia="Times New Roman" w:hAnsi="Times New Roman" w:cs="Times New Roman"/>
          <w:sz w:val="20"/>
        </w:rPr>
        <w:t>generate</w:t>
      </w:r>
      <w:r>
        <w:rPr>
          <w:rFonts w:ascii="Times New Roman" w:eastAsia="Times New Roman" w:hAnsi="Times New Roman" w:cs="Times New Roman"/>
          <w:sz w:val="20"/>
        </w:rPr>
        <w:t xml:space="preserve"> revenue from </w:t>
      </w:r>
      <w:r>
        <w:rPr>
          <w:rFonts w:ascii="Times New Roman" w:eastAsia="Times New Roman" w:hAnsi="Times New Roman" w:cs="Times New Roman"/>
          <w:sz w:val="20"/>
        </w:rPr>
        <w:t>four</w:t>
      </w:r>
      <w:r>
        <w:rPr>
          <w:rFonts w:ascii="Times New Roman" w:eastAsia="Times New Roman" w:hAnsi="Times New Roman" w:cs="Times New Roman"/>
          <w:sz w:val="20"/>
        </w:rPr>
        <w:t xml:space="preserve"> primary sources: (1) revenue from our managed services when a marketer (typically a brand, agency or partner) pays us to provide custom content, influencer marketing, amplification or other campaign management services (“Managed Services”); (2) revenue from fees charged to software customers on their marketplace spend within our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i/>
          <w:sz w:val="20"/>
        </w:rPr>
        <w:t>Shake</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platforms (“Marketplace Spend Fees”); (3) revenue from </w:t>
      </w:r>
      <w:r>
        <w:rPr>
          <w:rFonts w:ascii="Times New Roman" w:eastAsia="Times New Roman" w:hAnsi="Times New Roman" w:cs="Times New Roman"/>
          <w:sz w:val="20"/>
        </w:rPr>
        <w:t xml:space="preserve">license </w:t>
      </w:r>
      <w:r>
        <w:rPr>
          <w:rFonts w:ascii="Times New Roman" w:eastAsia="Times New Roman" w:hAnsi="Times New Roman" w:cs="Times New Roman"/>
          <w:sz w:val="20"/>
        </w:rPr>
        <w:t xml:space="preserve">and subscription </w:t>
      </w:r>
      <w:r>
        <w:rPr>
          <w:rFonts w:ascii="Times New Roman" w:eastAsia="Times New Roman" w:hAnsi="Times New Roman" w:cs="Times New Roman"/>
          <w:sz w:val="20"/>
        </w:rPr>
        <w:t xml:space="preserve">fees </w:t>
      </w:r>
      <w:r>
        <w:rPr>
          <w:rFonts w:ascii="Times New Roman" w:eastAsia="Times New Roman" w:hAnsi="Times New Roman" w:cs="Times New Roman"/>
          <w:sz w:val="20"/>
        </w:rPr>
        <w:t xml:space="preserve">charged to access the </w:t>
      </w:r>
      <w:r>
        <w:rPr>
          <w:rFonts w:ascii="Times New Roman" w:eastAsia="Times New Roman" w:hAnsi="Times New Roman" w:cs="Times New Roman"/>
          <w:i/>
          <w:sz w:val="20"/>
        </w:rPr>
        <w:t>IZEAx</w:t>
      </w:r>
      <w:r>
        <w:rPr>
          <w:rFonts w:ascii="Times New Roman" w:eastAsia="Times New Roman" w:hAnsi="Times New Roman" w:cs="Times New Roman"/>
          <w:i/>
          <w:sz w:val="20"/>
        </w:rPr>
        <w:t xml:space="preserve"> </w:t>
      </w:r>
      <w:r>
        <w:rPr>
          <w:rFonts w:ascii="Times New Roman" w:eastAsia="Times New Roman" w:hAnsi="Times New Roman" w:cs="Times New Roman"/>
          <w:sz w:val="20"/>
        </w:rPr>
        <w:t>and</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w:t>
      </w:r>
      <w:r>
        <w:rPr>
          <w:rFonts w:ascii="Times New Roman" w:eastAsia="Times New Roman" w:hAnsi="Times New Roman" w:cs="Times New Roman"/>
          <w:sz w:val="20"/>
        </w:rPr>
        <w:t>platform</w:t>
      </w:r>
      <w:r>
        <w:rPr>
          <w:rFonts w:ascii="Times New Roman" w:eastAsia="Times New Roman" w:hAnsi="Times New Roman" w:cs="Times New Roman"/>
          <w:sz w:val="20"/>
        </w:rPr>
        <w:t>s</w:t>
      </w:r>
      <w:r>
        <w:rPr>
          <w:rFonts w:ascii="Times New Roman" w:eastAsia="Times New Roman" w:hAnsi="Times New Roman" w:cs="Times New Roman"/>
          <w:sz w:val="20"/>
        </w:rPr>
        <w:t xml:space="preserve"> (“License Fees”);</w:t>
      </w:r>
      <w:r>
        <w:rPr>
          <w:rFonts w:ascii="Times New Roman" w:eastAsia="Times New Roman" w:hAnsi="Times New Roman" w:cs="Times New Roman"/>
          <w:sz w:val="20"/>
        </w:rPr>
        <w:t xml:space="preserve"> and (</w:t>
      </w:r>
      <w:r>
        <w:rPr>
          <w:rFonts w:ascii="Times New Roman" w:eastAsia="Times New Roman" w:hAnsi="Times New Roman" w:cs="Times New Roman"/>
          <w:sz w:val="20"/>
        </w:rPr>
        <w:t>4</w:t>
      </w:r>
      <w:r>
        <w:rPr>
          <w:rFonts w:ascii="Times New Roman" w:eastAsia="Times New Roman" w:hAnsi="Times New Roman" w:cs="Times New Roman"/>
          <w:sz w:val="20"/>
        </w:rPr>
        <w:t>) revenue derived from other fees such as inactivity fees, early cash-out fees, and</w:t>
      </w:r>
      <w:r>
        <w:rPr>
          <w:rFonts w:ascii="Times New Roman" w:eastAsia="Times New Roman" w:hAnsi="Times New Roman" w:cs="Times New Roman"/>
          <w:sz w:val="20"/>
        </w:rPr>
        <w:t xml:space="preserve"> other miscellaneous </w:t>
      </w:r>
      <w:r>
        <w:rPr>
          <w:rFonts w:ascii="Times New Roman" w:eastAsia="Times New Roman" w:hAnsi="Times New Roman" w:cs="Times New Roman"/>
          <w:sz w:val="20"/>
        </w:rPr>
        <w:t xml:space="preserve">fees charged to users of our platforms (“Other Fees”).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discussed in more detail within “Critical Accounting Policies and Use of Estimates” under “Note 1. Company and Summary of Significant Accounting Policies,” under Part I, Item 1 herein, revenue from Marketplace Spend Fees </w:t>
      </w:r>
      <w:r>
        <w:rPr>
          <w:rFonts w:ascii="Times New Roman" w:eastAsia="Times New Roman" w:hAnsi="Times New Roman" w:cs="Times New Roman"/>
          <w:sz w:val="20"/>
        </w:rPr>
        <w:t xml:space="preserve">is reported on a net basis and revenue from all other sources, including Managed Services, License Fees, and Other Fees are reported on a gross basis. We further categorize these sources into two primary groups: (1) Managed Services and (2) SaaS Services, which includes revenue from Marketplace Spend Fees, License Fees, </w:t>
      </w:r>
      <w:r>
        <w:rPr>
          <w:rFonts w:ascii="Times New Roman" w:eastAsia="Times New Roman" w:hAnsi="Times New Roman" w:cs="Times New Roman"/>
          <w:sz w:val="20"/>
        </w:rPr>
        <w:t>and Other Fees.</w:t>
      </w: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Revenue</w:t>
      </w:r>
    </w:p>
    <w:p>
      <w:pPr>
        <w:keepNext w:val="0"/>
        <w:keepLines w:val="0"/>
        <w:pageBreakBefore w:val="0"/>
        <w:widowControl w:val="0"/>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Our cost of revenue consists of direct costs paid to our third-party creators who provide the custom content, influencer marketing or amplification services for our Managed Service customers where we report revenue on a gross basis. It also includes internal costs related to our campaign fulfillment and SaaS support departments. These costs include salaries, bonuses, commissions, stock-based compensation, employee benefit costs, and miscellaneous departmental costs related to the personnel who are primarily responsible for providing support to our customers and ultimately fulfillment of our obligations under our contracts with customers. Where appropriate, we capitalize costs that were incurred with software that is developed or acquired for our revenue supporting platforms and amortize these costs over the estimated useful lives of those platforms. This amortization is separately stated under depreciation and amortization in our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w:t>
      </w:r>
    </w:p>
    <w:p>
      <w:pPr>
        <w:keepNext w:val="0"/>
        <w:keepLines w:val="0"/>
        <w:pageBreakBefore w:val="0"/>
        <w:widowControl w:val="0"/>
        <w:numPr>
          <w:ilvl w:val="0"/>
          <w:numId w:val="0"/>
        </w:numPr>
        <w:spacing w:before="11"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Sales and Marketing</w:t>
      </w:r>
      <w:r>
        <w:rPr>
          <w:rFonts w:ascii="Times New Roman" w:eastAsia="Times New Roman" w:hAnsi="Times New Roman" w:cs="Times New Roman"/>
          <w:sz w:val="20"/>
        </w:rPr>
        <w:t xml:space="preserve"> </w:t>
      </w:r>
    </w:p>
    <w:p>
      <w:pPr>
        <w:keepNext w:val="0"/>
        <w:keepLines w:val="0"/>
        <w:pageBreakBefore w:val="0"/>
        <w:widowControl w:val="0"/>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sales and marketing expenses consist primarily of salaries, bonuses, commissions, stock-based compensation, employee benefit costs, travel and miscellaneous departmental costs for our marketing, sales and sales support personnel, as well as marketing expenses such as brand marketing, public relation events, trade shows and marketing materials, and travel expenses. </w:t>
      </w:r>
    </w:p>
    <w:p>
      <w:pPr>
        <w:keepNext w:val="0"/>
        <w:keepLines w:val="0"/>
        <w:pageBreakBefore w:val="0"/>
        <w:widowControl w:val="0"/>
        <w:numPr>
          <w:ilvl w:val="0"/>
          <w:numId w:val="0"/>
        </w:numPr>
        <w:spacing w:before="11"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General and Administrative</w:t>
      </w:r>
      <w:r>
        <w:rPr>
          <w:rFonts w:ascii="Times New Roman" w:eastAsia="Times New Roman" w:hAnsi="Times New Roman" w:cs="Times New Roman"/>
          <w:b/>
          <w:sz w:val="20"/>
        </w:rPr>
        <w:t xml:space="preserve"> </w:t>
      </w:r>
    </w:p>
    <w:p>
      <w:pPr>
        <w:keepNext w:val="0"/>
        <w:keepLines w:val="0"/>
        <w:pageBreakBefore w:val="0"/>
        <w:widowControl w:val="0"/>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general and administrative expense consists primarily of salaries, bonuses, commissions, stock-based compensation, employee benefit costs, and miscellaneous departmental costs related to our executive, finance, legal, human resources, and other administrative personnel. It also includes travel, public company and investor relations expenses, as well as accounting and legal professional services fees, leasehold facilities, and other corporate-related expenses. General and administrative expense also includes our technology and development costs consisting primarily of our payroll costs for our internal engineers and contractors responsible for developing, maintaining, and improving our technology, as well as hosting and software subscription costs. These costs are expensed as incurred, except to the extent that they are associated with internal use software that qualifies for capitalization, which are then recorded as software development costs in the consolidated balance sheet. We also capitalize costs that are related to our acquired intangible assets. Depreciation and amortization related to these costs are separately stated under depreciation and amortization in our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General and administrative expense also includes current period gains and losses on our acquisition costs payable, as well as gains and losses from the sale of fixed assets. Impairments on fixed assets, intangible assets and goodwill, are included as part of general and administrative expense when they are not material and broken out separately in our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when they are material.</w:t>
      </w: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Depreciation and Amortization </w:t>
      </w:r>
    </w:p>
    <w:p>
      <w:pPr>
        <w:keepNext w:val="0"/>
        <w:keepLines w:val="0"/>
        <w:pageBreakBefore w:val="0"/>
        <w:widowControl w:val="0"/>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Depreciation and amortization expense consists primarily of amortization of our internal use software and acquired intangible assets from our business acquisitions. To a lesser extent, we also have depreciation and amortization on equipment and leasehold improvements used by our personnel. Costs are amortized or depreciated over the estimated useful lives of the associated assets.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Income (Expense)</w:t>
      </w:r>
    </w:p>
    <w:p>
      <w:pPr>
        <w:keepNext w:val="0"/>
        <w:keepLines w:val="0"/>
        <w:pageBreakBefore w:val="0"/>
        <w:widowControl w:val="0"/>
        <w:numPr>
          <w:ilvl w:val="0"/>
          <w:numId w:val="0"/>
        </w:numPr>
        <w:spacing w:before="18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Interest Expense. </w:t>
      </w:r>
      <w:r>
        <w:rPr>
          <w:rFonts w:ascii="Times New Roman" w:eastAsia="Times New Roman" w:hAnsi="Times New Roman" w:cs="Times New Roman"/>
          <w:sz w:val="20"/>
        </w:rPr>
        <w:t xml:space="preserve">Interest expense is mainly related to the imputed interest on our acquisition costs payable and interest when we use our secured credit facility. </w:t>
      </w:r>
    </w:p>
    <w:p>
      <w:pPr>
        <w:keepNext w:val="0"/>
        <w:keepLines w:val="0"/>
        <w:pageBreakBefore w:val="0"/>
        <w:widowControl w:val="0"/>
        <w:numPr>
          <w:ilvl w:val="0"/>
          <w:numId w:val="0"/>
        </w:numPr>
        <w:spacing w:before="11"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ab/>
      </w: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Other Income (Expense). </w:t>
      </w:r>
      <w:r>
        <w:rPr>
          <w:rFonts w:ascii="Times New Roman" w:eastAsia="Times New Roman" w:hAnsi="Times New Roman" w:cs="Times New Roman"/>
          <w:sz w:val="20"/>
        </w:rPr>
        <w:t>Other income (expense) consists primarily of interest income for interest earned or changes in the value of our foreign assets and liabilities and foreign currency exchange gains and losses on foreign currency transactions, primarily related to the Canadian Dollar.</w:t>
      </w:r>
    </w:p>
    <w:p>
      <w:pPr>
        <w:keepNext w:val="0"/>
        <w:keepLines w:val="0"/>
        <w:pageBreakBefore w:val="0"/>
        <w:widowControl w:val="0"/>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sz w:val="20"/>
        </w:rPr>
      </w:pPr>
      <w:bookmarkStart w:id="24" w:name="Section25"/>
      <w:bookmarkEnd w:id="24"/>
      <w:r>
        <w:rPr>
          <w:rFonts w:ascii="Times New Roman" w:eastAsia="Times New Roman" w:hAnsi="Times New Roman" w:cs="Times New Roman"/>
          <w:b/>
          <w:sz w:val="20"/>
        </w:rPr>
        <w:t xml:space="preserve">Results of Operations for the </w:t>
      </w:r>
      <w:r>
        <w:rPr>
          <w:rFonts w:ascii="Times New Roman" w:eastAsia="Times New Roman" w:hAnsi="Times New Roman" w:cs="Times New Roman"/>
          <w:b/>
          <w:sz w:val="20"/>
        </w:rPr>
        <w:t>Three Months Ended</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March 31, 2021</w:t>
      </w:r>
      <w:r>
        <w:rPr>
          <w:rFonts w:ascii="Times New Roman" w:eastAsia="Times New Roman" w:hAnsi="Times New Roman" w:cs="Times New Roman"/>
          <w:b/>
          <w:sz w:val="20"/>
        </w:rPr>
        <w:t xml:space="preserve"> and </w:t>
      </w:r>
      <w:r>
        <w:rPr>
          <w:rFonts w:ascii="Times New Roman" w:eastAsia="Times New Roman" w:hAnsi="Times New Roman" w:cs="Times New Roman"/>
          <w:b/>
          <w:sz w:val="20"/>
        </w:rPr>
        <w:t>2020</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18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sets forth a summary of our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and the change between the periods: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30"/>
        <w:gridCol w:w="160"/>
        <w:gridCol w:w="1270"/>
        <w:gridCol w:w="100"/>
        <w:gridCol w:w="75"/>
        <w:gridCol w:w="160"/>
        <w:gridCol w:w="1285"/>
        <w:gridCol w:w="100"/>
        <w:gridCol w:w="75"/>
        <w:gridCol w:w="160"/>
        <w:gridCol w:w="940"/>
        <w:gridCol w:w="100"/>
        <w:gridCol w:w="90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8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15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 March 31,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05" w:type="dxa"/>
            <w:gridSpan w:val="5"/>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483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 Change</w:t>
            </w:r>
          </w:p>
        </w:tc>
      </w:tr>
      <w:tr>
        <w:tblPrEx>
          <w:tblW w:w="10465" w:type="dxa"/>
          <w:tblInd w:w="0" w:type="dxa"/>
          <w:tblCellMar>
            <w:left w:w="108" w:type="dxa"/>
            <w:right w:w="108" w:type="dxa"/>
          </w:tblCellMar>
        </w:tblPrEx>
        <w:trPr>
          <w:cantSplit/>
          <w:trHeight w:hRule="exact" w:val="285"/>
        </w:trPr>
        <w:tc>
          <w:tcPr>
            <w:tcW w:w="483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2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5,375,632 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2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4,763,668 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611,964 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180"/>
        </w:trPr>
        <w:tc>
          <w:tcPr>
            <w:tcW w:w="483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Costs and expenses:</w:t>
            </w:r>
          </w:p>
        </w:tc>
        <w:tc>
          <w:tcPr>
            <w:tcW w:w="153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483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 xml:space="preserve">Cost of revenue (exclusive of amortization) </w:t>
            </w: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2,404,752 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2,140,517 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264,235 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Sales and marketing</w:t>
            </w:r>
          </w:p>
        </w:tc>
        <w:tc>
          <w:tcPr>
            <w:tcW w:w="143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2,078,323 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1,523,143 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555,180 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General and administrative</w:t>
            </w: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2,535,147 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2,417,838 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117,309 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Impairment of goodwill</w:t>
            </w:r>
          </w:p>
        </w:tc>
        <w:tc>
          <w:tcPr>
            <w:tcW w:w="143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(4,300,000)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Depreciation and amortization</w:t>
            </w:r>
          </w:p>
        </w:tc>
        <w:tc>
          <w:tcPr>
            <w:tcW w:w="143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365,529 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501,269 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(135,740)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720"/>
              <w:jc w:val="left"/>
            </w:pPr>
            <w:r>
              <w:rPr>
                <w:rFonts w:ascii="Times New Roman" w:eastAsia="Times New Roman" w:hAnsi="Times New Roman" w:cs="Times New Roman"/>
                <w:color w:val="000000"/>
                <w:sz w:val="20"/>
              </w:rPr>
              <w:t>Total costs and expenses</w:t>
            </w:r>
          </w:p>
        </w:tc>
        <w:tc>
          <w:tcPr>
            <w:tcW w:w="143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7,383,751 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10,882,767 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(3,499,016)</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9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(32)</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Loss from operations</w:t>
            </w:r>
          </w:p>
        </w:tc>
        <w:tc>
          <w:tcPr>
            <w:tcW w:w="143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(2,008,119)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(6,119,099)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4,110,980 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(67)</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Other income (expense):</w:t>
            </w:r>
          </w:p>
        </w:tc>
        <w:tc>
          <w:tcPr>
            <w:tcW w:w="153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Interest expense</w:t>
            </w: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(13,793)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(6,618)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(7,175)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Other income (expense), net</w:t>
            </w:r>
          </w:p>
        </w:tc>
        <w:tc>
          <w:tcPr>
            <w:tcW w:w="143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29,474 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(37,744)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67,218 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720"/>
              <w:jc w:val="left"/>
            </w:pPr>
            <w:r>
              <w:rPr>
                <w:rFonts w:ascii="Times New Roman" w:eastAsia="Times New Roman" w:hAnsi="Times New Roman" w:cs="Times New Roman"/>
                <w:color w:val="000000"/>
                <w:sz w:val="20"/>
              </w:rPr>
              <w:t>Total other income (expense), net</w:t>
            </w:r>
          </w:p>
        </w:tc>
        <w:tc>
          <w:tcPr>
            <w:tcW w:w="143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15,681 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(44,362)</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60,043 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90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(135)</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300"/>
        </w:trPr>
        <w:tc>
          <w:tcPr>
            <w:tcW w:w="483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40" w:lineRule="auto"/>
              <w:ind w:left="0"/>
              <w:jc w:val="left"/>
            </w:pPr>
            <w:r>
              <w:rPr>
                <w:rFonts w:ascii="Times New Roman" w:eastAsia="Times New Roman" w:hAnsi="Times New Roman" w:cs="Times New Roman"/>
                <w:color w:val="000000"/>
                <w:sz w:val="20"/>
              </w:rPr>
              <w:t>Net loss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27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(1,992,438)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2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(6,163,461)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4,171,023 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90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r>
    </w:tbl>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80" w:after="10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The following table illustrates our revenue by type, the percentage of total revenue by type, and the change between the periods:</w:t>
      </w: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0"/>
        <w:gridCol w:w="160"/>
        <w:gridCol w:w="1135"/>
        <w:gridCol w:w="100"/>
        <w:gridCol w:w="560"/>
        <w:gridCol w:w="100"/>
        <w:gridCol w:w="75"/>
        <w:gridCol w:w="160"/>
        <w:gridCol w:w="1135"/>
        <w:gridCol w:w="100"/>
        <w:gridCol w:w="500"/>
        <w:gridCol w:w="100"/>
        <w:gridCol w:w="75"/>
        <w:gridCol w:w="160"/>
        <w:gridCol w:w="1135"/>
        <w:gridCol w:w="100"/>
        <w:gridCol w:w="905"/>
        <w:gridCol w:w="10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6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2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 March 31,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05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99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 Change</w:t>
            </w:r>
          </w:p>
        </w:tc>
      </w:tr>
      <w:tr>
        <w:tblPrEx>
          <w:tblW w:w="10404" w:type="dxa"/>
          <w:jc w:val="left"/>
          <w:tblInd w:w="0" w:type="dxa"/>
          <w:tblCellMar>
            <w:left w:w="108" w:type="dxa"/>
            <w:right w:w="108" w:type="dxa"/>
          </w:tblCellMar>
        </w:tblPrEx>
        <w:trPr>
          <w:cantSplit/>
          <w:trHeight w:hRule="exact" w:val="360"/>
          <w:jc w:val="left"/>
        </w:trPr>
        <w:tc>
          <w:tcPr>
            <w:tcW w:w="360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b/>
                <w:color w:val="000000"/>
                <w:sz w:val="20"/>
              </w:rPr>
              <w:t>Managed Services Revenue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4,872,034 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5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91 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4,125,061 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5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746,973 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195"/>
          <w:jc w:val="left"/>
        </w:trPr>
        <w:tc>
          <w:tcPr>
            <w:tcW w:w="36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6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Marketplace Spend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108,797 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166,293 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(57,496)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License Fees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383,041 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5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451,548 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50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(68,507)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Other Fees</w:t>
            </w: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11,760 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56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20,766 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50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(9,006)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60"/>
          <w:jc w:val="left"/>
        </w:trPr>
        <w:tc>
          <w:tcPr>
            <w:tcW w:w="360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b/>
                <w:color w:val="000000"/>
                <w:sz w:val="20"/>
              </w:rPr>
              <w:t>SaaS Services Revenue</w:t>
            </w: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503,598 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5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638,607 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50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(135,009)</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9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(21)</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405"/>
          <w:jc w:val="left"/>
        </w:trPr>
        <w:tc>
          <w:tcPr>
            <w:tcW w:w="3600"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55" w:after="30" w:line="240" w:lineRule="auto"/>
              <w:ind w:left="0"/>
              <w:jc w:val="left"/>
            </w:pPr>
            <w:r>
              <w:rPr>
                <w:rFonts w:ascii="Times New Roman" w:eastAsia="Times New Roman" w:hAnsi="Times New Roman" w:cs="Times New Roman"/>
                <w:b/>
                <w:color w:val="000000"/>
                <w:sz w:val="20"/>
              </w:rPr>
              <w:t>Total Revenue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5,375,632 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5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4,763,668 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50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611,964 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90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i/>
          <w:sz w:val="20"/>
        </w:rPr>
        <w:t>Managed Services</w:t>
      </w:r>
      <w:r>
        <w:rPr>
          <w:rFonts w:ascii="Times New Roman" w:eastAsia="Times New Roman" w:hAnsi="Times New Roman" w:cs="Times New Roman"/>
          <w:sz w:val="20"/>
        </w:rPr>
        <w:t xml:space="preserve"> revenue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increased </w:t>
      </w:r>
      <w:r>
        <w:rPr>
          <w:rFonts w:ascii="Times New Roman" w:eastAsia="Times New Roman" w:hAnsi="Times New Roman" w:cs="Times New Roman"/>
          <w:sz w:val="20"/>
        </w:rPr>
        <w:t>18%</w:t>
      </w:r>
      <w:r>
        <w:rPr>
          <w:rFonts w:ascii="Times New Roman" w:eastAsia="Times New Roman" w:hAnsi="Times New Roman" w:cs="Times New Roman"/>
          <w:sz w:val="20"/>
        </w:rPr>
        <w:t xml:space="preserve"> from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primarily due to </w:t>
      </w:r>
      <w:r>
        <w:rPr>
          <w:rFonts w:ascii="Times New Roman" w:eastAsia="Times New Roman" w:hAnsi="Times New Roman" w:cs="Times New Roman"/>
          <w:sz w:val="20"/>
        </w:rPr>
        <w:t xml:space="preserve">increased orders from new and existing </w:t>
      </w:r>
      <w:r>
        <w:rPr>
          <w:rFonts w:ascii="Times New Roman" w:eastAsia="Times New Roman" w:hAnsi="Times New Roman" w:cs="Times New Roman"/>
          <w:sz w:val="20"/>
        </w:rPr>
        <w:t xml:space="preserve">customers </w:t>
      </w:r>
      <w:r>
        <w:rPr>
          <w:rFonts w:ascii="Times New Roman" w:eastAsia="Times New Roman" w:hAnsi="Times New Roman" w:cs="Times New Roman"/>
          <w:sz w:val="20"/>
        </w:rPr>
        <w:t xml:space="preserve">returning to and expanding their </w:t>
      </w:r>
      <w:r>
        <w:rPr>
          <w:rFonts w:ascii="Times New Roman" w:eastAsia="Times New Roman" w:hAnsi="Times New Roman" w:cs="Times New Roman"/>
          <w:sz w:val="20"/>
        </w:rPr>
        <w:t xml:space="preserve">marketing </w:t>
      </w:r>
      <w:r>
        <w:rPr>
          <w:rFonts w:ascii="Times New Roman" w:eastAsia="Times New Roman" w:hAnsi="Times New Roman" w:cs="Times New Roman"/>
          <w:sz w:val="20"/>
        </w:rPr>
        <w:t>efforts</w:t>
      </w:r>
      <w:r>
        <w:rPr>
          <w:rFonts w:ascii="Times New Roman" w:eastAsia="Times New Roman" w:hAnsi="Times New Roman" w:cs="Times New Roman"/>
          <w:sz w:val="20"/>
        </w:rPr>
        <w:t xml:space="preserve"> </w:t>
      </w:r>
      <w:r>
        <w:rPr>
          <w:rFonts w:ascii="Times New Roman" w:eastAsia="Times New Roman" w:hAnsi="Times New Roman" w:cs="Times New Roman"/>
          <w:sz w:val="20"/>
        </w:rPr>
        <w:t>thro</w:t>
      </w:r>
      <w:r>
        <w:rPr>
          <w:rFonts w:ascii="Times New Roman" w:eastAsia="Times New Roman" w:hAnsi="Times New Roman" w:cs="Times New Roman"/>
          <w:sz w:val="20"/>
        </w:rPr>
        <w:t>ugh sponsored social</w:t>
      </w:r>
      <w:r>
        <w:rPr>
          <w:rFonts w:ascii="Times New Roman" w:eastAsia="Times New Roman" w:hAnsi="Times New Roman" w:cs="Times New Roman"/>
          <w:sz w:val="20"/>
        </w:rPr>
        <w:t xml:space="preserve"> marketing</w:t>
      </w:r>
      <w:r>
        <w:rPr>
          <w:rFonts w:ascii="Times New Roman" w:eastAsia="Times New Roman" w:hAnsi="Times New Roman" w:cs="Times New Roman"/>
          <w:sz w:val="20"/>
        </w:rPr>
        <w:t xml:space="preserve"> </w:t>
      </w:r>
      <w:r>
        <w:rPr>
          <w:rFonts w:ascii="Times New Roman" w:eastAsia="Times New Roman" w:hAnsi="Times New Roman" w:cs="Times New Roman"/>
          <w:sz w:val="20"/>
        </w:rPr>
        <w:t>as compared to the prior year period</w:t>
      </w:r>
      <w:r>
        <w:rPr>
          <w:rFonts w:ascii="Times New Roman" w:eastAsia="Times New Roman" w:hAnsi="Times New Roman" w:cs="Times New Roman"/>
          <w:sz w:val="20"/>
        </w:rPr>
        <w:t xml:space="preserve"> wh</w:t>
      </w:r>
      <w:r>
        <w:rPr>
          <w:rFonts w:ascii="Times New Roman" w:eastAsia="Times New Roman" w:hAnsi="Times New Roman" w:cs="Times New Roman"/>
          <w:sz w:val="20"/>
        </w:rPr>
        <w:t xml:space="preserve">en customers began to </w:t>
      </w:r>
      <w:r>
        <w:rPr>
          <w:rFonts w:ascii="Times New Roman" w:eastAsia="Times New Roman" w:hAnsi="Times New Roman" w:cs="Times New Roman"/>
          <w:sz w:val="20"/>
        </w:rPr>
        <w:t>curtail marketing effo</w:t>
      </w:r>
      <w:r>
        <w:rPr>
          <w:rFonts w:ascii="Times New Roman" w:eastAsia="Times New Roman" w:hAnsi="Times New Roman" w:cs="Times New Roman"/>
          <w:sz w:val="20"/>
        </w:rPr>
        <w:t>rts in light of the COVID-19 uncertainties</w:t>
      </w:r>
      <w:r>
        <w:rPr>
          <w:rFonts w:ascii="Times New Roman" w:eastAsia="Times New Roman" w:hAnsi="Times New Roman" w:cs="Times New Roman"/>
          <w:sz w:val="20"/>
        </w:rPr>
        <w:t>.</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i/>
          <w:sz w:val="20"/>
        </w:rPr>
        <w:t>SaaS Services</w:t>
      </w:r>
      <w:r>
        <w:rPr>
          <w:rFonts w:ascii="Times New Roman" w:eastAsia="Times New Roman" w:hAnsi="Times New Roman" w:cs="Times New Roman"/>
          <w:sz w:val="20"/>
        </w:rPr>
        <w:t xml:space="preserve"> revenue is generated by the self-service use of our technology platforms by marketers to manage their own content workflow and influencer marketing campaigns. It consists of fees earned on the marketer’s spend within the </w:t>
      </w:r>
      <w:r>
        <w:rPr>
          <w:rFonts w:ascii="Times New Roman" w:eastAsia="Times New Roman" w:hAnsi="Times New Roman" w:cs="Times New Roman"/>
          <w:i/>
          <w:sz w:val="20"/>
        </w:rPr>
        <w:t>IZEAx</w:t>
      </w:r>
      <w:r>
        <w:rPr>
          <w:rFonts w:ascii="Times New Roman" w:eastAsia="Times New Roman" w:hAnsi="Times New Roman" w:cs="Times New Roman"/>
          <w:i/>
          <w:sz w:val="20"/>
        </w:rPr>
        <w:t>,</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Sha</w:t>
      </w:r>
      <w:r>
        <w:rPr>
          <w:rFonts w:ascii="Times New Roman" w:eastAsia="Times New Roman" w:hAnsi="Times New Roman" w:cs="Times New Roman"/>
          <w:i/>
          <w:sz w:val="20"/>
        </w:rPr>
        <w:t>ke</w:t>
      </w:r>
      <w:r>
        <w:rPr>
          <w:rFonts w:ascii="Times New Roman" w:eastAsia="Times New Roman" w:hAnsi="Times New Roman" w:cs="Times New Roman"/>
          <w:i/>
          <w:sz w:val="20"/>
        </w:rPr>
        <w:t xml:space="preserve"> </w:t>
      </w:r>
      <w:r>
        <w:rPr>
          <w:rFonts w:ascii="Times New Roman" w:eastAsia="Times New Roman" w:hAnsi="Times New Roman" w:cs="Times New Roman"/>
          <w:sz w:val="20"/>
        </w:rPr>
        <w:t>platforms, along with the license and support fees to access the platform services.</w:t>
      </w:r>
      <w:r>
        <w:rPr>
          <w:rFonts w:ascii="Times New Roman" w:eastAsia="Times New Roman" w:hAnsi="Times New Roman" w:cs="Times New Roman"/>
          <w:sz w:val="20"/>
        </w:rPr>
        <w:tab/>
      </w:r>
    </w:p>
    <w:p>
      <w:pPr>
        <w:keepNext w:val="0"/>
        <w:keepLines w:val="0"/>
        <w:pageBreakBefore w:val="0"/>
        <w:widowControl/>
        <w:numPr>
          <w:ilvl w:val="0"/>
          <w:numId w:val="21"/>
        </w:numPr>
        <w:spacing w:before="120" w:after="0" w:line="288" w:lineRule="auto"/>
        <w:ind w:left="1080" w:right="0" w:hanging="360"/>
        <w:jc w:val="left"/>
        <w:outlineLvl w:val="9"/>
        <w:rPr>
          <w:rFonts w:ascii="Times New Roman" w:eastAsia="Times New Roman" w:hAnsi="Times New Roman" w:cs="Times New Roman"/>
          <w:b/>
          <w:i/>
          <w:sz w:val="20"/>
        </w:rPr>
      </w:pPr>
      <w:r>
        <w:rPr>
          <w:rFonts w:ascii="Times New Roman" w:eastAsia="Times New Roman" w:hAnsi="Times New Roman" w:cs="Times New Roman"/>
          <w:i/>
          <w:sz w:val="20"/>
        </w:rPr>
        <w:t xml:space="preserve">Marketplace Spend Fees </w:t>
      </w:r>
      <w:r>
        <w:rPr>
          <w:rFonts w:ascii="Times New Roman" w:eastAsia="Times New Roman" w:hAnsi="Times New Roman" w:cs="Times New Roman"/>
          <w:sz w:val="20"/>
        </w:rPr>
        <w:t xml:space="preserve">decreased by </w:t>
      </w:r>
      <w:r>
        <w:rPr>
          <w:rFonts w:ascii="Times New Roman" w:eastAsia="Times New Roman" w:hAnsi="Times New Roman" w:cs="Times New Roman"/>
          <w:sz w:val="20"/>
        </w:rPr>
        <w:t>$57,496</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when compared with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primarily as a result of lower spend levels from our marketers and lower </w:t>
      </w:r>
      <w:r>
        <w:rPr>
          <w:rFonts w:ascii="Times New Roman" w:eastAsia="Times New Roman" w:hAnsi="Times New Roman" w:cs="Times New Roman"/>
          <w:sz w:val="20"/>
        </w:rPr>
        <w:t xml:space="preserve">average </w:t>
      </w:r>
      <w:r>
        <w:rPr>
          <w:rFonts w:ascii="Times New Roman" w:eastAsia="Times New Roman" w:hAnsi="Times New Roman" w:cs="Times New Roman"/>
          <w:sz w:val="20"/>
        </w:rPr>
        <w:t>fees assessed on those spends as a result of competitive pricing efforts</w:t>
      </w:r>
      <w:r>
        <w:rPr>
          <w:rFonts w:ascii="Times New Roman" w:eastAsia="Times New Roman" w:hAnsi="Times New Roman" w:cs="Times New Roman"/>
          <w:sz w:val="20"/>
        </w:rPr>
        <w:t xml:space="preserve"> in</w:t>
      </w:r>
      <w:r>
        <w:rPr>
          <w:rFonts w:ascii="Times New Roman" w:eastAsia="Times New Roman" w:hAnsi="Times New Roman" w:cs="Times New Roman"/>
          <w:sz w:val="20"/>
        </w:rPr>
        <w:t xml:space="preserv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Revenue from Marketplace Spend Fees represents our net margins received on this business. </w:t>
      </w:r>
    </w:p>
    <w:p>
      <w:pPr>
        <w:keepNext w:val="0"/>
        <w:keepLines w:val="0"/>
        <w:pageBreakBefore w:val="0"/>
        <w:widowControl/>
        <w:numPr>
          <w:ilvl w:val="0"/>
          <w:numId w:val="95"/>
        </w:numPr>
        <w:spacing w:before="120" w:after="0" w:line="288" w:lineRule="auto"/>
        <w:ind w:left="1080" w:right="0" w:hanging="360"/>
        <w:jc w:val="left"/>
        <w:outlineLvl w:val="9"/>
        <w:rPr>
          <w:rFonts w:ascii="Times New Roman" w:eastAsia="Times New Roman" w:hAnsi="Times New Roman" w:cs="Times New Roman"/>
          <w:b/>
          <w:i/>
          <w:sz w:val="20"/>
        </w:rPr>
      </w:pPr>
      <w:r>
        <w:rPr>
          <w:rFonts w:ascii="Times New Roman" w:eastAsia="Times New Roman" w:hAnsi="Times New Roman" w:cs="Times New Roman"/>
          <w:i/>
          <w:sz w:val="20"/>
        </w:rPr>
        <w:t xml:space="preserve">License Fees </w:t>
      </w:r>
      <w:r>
        <w:rPr>
          <w:rFonts w:ascii="Times New Roman" w:eastAsia="Times New Roman" w:hAnsi="Times New Roman" w:cs="Times New Roman"/>
          <w:sz w:val="20"/>
        </w:rPr>
        <w:t xml:space="preserve">revenue decreased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to </w:t>
      </w:r>
      <w:r>
        <w:rPr>
          <w:rFonts w:ascii="Times New Roman" w:eastAsia="Times New Roman" w:hAnsi="Times New Roman" w:cs="Times New Roman"/>
          <w:sz w:val="20"/>
        </w:rPr>
        <w:t>$383,041</w:t>
      </w:r>
      <w:r>
        <w:rPr>
          <w:rFonts w:ascii="Times New Roman" w:eastAsia="Times New Roman" w:hAnsi="Times New Roman" w:cs="Times New Roman"/>
          <w:sz w:val="20"/>
        </w:rPr>
        <w:t xml:space="preserve"> compared to </w:t>
      </w:r>
      <w:r>
        <w:rPr>
          <w:rFonts w:ascii="Times New Roman" w:eastAsia="Times New Roman" w:hAnsi="Times New Roman" w:cs="Times New Roman"/>
          <w:sz w:val="20"/>
        </w:rPr>
        <w:t>$451,548</w:t>
      </w:r>
      <w:r>
        <w:rPr>
          <w:rFonts w:ascii="Times New Roman" w:eastAsia="Times New Roman" w:hAnsi="Times New Roman" w:cs="Times New Roman"/>
          <w:sz w:val="20"/>
        </w:rPr>
        <w:t xml:space="preserve"> in the same period of </w:t>
      </w:r>
      <w:r>
        <w:rPr>
          <w:rFonts w:ascii="Times New Roman" w:eastAsia="Times New Roman" w:hAnsi="Times New Roman" w:cs="Times New Roman"/>
          <w:sz w:val="20"/>
        </w:rPr>
        <w:t>2020</w:t>
      </w:r>
      <w:r>
        <w:rPr>
          <w:rFonts w:ascii="Times New Roman" w:eastAsia="Times New Roman" w:hAnsi="Times New Roman" w:cs="Times New Roman"/>
          <w:sz w:val="20"/>
        </w:rPr>
        <w:t xml:space="preserve">. The decrease was </w:t>
      </w:r>
      <w:r>
        <w:rPr>
          <w:rFonts w:ascii="Times New Roman" w:eastAsia="Times New Roman" w:hAnsi="Times New Roman" w:cs="Times New Roman"/>
          <w:sz w:val="20"/>
        </w:rPr>
        <w:t>a result of the imp</w:t>
      </w:r>
      <w:r>
        <w:rPr>
          <w:rFonts w:ascii="Times New Roman" w:eastAsia="Times New Roman" w:hAnsi="Times New Roman" w:cs="Times New Roman"/>
          <w:sz w:val="20"/>
        </w:rPr>
        <w:t>lementation of</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 competitive standardized pricing system for all </w:t>
      </w:r>
      <w:r>
        <w:rPr>
          <w:rFonts w:ascii="Times New Roman" w:eastAsia="Times New Roman" w:hAnsi="Times New Roman" w:cs="Times New Roman"/>
          <w:sz w:val="20"/>
        </w:rPr>
        <w:t xml:space="preserve">new and renewing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license fee customers</w:t>
      </w:r>
      <w:r>
        <w:rPr>
          <w:rFonts w:ascii="Times New Roman" w:eastAsia="Times New Roman" w:hAnsi="Times New Roman" w:cs="Times New Roman"/>
          <w:sz w:val="20"/>
        </w:rPr>
        <w:t xml:space="preserve"> </w:t>
      </w:r>
      <w:r>
        <w:rPr>
          <w:rFonts w:ascii="Times New Roman" w:eastAsia="Times New Roman" w:hAnsi="Times New Roman" w:cs="Times New Roman"/>
          <w:sz w:val="20"/>
        </w:rPr>
        <w:t>in 2020</w:t>
      </w:r>
      <w:r>
        <w:rPr>
          <w:rFonts w:ascii="Times New Roman" w:eastAsia="Times New Roman" w:hAnsi="Times New Roman" w:cs="Times New Roman"/>
          <w:sz w:val="20"/>
        </w:rPr>
        <w:t xml:space="preserve"> that was at a lower price point than the former</w:t>
      </w:r>
      <w:r>
        <w:rPr>
          <w:rFonts w:ascii="Times New Roman" w:eastAsia="Times New Roman" w:hAnsi="Times New Roman" w:cs="Times New Roman"/>
          <w:sz w:val="20"/>
        </w:rPr>
        <w:t xml:space="preserve"> licensing contracts</w:t>
      </w:r>
      <w:r>
        <w:rPr>
          <w:rFonts w:ascii="Times New Roman" w:eastAsia="Times New Roman" w:hAnsi="Times New Roman" w:cs="Times New Roman"/>
          <w:sz w:val="20"/>
        </w:rPr>
        <w:t xml:space="preserve"> </w:t>
      </w:r>
      <w:r>
        <w:rPr>
          <w:rFonts w:ascii="Times New Roman" w:eastAsia="Times New Roman" w:hAnsi="Times New Roman" w:cs="Times New Roman"/>
          <w:sz w:val="20"/>
        </w:rPr>
        <w:t>put in place prior to 20</w:t>
      </w:r>
      <w:r>
        <w:rPr>
          <w:rFonts w:ascii="Times New Roman" w:eastAsia="Times New Roman" w:hAnsi="Times New Roman" w:cs="Times New Roman"/>
          <w:sz w:val="20"/>
        </w:rPr>
        <w:t>20</w:t>
      </w:r>
      <w:r>
        <w:rPr>
          <w:rFonts w:ascii="Times New Roman" w:eastAsia="Times New Roman" w:hAnsi="Times New Roman" w:cs="Times New Roman"/>
          <w:sz w:val="20"/>
        </w:rPr>
        <w:t xml:space="preserve">. </w:t>
      </w:r>
      <w:r>
        <w:rPr>
          <w:rFonts w:ascii="Times New Roman" w:eastAsia="Times New Roman" w:hAnsi="Times New Roman" w:cs="Times New Roman"/>
          <w:sz w:val="20"/>
        </w:rPr>
        <w:t>Th</w:t>
      </w:r>
      <w:r>
        <w:rPr>
          <w:rFonts w:ascii="Times New Roman" w:eastAsia="Times New Roman" w:hAnsi="Times New Roman" w:cs="Times New Roman"/>
          <w:sz w:val="20"/>
        </w:rPr>
        <w:t xml:space="preserve">e decrease in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license fees</w:t>
      </w:r>
      <w:r>
        <w:rPr>
          <w:rFonts w:ascii="Times New Roman" w:eastAsia="Times New Roman" w:hAnsi="Times New Roman" w:cs="Times New Roman"/>
          <w:sz w:val="20"/>
        </w:rPr>
        <w:t xml:space="preserve"> </w:t>
      </w:r>
      <w:r>
        <w:rPr>
          <w:rFonts w:ascii="Times New Roman" w:eastAsia="Times New Roman" w:hAnsi="Times New Roman" w:cs="Times New Roman"/>
          <w:sz w:val="20"/>
        </w:rPr>
        <w:t>was offset</w:t>
      </w:r>
      <w:r>
        <w:rPr>
          <w:rFonts w:ascii="Times New Roman" w:eastAsia="Times New Roman" w:hAnsi="Times New Roman" w:cs="Times New Roman"/>
          <w:sz w:val="20"/>
        </w:rPr>
        <w:t xml:space="preserve"> by </w:t>
      </w:r>
      <w:r>
        <w:rPr>
          <w:rFonts w:ascii="Times New Roman" w:eastAsia="Times New Roman" w:hAnsi="Times New Roman" w:cs="Times New Roman"/>
          <w:sz w:val="20"/>
        </w:rPr>
        <w:t>an increase in</w:t>
      </w:r>
      <w:r>
        <w:rPr>
          <w:rFonts w:ascii="Times New Roman" w:eastAsia="Times New Roman" w:hAnsi="Times New Roman" w:cs="Times New Roman"/>
          <w:sz w:val="20"/>
        </w:rPr>
        <w:t xml:space="preserve"> </w:t>
      </w:r>
      <w:r>
        <w:rPr>
          <w:rFonts w:ascii="Times New Roman" w:eastAsia="Times New Roman" w:hAnsi="Times New Roman" w:cs="Times New Roman"/>
          <w:sz w:val="20"/>
        </w:rPr>
        <w:t>subscriptio</w:t>
      </w:r>
      <w:r>
        <w:rPr>
          <w:rFonts w:ascii="Times New Roman" w:eastAsia="Times New Roman" w:hAnsi="Times New Roman" w:cs="Times New Roman"/>
          <w:sz w:val="20"/>
        </w:rPr>
        <w:t>ns for</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Discovery</w:t>
      </w:r>
      <w:r>
        <w:rPr>
          <w:rFonts w:ascii="Times New Roman" w:eastAsia="Times New Roman" w:hAnsi="Times New Roman" w:cs="Times New Roman"/>
          <w:sz w:val="20"/>
        </w:rPr>
        <w:t xml:space="preserve"> </w:t>
      </w:r>
      <w:r>
        <w:rPr>
          <w:rFonts w:ascii="Times New Roman" w:eastAsia="Times New Roman" w:hAnsi="Times New Roman" w:cs="Times New Roman"/>
          <w:sz w:val="20"/>
        </w:rPr>
        <w:t>s</w:t>
      </w:r>
      <w:r>
        <w:rPr>
          <w:rFonts w:ascii="Times New Roman" w:eastAsia="Times New Roman" w:hAnsi="Times New Roman" w:cs="Times New Roman"/>
          <w:sz w:val="20"/>
        </w:rPr>
        <w:t>er</w:t>
      </w:r>
      <w:r>
        <w:rPr>
          <w:rFonts w:ascii="Times New Roman" w:eastAsia="Times New Roman" w:hAnsi="Times New Roman" w:cs="Times New Roman"/>
          <w:sz w:val="20"/>
        </w:rPr>
        <w:t>vice</w:t>
      </w:r>
      <w:r>
        <w:rPr>
          <w:rFonts w:ascii="Times New Roman" w:eastAsia="Times New Roman" w:hAnsi="Times New Roman" w:cs="Times New Roman"/>
          <w:sz w:val="20"/>
        </w:rPr>
        <w:t>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Prior to </w:t>
      </w:r>
      <w:r>
        <w:rPr>
          <w:rFonts w:ascii="Times New Roman" w:eastAsia="Times New Roman" w:hAnsi="Times New Roman" w:cs="Times New Roman"/>
          <w:sz w:val="20"/>
        </w:rPr>
        <w:t>2021, t</w:t>
      </w:r>
      <w:r>
        <w:rPr>
          <w:rFonts w:ascii="Times New Roman" w:eastAsia="Times New Roman" w:hAnsi="Times New Roman" w:cs="Times New Roman"/>
          <w:sz w:val="20"/>
        </w:rPr>
        <w:t xml:space="preserve">he subscription fees for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Discovery</w:t>
      </w:r>
      <w:r>
        <w:rPr>
          <w:rFonts w:ascii="Times New Roman" w:eastAsia="Times New Roman" w:hAnsi="Times New Roman" w:cs="Times New Roman"/>
          <w:sz w:val="20"/>
        </w:rPr>
        <w:t xml:space="preserve"> were </w:t>
      </w:r>
      <w:r>
        <w:rPr>
          <w:rFonts w:ascii="Times New Roman" w:eastAsia="Times New Roman" w:hAnsi="Times New Roman" w:cs="Times New Roman"/>
          <w:sz w:val="20"/>
        </w:rPr>
        <w:t>classified under</w:t>
      </w:r>
      <w:r>
        <w:rPr>
          <w:rFonts w:ascii="Times New Roman" w:eastAsia="Times New Roman" w:hAnsi="Times New Roman" w:cs="Times New Roman"/>
          <w:sz w:val="20"/>
        </w:rPr>
        <w:t xml:space="preserve"> Other Fees</w:t>
      </w:r>
      <w:r>
        <w:rPr>
          <w:rFonts w:ascii="Times New Roman" w:eastAsia="Times New Roman" w:hAnsi="Times New Roman" w:cs="Times New Roman"/>
          <w:sz w:val="20"/>
        </w:rPr>
        <w:t xml:space="preserve">, but </w:t>
      </w:r>
      <w:r>
        <w:rPr>
          <w:rFonts w:ascii="Times New Roman" w:eastAsia="Times New Roman" w:hAnsi="Times New Roman" w:cs="Times New Roman"/>
          <w:sz w:val="20"/>
        </w:rPr>
        <w:t>t</w:t>
      </w:r>
      <w:r>
        <w:rPr>
          <w:rFonts w:ascii="Times New Roman" w:eastAsia="Times New Roman" w:hAnsi="Times New Roman" w:cs="Times New Roman"/>
          <w:sz w:val="20"/>
        </w:rPr>
        <w:t>hes</w:t>
      </w:r>
      <w:r>
        <w:rPr>
          <w:rFonts w:ascii="Times New Roman" w:eastAsia="Times New Roman" w:hAnsi="Times New Roman" w:cs="Times New Roman"/>
          <w:sz w:val="20"/>
        </w:rPr>
        <w:t xml:space="preserve">e amounts from 2020 </w:t>
      </w:r>
      <w:r>
        <w:rPr>
          <w:rFonts w:ascii="Times New Roman" w:eastAsia="Times New Roman" w:hAnsi="Times New Roman" w:cs="Times New Roman"/>
          <w:sz w:val="20"/>
        </w:rPr>
        <w:t>have been reclassifi</w:t>
      </w:r>
      <w:r>
        <w:rPr>
          <w:rFonts w:ascii="Times New Roman" w:eastAsia="Times New Roman" w:hAnsi="Times New Roman" w:cs="Times New Roman"/>
          <w:sz w:val="20"/>
        </w:rPr>
        <w:t xml:space="preserve">ed under License </w:t>
      </w:r>
      <w:r>
        <w:rPr>
          <w:rFonts w:ascii="Times New Roman" w:eastAsia="Times New Roman" w:hAnsi="Times New Roman" w:cs="Times New Roman"/>
          <w:sz w:val="20"/>
        </w:rPr>
        <w:t>Fees</w:t>
      </w:r>
      <w:r>
        <w:rPr>
          <w:rFonts w:ascii="Times New Roman" w:eastAsia="Times New Roman" w:hAnsi="Times New Roman" w:cs="Times New Roman"/>
          <w:sz w:val="20"/>
        </w:rPr>
        <w:t xml:space="preserve"> to conf</w:t>
      </w:r>
      <w:r>
        <w:rPr>
          <w:rFonts w:ascii="Times New Roman" w:eastAsia="Times New Roman" w:hAnsi="Times New Roman" w:cs="Times New Roman"/>
          <w:sz w:val="20"/>
        </w:rPr>
        <w:t>orm with the</w:t>
      </w:r>
      <w:r>
        <w:rPr>
          <w:rFonts w:ascii="Times New Roman" w:eastAsia="Times New Roman" w:hAnsi="Times New Roman" w:cs="Times New Roman"/>
          <w:sz w:val="20"/>
        </w:rPr>
        <w:t>ir</w:t>
      </w:r>
      <w:r>
        <w:rPr>
          <w:rFonts w:ascii="Times New Roman" w:eastAsia="Times New Roman" w:hAnsi="Times New Roman" w:cs="Times New Roman"/>
          <w:sz w:val="20"/>
        </w:rPr>
        <w:t xml:space="preserve"> 2021 c</w:t>
      </w:r>
      <w:r>
        <w:rPr>
          <w:rFonts w:ascii="Times New Roman" w:eastAsia="Times New Roman" w:hAnsi="Times New Roman" w:cs="Times New Roman"/>
          <w:sz w:val="20"/>
        </w:rPr>
        <w:t>lassificatio</w:t>
      </w:r>
      <w:r>
        <w:rPr>
          <w:rFonts w:ascii="Times New Roman" w:eastAsia="Times New Roman" w:hAnsi="Times New Roman" w:cs="Times New Roman"/>
          <w:sz w:val="20"/>
        </w:rPr>
        <w:t>n.</w:t>
      </w:r>
    </w:p>
    <w:p>
      <w:pPr>
        <w:keepNext w:val="0"/>
        <w:keepLines w:val="0"/>
        <w:pageBreakBefore w:val="0"/>
        <w:widowControl/>
        <w:numPr>
          <w:ilvl w:val="0"/>
          <w:numId w:val="95"/>
        </w:numPr>
        <w:spacing w:before="120" w:after="0" w:line="288" w:lineRule="auto"/>
        <w:ind w:left="1080" w:right="0" w:hanging="360"/>
        <w:jc w:val="left"/>
        <w:outlineLvl w:val="9"/>
        <w:rPr>
          <w:rFonts w:ascii="Times New Roman" w:eastAsia="Times New Roman" w:hAnsi="Times New Roman" w:cs="Times New Roman"/>
          <w:b/>
          <w:i/>
          <w:sz w:val="20"/>
        </w:rPr>
      </w:pPr>
      <w:r>
        <w:rPr>
          <w:rFonts w:ascii="Times New Roman" w:eastAsia="Times New Roman" w:hAnsi="Times New Roman" w:cs="Times New Roman"/>
          <w:i/>
          <w:sz w:val="20"/>
        </w:rPr>
        <w:t xml:space="preserve">Other Fees </w:t>
      </w:r>
      <w:r>
        <w:rPr>
          <w:rFonts w:ascii="Times New Roman" w:eastAsia="Times New Roman" w:hAnsi="Times New Roman" w:cs="Times New Roman"/>
          <w:sz w:val="20"/>
        </w:rPr>
        <w:t xml:space="preserve">revenue </w:t>
      </w:r>
      <w:r>
        <w:rPr>
          <w:rFonts w:ascii="Times New Roman" w:eastAsia="Times New Roman" w:hAnsi="Times New Roman" w:cs="Times New Roman"/>
          <w:sz w:val="20"/>
        </w:rPr>
        <w:t>de</w:t>
      </w:r>
      <w:r>
        <w:rPr>
          <w:rFonts w:ascii="Times New Roman" w:eastAsia="Times New Roman" w:hAnsi="Times New Roman" w:cs="Times New Roman"/>
          <w:sz w:val="20"/>
        </w:rPr>
        <w:t xml:space="preserve">creased </w:t>
      </w:r>
      <w:r>
        <w:rPr>
          <w:rFonts w:ascii="Times New Roman" w:eastAsia="Times New Roman" w:hAnsi="Times New Roman" w:cs="Times New Roman"/>
          <w:sz w:val="20"/>
        </w:rPr>
        <w:t>(43)%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due to </w:t>
      </w:r>
      <w:r>
        <w:rPr>
          <w:rFonts w:ascii="Times New Roman" w:eastAsia="Times New Roman" w:hAnsi="Times New Roman" w:cs="Times New Roman"/>
          <w:sz w:val="20"/>
        </w:rPr>
        <w:t xml:space="preserve">a decrease in the amount of inactivity fees </w:t>
      </w:r>
      <w:r>
        <w:rPr>
          <w:rFonts w:ascii="Times New Roman" w:eastAsia="Times New Roman" w:hAnsi="Times New Roman" w:cs="Times New Roman"/>
          <w:sz w:val="20"/>
        </w:rPr>
        <w:t>assessed on u</w:t>
      </w:r>
      <w:r>
        <w:rPr>
          <w:rFonts w:ascii="Times New Roman" w:eastAsia="Times New Roman" w:hAnsi="Times New Roman" w:cs="Times New Roman"/>
          <w:sz w:val="20"/>
        </w:rPr>
        <w:t>ser accounts.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Revenue</w:t>
      </w:r>
    </w:p>
    <w:p>
      <w:pPr>
        <w:keepNext w:val="0"/>
        <w:keepLines/>
        <w:pageBreakBefore w:val="0"/>
        <w:widowControl w:val="0"/>
        <w:numPr>
          <w:ilvl w:val="0"/>
          <w:numId w:val="0"/>
        </w:numPr>
        <w:spacing w:before="18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Cost of revenue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$264,235</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12%</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primarily as a result of the </w:t>
      </w:r>
      <w:r>
        <w:rPr>
          <w:rFonts w:ascii="Times New Roman" w:eastAsia="Times New Roman" w:hAnsi="Times New Roman" w:cs="Times New Roman"/>
          <w:sz w:val="20"/>
        </w:rPr>
        <w:t>in</w:t>
      </w:r>
      <w:r>
        <w:rPr>
          <w:rFonts w:ascii="Times New Roman" w:eastAsia="Times New Roman" w:hAnsi="Times New Roman" w:cs="Times New Roman"/>
          <w:sz w:val="20"/>
        </w:rPr>
        <w:t xml:space="preserve">crease in Managed Services revenue. Cost of revenue as a percentage of revenue remained consistent at </w:t>
      </w:r>
      <w:r>
        <w:rPr>
          <w:rFonts w:ascii="Times New Roman" w:eastAsia="Times New Roman" w:hAnsi="Times New Roman" w:cs="Times New Roman"/>
          <w:sz w:val="20"/>
        </w:rPr>
        <w:t>45%</w:t>
      </w:r>
      <w:r>
        <w:rPr>
          <w:rFonts w:ascii="Times New Roman" w:eastAsia="Times New Roman" w:hAnsi="Times New Roman" w:cs="Times New Roman"/>
          <w:sz w:val="20"/>
        </w:rPr>
        <w:t xml:space="preserve">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45%</w:t>
      </w:r>
      <w:r>
        <w:rPr>
          <w:rFonts w:ascii="Times New Roman" w:eastAsia="Times New Roman" w:hAnsi="Times New Roman" w:cs="Times New Roman"/>
          <w:sz w:val="20"/>
        </w:rPr>
        <w:t xml:space="preserve"> in </w:t>
      </w:r>
      <w:r>
        <w:rPr>
          <w:rFonts w:ascii="Times New Roman" w:eastAsia="Times New Roman" w:hAnsi="Times New Roman" w:cs="Times New Roman"/>
          <w:sz w:val="20"/>
        </w:rPr>
        <w:t>2021</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keepLines w:val="0"/>
        <w:pageBreakBefore w:val="0"/>
        <w:widowControl w:val="0"/>
        <w:numPr>
          <w:ilvl w:val="0"/>
          <w:numId w:val="0"/>
        </w:numPr>
        <w:spacing w:before="0" w:after="0" w:line="28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Sales and Marketing</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Sales and marketing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$555,180</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36%</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r>
        <w:rPr>
          <w:rFonts w:ascii="Times New Roman" w:eastAsia="Times New Roman" w:hAnsi="Times New Roman" w:cs="Times New Roman"/>
          <w:sz w:val="20"/>
        </w:rPr>
        <w:t>Advertising and marketing expenses increased $328,000 as a result of increased spends to increase brand awareness and improve customer acquisition, satisfaction and retention.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Our payroll and personnel related expenses and stock compensation for sales and marketing personnel </w:t>
      </w:r>
      <w:r>
        <w:rPr>
          <w:rFonts w:ascii="Times New Roman" w:eastAsia="Times New Roman" w:hAnsi="Times New Roman" w:cs="Times New Roman"/>
          <w:sz w:val="20"/>
        </w:rPr>
        <w:t>in</w:t>
      </w:r>
      <w:r>
        <w:rPr>
          <w:rFonts w:ascii="Times New Roman" w:eastAsia="Times New Roman" w:hAnsi="Times New Roman" w:cs="Times New Roman"/>
          <w:sz w:val="20"/>
        </w:rPr>
        <w:t>creased $</w:t>
      </w:r>
      <w:r>
        <w:rPr>
          <w:rFonts w:ascii="Times New Roman" w:eastAsia="Times New Roman" w:hAnsi="Times New Roman" w:cs="Times New Roman"/>
          <w:sz w:val="20"/>
        </w:rPr>
        <w:t>208</w:t>
      </w:r>
      <w:r>
        <w:rPr>
          <w:rFonts w:ascii="Times New Roman" w:eastAsia="Times New Roman" w:hAnsi="Times New Roman" w:cs="Times New Roman"/>
          <w:sz w:val="20"/>
        </w:rPr>
        <w:t xml:space="preserve">,000 </w:t>
      </w:r>
      <w:r>
        <w:rPr>
          <w:rFonts w:ascii="Times New Roman" w:eastAsia="Times New Roman" w:hAnsi="Times New Roman" w:cs="Times New Roman"/>
          <w:sz w:val="20"/>
        </w:rPr>
        <w:t>as a result of increased commission and bonus expense due to the increase in customer bookings in the first quarter of 2021</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keepLines w:val="0"/>
        <w:pageBreakBefore w:val="0"/>
        <w:widowControl w:val="0"/>
        <w:numPr>
          <w:ilvl w:val="0"/>
          <w:numId w:val="0"/>
        </w:numPr>
        <w:spacing w:before="0" w:after="0" w:line="28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General and Administrative</w:t>
      </w:r>
      <w:r>
        <w:rPr>
          <w:rFonts w:ascii="Times New Roman" w:eastAsia="Times New Roman" w:hAnsi="Times New Roman" w:cs="Times New Roman"/>
          <w:b/>
          <w:sz w:val="20"/>
        </w:rPr>
        <w:t xml:space="preserve"> </w:t>
      </w:r>
    </w:p>
    <w:p>
      <w:pPr>
        <w:keepNext w:val="0"/>
        <w:keepLines/>
        <w:pageBreakBefore w:val="0"/>
        <w:widowControl w:val="0"/>
        <w:numPr>
          <w:ilvl w:val="0"/>
          <w:numId w:val="0"/>
        </w:numPr>
        <w:spacing w:before="18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General and administrative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$117,309</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5%</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General and administrative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due to a $</w:t>
      </w:r>
      <w:r>
        <w:rPr>
          <w:rFonts w:ascii="Times New Roman" w:eastAsia="Times New Roman" w:hAnsi="Times New Roman" w:cs="Times New Roman"/>
          <w:sz w:val="20"/>
        </w:rPr>
        <w:t>166</w:t>
      </w:r>
      <w:r>
        <w:rPr>
          <w:rFonts w:ascii="Times New Roman" w:eastAsia="Times New Roman" w:hAnsi="Times New Roman" w:cs="Times New Roman"/>
          <w:sz w:val="20"/>
        </w:rPr>
        <w:t xml:space="preserve">,000 </w:t>
      </w:r>
      <w:r>
        <w:rPr>
          <w:rFonts w:ascii="Times New Roman" w:eastAsia="Times New Roman" w:hAnsi="Times New Roman" w:cs="Times New Roman"/>
          <w:sz w:val="20"/>
        </w:rPr>
        <w:t>increase</w:t>
      </w:r>
      <w:r>
        <w:rPr>
          <w:rFonts w:ascii="Times New Roman" w:eastAsia="Times New Roman" w:hAnsi="Times New Roman" w:cs="Times New Roman"/>
          <w:sz w:val="20"/>
        </w:rPr>
        <w:t xml:space="preserve"> in  payroll and personnel related expenses </w:t>
      </w:r>
      <w:r>
        <w:rPr>
          <w:rFonts w:ascii="Times New Roman" w:eastAsia="Times New Roman" w:hAnsi="Times New Roman" w:cs="Times New Roman"/>
          <w:sz w:val="20"/>
        </w:rPr>
        <w:t>prima</w:t>
      </w:r>
      <w:r>
        <w:rPr>
          <w:rFonts w:ascii="Times New Roman" w:eastAsia="Times New Roman" w:hAnsi="Times New Roman" w:cs="Times New Roman"/>
          <w:sz w:val="20"/>
        </w:rPr>
        <w:t xml:space="preserve">rily </w:t>
      </w:r>
      <w:r>
        <w:rPr>
          <w:rFonts w:ascii="Times New Roman" w:eastAsia="Times New Roman" w:hAnsi="Times New Roman" w:cs="Times New Roman"/>
          <w:sz w:val="20"/>
        </w:rPr>
        <w:t xml:space="preserve">as a result of </w:t>
      </w:r>
      <w:r>
        <w:rPr>
          <w:rFonts w:ascii="Times New Roman" w:eastAsia="Times New Roman" w:hAnsi="Times New Roman" w:cs="Times New Roman"/>
          <w:sz w:val="20"/>
        </w:rPr>
        <w:t xml:space="preserve">an </w:t>
      </w:r>
      <w:r>
        <w:rPr>
          <w:rFonts w:ascii="Times New Roman" w:eastAsia="Times New Roman" w:hAnsi="Times New Roman" w:cs="Times New Roman"/>
          <w:sz w:val="20"/>
        </w:rPr>
        <w:t>increase</w:t>
      </w:r>
      <w:r>
        <w:rPr>
          <w:rFonts w:ascii="Times New Roman" w:eastAsia="Times New Roman" w:hAnsi="Times New Roman" w:cs="Times New Roman"/>
          <w:sz w:val="20"/>
        </w:rPr>
        <w:t xml:space="preserve"> in annual</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salaries, </w:t>
      </w:r>
      <w:r>
        <w:rPr>
          <w:rFonts w:ascii="Times New Roman" w:eastAsia="Times New Roman" w:hAnsi="Times New Roman" w:cs="Times New Roman"/>
          <w:sz w:val="20"/>
        </w:rPr>
        <w:t xml:space="preserve">and higher </w:t>
      </w:r>
      <w:r>
        <w:rPr>
          <w:rFonts w:ascii="Times New Roman" w:eastAsia="Times New Roman" w:hAnsi="Times New Roman" w:cs="Times New Roman"/>
          <w:sz w:val="20"/>
        </w:rPr>
        <w:t>bonus</w:t>
      </w:r>
      <w:r>
        <w:rPr>
          <w:rFonts w:ascii="Times New Roman" w:eastAsia="Times New Roman" w:hAnsi="Times New Roman" w:cs="Times New Roman"/>
          <w:sz w:val="20"/>
        </w:rPr>
        <w:t xml:space="preserve"> and stock co</w:t>
      </w:r>
      <w:r>
        <w:rPr>
          <w:rFonts w:ascii="Times New Roman" w:eastAsia="Times New Roman" w:hAnsi="Times New Roman" w:cs="Times New Roman"/>
          <w:sz w:val="20"/>
        </w:rPr>
        <w:t>mpensation expense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due to the </w:t>
      </w:r>
      <w:r>
        <w:rPr>
          <w:rFonts w:ascii="Times New Roman" w:eastAsia="Times New Roman" w:hAnsi="Times New Roman" w:cs="Times New Roman"/>
          <w:sz w:val="20"/>
        </w:rPr>
        <w:t>improved c</w:t>
      </w:r>
      <w:r>
        <w:rPr>
          <w:rFonts w:ascii="Times New Roman" w:eastAsia="Times New Roman" w:hAnsi="Times New Roman" w:cs="Times New Roman"/>
          <w:sz w:val="20"/>
        </w:rPr>
        <w:t>ompany performance</w:t>
      </w:r>
      <w:r>
        <w:rPr>
          <w:rFonts w:ascii="Times New Roman" w:eastAsia="Times New Roman" w:hAnsi="Times New Roman" w:cs="Times New Roman"/>
          <w:sz w:val="20"/>
        </w:rPr>
        <w:t xml:space="preserve"> in the first quarter of 2021</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C</w:t>
      </w:r>
      <w:r>
        <w:rPr>
          <w:rFonts w:ascii="Times New Roman" w:eastAsia="Times New Roman" w:hAnsi="Times New Roman" w:cs="Times New Roman"/>
          <w:sz w:val="20"/>
        </w:rPr>
        <w:t xml:space="preserve">ontractor expenses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w:t>
      </w:r>
      <w:r>
        <w:rPr>
          <w:rFonts w:ascii="Times New Roman" w:eastAsia="Times New Roman" w:hAnsi="Times New Roman" w:cs="Times New Roman"/>
          <w:sz w:val="20"/>
        </w:rPr>
        <w:t>209</w:t>
      </w:r>
      <w:r>
        <w:rPr>
          <w:rFonts w:ascii="Times New Roman" w:eastAsia="Times New Roman" w:hAnsi="Times New Roman" w:cs="Times New Roman"/>
          <w:sz w:val="20"/>
        </w:rPr>
        <w:t xml:space="preserve">,000 </w:t>
      </w:r>
      <w:r>
        <w:rPr>
          <w:rFonts w:ascii="Times New Roman" w:eastAsia="Times New Roman" w:hAnsi="Times New Roman" w:cs="Times New Roman"/>
          <w:sz w:val="20"/>
        </w:rPr>
        <w:t xml:space="preserve">as </w:t>
      </w:r>
      <w:r>
        <w:rPr>
          <w:rFonts w:ascii="Times New Roman" w:eastAsia="Times New Roman" w:hAnsi="Times New Roman" w:cs="Times New Roman"/>
          <w:sz w:val="20"/>
        </w:rPr>
        <w:t xml:space="preserve">we are </w:t>
      </w:r>
      <w:r>
        <w:rPr>
          <w:rFonts w:ascii="Times New Roman" w:eastAsia="Times New Roman" w:hAnsi="Times New Roman" w:cs="Times New Roman"/>
          <w:sz w:val="20"/>
        </w:rPr>
        <w:t>increas</w:t>
      </w:r>
      <w:r>
        <w:rPr>
          <w:rFonts w:ascii="Times New Roman" w:eastAsia="Times New Roman" w:hAnsi="Times New Roman" w:cs="Times New Roman"/>
          <w:sz w:val="20"/>
        </w:rPr>
        <w:t>ing</w:t>
      </w:r>
      <w:r>
        <w:rPr>
          <w:rFonts w:ascii="Times New Roman" w:eastAsia="Times New Roman" w:hAnsi="Times New Roman" w:cs="Times New Roman"/>
          <w:sz w:val="20"/>
        </w:rPr>
        <w:t xml:space="preserve"> the number of </w:t>
      </w:r>
      <w:r>
        <w:rPr>
          <w:rFonts w:ascii="Times New Roman" w:eastAsia="Times New Roman" w:hAnsi="Times New Roman" w:cs="Times New Roman"/>
          <w:sz w:val="20"/>
        </w:rPr>
        <w:t xml:space="preserve">internal and external </w:t>
      </w:r>
      <w:r>
        <w:rPr>
          <w:rFonts w:ascii="Times New Roman" w:eastAsia="Times New Roman" w:hAnsi="Times New Roman" w:cs="Times New Roman"/>
          <w:sz w:val="20"/>
        </w:rPr>
        <w:t xml:space="preserve">engineers working on our technology offerings. </w:t>
      </w:r>
      <w:r>
        <w:rPr>
          <w:rFonts w:ascii="Times New Roman" w:eastAsia="Times New Roman" w:hAnsi="Times New Roman" w:cs="Times New Roman"/>
          <w:sz w:val="20"/>
        </w:rPr>
        <w:t>These increases</w:t>
      </w:r>
      <w:r>
        <w:rPr>
          <w:rFonts w:ascii="Times New Roman" w:eastAsia="Times New Roman" w:hAnsi="Times New Roman" w:cs="Times New Roman"/>
          <w:sz w:val="20"/>
        </w:rPr>
        <w:t xml:space="preserve"> were </w:t>
      </w:r>
      <w:r>
        <w:rPr>
          <w:rFonts w:ascii="Times New Roman" w:eastAsia="Times New Roman" w:hAnsi="Times New Roman" w:cs="Times New Roman"/>
          <w:sz w:val="20"/>
        </w:rPr>
        <w:t>partially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offset by decreases in </w:t>
      </w:r>
      <w:r>
        <w:rPr>
          <w:rFonts w:ascii="Times New Roman" w:eastAsia="Times New Roman" w:hAnsi="Times New Roman" w:cs="Times New Roman"/>
          <w:sz w:val="20"/>
        </w:rPr>
        <w:t xml:space="preserve">(i) </w:t>
      </w:r>
      <w:r>
        <w:rPr>
          <w:rFonts w:ascii="Times New Roman" w:eastAsia="Times New Roman" w:hAnsi="Times New Roman" w:cs="Times New Roman"/>
          <w:sz w:val="20"/>
        </w:rPr>
        <w:t>r</w:t>
      </w:r>
      <w:r>
        <w:rPr>
          <w:rFonts w:ascii="Times New Roman" w:eastAsia="Times New Roman" w:hAnsi="Times New Roman" w:cs="Times New Roman"/>
          <w:sz w:val="20"/>
        </w:rPr>
        <w:t xml:space="preserve">ent expense </w:t>
      </w:r>
      <w:r>
        <w:rPr>
          <w:rFonts w:ascii="Times New Roman" w:eastAsia="Times New Roman" w:hAnsi="Times New Roman" w:cs="Times New Roman"/>
          <w:sz w:val="20"/>
        </w:rPr>
        <w:t>of</w:t>
      </w: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20"/>
        </w:rPr>
        <w:t>142</w:t>
      </w:r>
      <w:r>
        <w:rPr>
          <w:rFonts w:ascii="Times New Roman" w:eastAsia="Times New Roman" w:hAnsi="Times New Roman" w:cs="Times New Roman"/>
          <w:sz w:val="20"/>
        </w:rPr>
        <w:t>,000 due to the non-renewal of expiring office facility leases</w:t>
      </w: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20"/>
        </w:rPr>
        <w:t>ii)</w:t>
      </w:r>
      <w:r>
        <w:rPr>
          <w:rFonts w:ascii="Times New Roman" w:eastAsia="Times New Roman" w:hAnsi="Times New Roman" w:cs="Times New Roman"/>
          <w:sz w:val="20"/>
        </w:rPr>
        <w:t xml:space="preserve"> software and AWS hosting costs </w:t>
      </w:r>
      <w:r>
        <w:rPr>
          <w:rFonts w:ascii="Times New Roman" w:eastAsia="Times New Roman" w:hAnsi="Times New Roman" w:cs="Times New Roman"/>
          <w:sz w:val="20"/>
        </w:rPr>
        <w:t>of $77,000</w:t>
      </w:r>
      <w:r>
        <w:rPr>
          <w:rFonts w:ascii="Times New Roman" w:eastAsia="Times New Roman" w:hAnsi="Times New Roman" w:cs="Times New Roman"/>
          <w:sz w:val="20"/>
        </w:rPr>
        <w:t xml:space="preserve"> due to</w:t>
      </w:r>
      <w:r>
        <w:rPr>
          <w:rFonts w:ascii="Times New Roman" w:eastAsia="Times New Roman" w:hAnsi="Times New Roman" w:cs="Times New Roman"/>
          <w:sz w:val="20"/>
        </w:rPr>
        <w:t xml:space="preserve"> conti</w:t>
      </w:r>
      <w:r>
        <w:rPr>
          <w:rFonts w:ascii="Times New Roman" w:eastAsia="Times New Roman" w:hAnsi="Times New Roman" w:cs="Times New Roman"/>
          <w:sz w:val="20"/>
        </w:rPr>
        <w:t>n</w:t>
      </w:r>
      <w:r>
        <w:rPr>
          <w:rFonts w:ascii="Times New Roman" w:eastAsia="Times New Roman" w:hAnsi="Times New Roman" w:cs="Times New Roman"/>
          <w:sz w:val="20"/>
        </w:rPr>
        <w:t xml:space="preserve">ued </w:t>
      </w:r>
      <w:r>
        <w:rPr>
          <w:rFonts w:ascii="Times New Roman" w:eastAsia="Times New Roman" w:hAnsi="Times New Roman" w:cs="Times New Roman"/>
          <w:sz w:val="20"/>
        </w:rPr>
        <w:t xml:space="preserve">efforts to </w:t>
      </w:r>
      <w:r>
        <w:rPr>
          <w:rFonts w:ascii="Times New Roman" w:eastAsia="Times New Roman" w:hAnsi="Times New Roman" w:cs="Times New Roman"/>
          <w:sz w:val="20"/>
        </w:rPr>
        <w:t>reduc</w:t>
      </w:r>
      <w:r>
        <w:rPr>
          <w:rFonts w:ascii="Times New Roman" w:eastAsia="Times New Roman" w:hAnsi="Times New Roman" w:cs="Times New Roman"/>
          <w:sz w:val="20"/>
        </w:rPr>
        <w:t>e</w:t>
      </w:r>
      <w:r>
        <w:rPr>
          <w:rFonts w:ascii="Times New Roman" w:eastAsia="Times New Roman" w:hAnsi="Times New Roman" w:cs="Times New Roman"/>
          <w:sz w:val="20"/>
        </w:rPr>
        <w:t xml:space="preserve"> software </w:t>
      </w:r>
      <w:r>
        <w:rPr>
          <w:rFonts w:ascii="Times New Roman" w:eastAsia="Times New Roman" w:hAnsi="Times New Roman" w:cs="Times New Roman"/>
          <w:sz w:val="20"/>
        </w:rPr>
        <w:t>subscriptions</w:t>
      </w:r>
      <w:r>
        <w:rPr>
          <w:rFonts w:ascii="Times New Roman" w:eastAsia="Times New Roman" w:hAnsi="Times New Roman" w:cs="Times New Roman"/>
          <w:sz w:val="20"/>
        </w:rPr>
        <w:t xml:space="preserve"> </w:t>
      </w:r>
      <w:r>
        <w:rPr>
          <w:rFonts w:ascii="Times New Roman" w:eastAsia="Times New Roman" w:hAnsi="Times New Roman" w:cs="Times New Roman"/>
          <w:sz w:val="20"/>
        </w:rPr>
        <w:t>in 2020 and</w:t>
      </w:r>
      <w:r>
        <w:rPr>
          <w:rFonts w:ascii="Times New Roman" w:eastAsia="Times New Roman" w:hAnsi="Times New Roman" w:cs="Times New Roman"/>
          <w:sz w:val="20"/>
        </w:rPr>
        <w:t xml:space="preserve"> </w:t>
      </w:r>
      <w:r>
        <w:rPr>
          <w:rFonts w:ascii="Times New Roman" w:eastAsia="Times New Roman" w:hAnsi="Times New Roman" w:cs="Times New Roman"/>
          <w:sz w:val="20"/>
        </w:rPr>
        <w:t>improv</w:t>
      </w:r>
      <w:r>
        <w:rPr>
          <w:rFonts w:ascii="Times New Roman" w:eastAsia="Times New Roman" w:hAnsi="Times New Roman" w:cs="Times New Roman"/>
          <w:sz w:val="20"/>
        </w:rPr>
        <w:t xml:space="preserve">e </w:t>
      </w:r>
      <w:r>
        <w:rPr>
          <w:rFonts w:ascii="Times New Roman" w:eastAsia="Times New Roman" w:hAnsi="Times New Roman" w:cs="Times New Roman"/>
          <w:sz w:val="20"/>
        </w:rPr>
        <w:t>effi</w:t>
      </w:r>
      <w:r>
        <w:rPr>
          <w:rFonts w:ascii="Times New Roman" w:eastAsia="Times New Roman" w:hAnsi="Times New Roman" w:cs="Times New Roman"/>
          <w:sz w:val="20"/>
        </w:rPr>
        <w:t xml:space="preserve">ciencies in our data </w:t>
      </w:r>
      <w:r>
        <w:rPr>
          <w:rFonts w:ascii="Times New Roman" w:eastAsia="Times New Roman" w:hAnsi="Times New Roman" w:cs="Times New Roman"/>
          <w:sz w:val="20"/>
        </w:rPr>
        <w:t>storage</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(iii) non-renewal of investor relations contracts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(i</w:t>
      </w:r>
      <w:r>
        <w:rPr>
          <w:rFonts w:ascii="Times New Roman" w:eastAsia="Times New Roman" w:hAnsi="Times New Roman" w:cs="Times New Roman"/>
          <w:sz w:val="20"/>
        </w:rPr>
        <w:t>v</w:t>
      </w:r>
      <w:r>
        <w:rPr>
          <w:rFonts w:ascii="Times New Roman" w:eastAsia="Times New Roman" w:hAnsi="Times New Roman" w:cs="Times New Roman"/>
          <w:sz w:val="20"/>
        </w:rPr>
        <w:t xml:space="preserve">) </w:t>
      </w:r>
      <w:r>
        <w:rPr>
          <w:rFonts w:ascii="Times New Roman" w:eastAsia="Times New Roman" w:hAnsi="Times New Roman" w:cs="Times New Roman"/>
          <w:sz w:val="20"/>
        </w:rPr>
        <w:t>the elimination of</w:t>
      </w:r>
      <w:r>
        <w:rPr>
          <w:rFonts w:ascii="Times New Roman" w:eastAsia="Times New Roman" w:hAnsi="Times New Roman" w:cs="Times New Roman"/>
          <w:sz w:val="20"/>
        </w:rPr>
        <w:t xml:space="preserve"> travel costs</w:t>
      </w:r>
      <w:r>
        <w:rPr>
          <w:rFonts w:ascii="Times New Roman" w:eastAsia="Times New Roman" w:hAnsi="Times New Roman" w:cs="Times New Roman"/>
          <w:sz w:val="20"/>
        </w:rPr>
        <w:t xml:space="preserve"> o</w:t>
      </w:r>
      <w:r>
        <w:rPr>
          <w:rFonts w:ascii="Times New Roman" w:eastAsia="Times New Roman" w:hAnsi="Times New Roman" w:cs="Times New Roman"/>
          <w:sz w:val="20"/>
        </w:rPr>
        <w:t>f</w:t>
      </w:r>
      <w:r>
        <w:rPr>
          <w:rFonts w:ascii="Times New Roman" w:eastAsia="Times New Roman" w:hAnsi="Times New Roman" w:cs="Times New Roman"/>
          <w:sz w:val="20"/>
        </w:rPr>
        <w:t xml:space="preserve"> $1</w:t>
      </w:r>
      <w:r>
        <w:rPr>
          <w:rFonts w:ascii="Times New Roman" w:eastAsia="Times New Roman" w:hAnsi="Times New Roman" w:cs="Times New Roman"/>
          <w:sz w:val="20"/>
        </w:rPr>
        <w:t>9</w:t>
      </w:r>
      <w:r>
        <w:rPr>
          <w:rFonts w:ascii="Times New Roman" w:eastAsia="Times New Roman" w:hAnsi="Times New Roman" w:cs="Times New Roman"/>
          <w:sz w:val="20"/>
        </w:rPr>
        <w:t xml:space="preserve">,000 </w:t>
      </w:r>
      <w:r>
        <w:rPr>
          <w:rFonts w:ascii="Times New Roman" w:eastAsia="Times New Roman" w:hAnsi="Times New Roman" w:cs="Times New Roman"/>
          <w:sz w:val="20"/>
        </w:rPr>
        <w:t>due to limited travel after the outbreak of COVID</w:t>
      </w:r>
      <w:r>
        <w:rPr>
          <w:rFonts w:ascii="Times New Roman" w:eastAsia="Times New Roman" w:hAnsi="Times New Roman" w:cs="Times New Roman"/>
          <w:sz w:val="20"/>
        </w:rPr>
        <w:t>-19</w:t>
      </w:r>
      <w:r>
        <w:rPr>
          <w:rFonts w:ascii="Times New Roman" w:eastAsia="Times New Roman" w:hAnsi="Times New Roman" w:cs="Times New Roman"/>
          <w:sz w:val="20"/>
        </w:rPr>
        <w:t>.</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8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Impairment of Goodwill</w:t>
      </w:r>
    </w:p>
    <w:p>
      <w:pPr>
        <w:keepNext/>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 March 2020, we identified triggering events due to the reduction in our projected revenue due to adverse economic conditions caused by the COVID-19 pandemic, the continuation of a market capitalization below our carrying value, and uncertainty for recovery given the volatility of the capital markets surrounding COVID-19. We performed an interim assessment of goodwill, using the discounted cash flow method under the income approach and the guideline transaction method under the market approach, and determined that the carrying value of our Company’s reporting unit as of March 31, 2020 exceeded the fair value. As a result of the valuation, we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resulting in an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2020</w:t>
      </w:r>
      <w:r>
        <w:rPr>
          <w:rFonts w:ascii="Times New Roman" w:eastAsia="Times New Roman" w:hAnsi="Times New Roman" w:cs="Times New Roman"/>
          <w:sz w:val="20"/>
        </w:rPr>
        <w:t xml:space="preserve">. </w:t>
      </w:r>
    </w:p>
    <w:p>
      <w:pPr>
        <w:keepNext/>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Depreciation and Amortization </w:t>
      </w:r>
    </w:p>
    <w:p>
      <w:pPr>
        <w:keepNext w:val="0"/>
        <w:keepLines w:val="0"/>
        <w:pageBreakBefore w:val="0"/>
        <w:widowControl w:val="0"/>
        <w:numPr>
          <w:ilvl w:val="0"/>
          <w:numId w:val="0"/>
        </w:numPr>
        <w:spacing w:before="18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Depreciation and amortization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$135,740</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27%</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Depreciation and amortization expense on property and equipment was </w:t>
      </w:r>
      <w:r>
        <w:rPr>
          <w:rFonts w:ascii="Times New Roman" w:eastAsia="Times New Roman" w:hAnsi="Times New Roman" w:cs="Times New Roman"/>
          <w:sz w:val="20"/>
        </w:rPr>
        <w:t>$32,486</w:t>
      </w:r>
      <w:r>
        <w:rPr>
          <w:rFonts w:ascii="Times New Roman" w:eastAsia="Times New Roman" w:hAnsi="Times New Roman" w:cs="Times New Roman"/>
          <w:sz w:val="20"/>
        </w:rPr>
        <w:t xml:space="preserve"> and </w:t>
      </w:r>
      <w:r>
        <w:rPr>
          <w:rFonts w:ascii="Times New Roman" w:eastAsia="Times New Roman" w:hAnsi="Times New Roman" w:cs="Times New Roman"/>
          <w:sz w:val="20"/>
        </w:rPr>
        <w:t>$35,629</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respectively. Depreciation expense has increased slightly due to the purchase of new</w:t>
      </w:r>
      <w:r>
        <w:rPr>
          <w:rFonts w:ascii="Times New Roman" w:eastAsia="Times New Roman" w:hAnsi="Times New Roman" w:cs="Times New Roman"/>
          <w:sz w:val="20"/>
        </w:rPr>
        <w:t xml:space="preserve"> equipment</w:t>
      </w:r>
      <w:r>
        <w:rPr>
          <w:rFonts w:ascii="Times New Roman" w:eastAsia="Times New Roman" w:hAnsi="Times New Roman" w:cs="Times New Roman"/>
          <w:sz w:val="20"/>
        </w:rPr>
        <w:t xml:space="preserve"> in recent periods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Amortization expense was </w:t>
      </w:r>
      <w:r>
        <w:rPr>
          <w:rFonts w:ascii="Times New Roman" w:eastAsia="Times New Roman" w:hAnsi="Times New Roman" w:cs="Times New Roman"/>
          <w:sz w:val="20"/>
        </w:rPr>
        <w:t>$333,043</w:t>
      </w:r>
      <w:r>
        <w:rPr>
          <w:rFonts w:ascii="Times New Roman" w:eastAsia="Times New Roman" w:hAnsi="Times New Roman" w:cs="Times New Roman"/>
          <w:sz w:val="20"/>
        </w:rPr>
        <w:t xml:space="preserve"> and </w:t>
      </w:r>
      <w:r>
        <w:rPr>
          <w:rFonts w:ascii="Times New Roman" w:eastAsia="Times New Roman" w:hAnsi="Times New Roman" w:cs="Times New Roman"/>
          <w:sz w:val="20"/>
        </w:rPr>
        <w:t>$465,640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respectively. Amortization expense related to intangible assets acquired in the Ebyline, ZenContent, and TapInfluence acquisitions was </w:t>
      </w:r>
      <w:r>
        <w:rPr>
          <w:rFonts w:ascii="Times New Roman" w:eastAsia="Times New Roman" w:hAnsi="Times New Roman" w:cs="Times New Roman"/>
          <w:sz w:val="20"/>
        </w:rPr>
        <w:t>$216,667</w:t>
      </w:r>
      <w:r>
        <w:rPr>
          <w:rFonts w:ascii="Times New Roman" w:eastAsia="Times New Roman" w:hAnsi="Times New Roman" w:cs="Times New Roman"/>
          <w:sz w:val="20"/>
        </w:rPr>
        <w:t xml:space="preserve"> and </w:t>
      </w:r>
      <w:r>
        <w:rPr>
          <w:rFonts w:ascii="Times New Roman" w:eastAsia="Times New Roman" w:hAnsi="Times New Roman" w:cs="Times New Roman"/>
          <w:sz w:val="20"/>
        </w:rPr>
        <w:t>$364,990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respectively, while amortization expense related to internal use software development costs was </w:t>
      </w:r>
      <w:r>
        <w:rPr>
          <w:rFonts w:ascii="Times New Roman" w:eastAsia="Times New Roman" w:hAnsi="Times New Roman" w:cs="Times New Roman"/>
          <w:sz w:val="20"/>
        </w:rPr>
        <w:t>$116,376</w:t>
      </w:r>
      <w:r>
        <w:rPr>
          <w:rFonts w:ascii="Times New Roman" w:eastAsia="Times New Roman" w:hAnsi="Times New Roman" w:cs="Times New Roman"/>
          <w:sz w:val="20"/>
        </w:rPr>
        <w:t xml:space="preserve"> and </w:t>
      </w:r>
      <w:r>
        <w:rPr>
          <w:rFonts w:ascii="Times New Roman" w:eastAsia="Times New Roman" w:hAnsi="Times New Roman" w:cs="Times New Roman"/>
          <w:sz w:val="20"/>
        </w:rPr>
        <w:t>$100,650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 respectively. Amortization on our intangible acquisition assets decreased in 202</w:t>
      </w:r>
      <w:r>
        <w:rPr>
          <w:rFonts w:ascii="Times New Roman" w:eastAsia="Times New Roman" w:hAnsi="Times New Roman" w:cs="Times New Roman"/>
          <w:sz w:val="20"/>
        </w:rPr>
        <w:t>1</w:t>
      </w:r>
      <w:r>
        <w:rPr>
          <w:rFonts w:ascii="Times New Roman" w:eastAsia="Times New Roman" w:hAnsi="Times New Roman" w:cs="Times New Roman"/>
          <w:sz w:val="20"/>
        </w:rPr>
        <w:t xml:space="preserve"> as several of these assets were fully amortized during 2020. Amortization on our internal use software increased due to the release of</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Brand</w:t>
      </w:r>
      <w:r>
        <w:rPr>
          <w:rFonts w:ascii="Times New Roman" w:eastAsia="Times New Roman" w:hAnsi="Times New Roman" w:cs="Times New Roman"/>
          <w:i/>
          <w:sz w:val="20"/>
        </w:rPr>
        <w:t>G</w:t>
      </w:r>
      <w:r>
        <w:rPr>
          <w:rFonts w:ascii="Times New Roman" w:eastAsia="Times New Roman" w:hAnsi="Times New Roman" w:cs="Times New Roman"/>
          <w:i/>
          <w:sz w:val="20"/>
        </w:rPr>
        <w:t>raph</w:t>
      </w:r>
      <w:r>
        <w:rPr>
          <w:rFonts w:ascii="Times New Roman" w:eastAsia="Times New Roman" w:hAnsi="Times New Roman" w:cs="Times New Roman"/>
          <w:sz w:val="20"/>
        </w:rPr>
        <w:t xml:space="preserve"> an</w:t>
      </w:r>
      <w:r>
        <w:rPr>
          <w:rFonts w:ascii="Times New Roman" w:eastAsia="Times New Roman" w:hAnsi="Times New Roman" w:cs="Times New Roman"/>
          <w:sz w:val="20"/>
        </w:rPr>
        <w:t xml:space="preserve">d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in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Income (Expense)</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Interest expense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$7,175</w:t>
      </w:r>
      <w:r>
        <w:rPr>
          <w:rFonts w:ascii="Times New Roman" w:eastAsia="Times New Roman" w:hAnsi="Times New Roman" w:cs="Times New Roman"/>
          <w:sz w:val="20"/>
        </w:rPr>
        <w:t xml:space="preserve"> to </w:t>
      </w:r>
      <w:r>
        <w:rPr>
          <w:rFonts w:ascii="Times New Roman" w:eastAsia="Times New Roman" w:hAnsi="Times New Roman" w:cs="Times New Roman"/>
          <w:sz w:val="20"/>
        </w:rPr>
        <w:t>$13,793</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due primarily to </w:t>
      </w:r>
      <w:r>
        <w:rPr>
          <w:rFonts w:ascii="Times New Roman" w:eastAsia="Times New Roman" w:hAnsi="Times New Roman" w:cs="Times New Roman"/>
          <w:sz w:val="20"/>
        </w:rPr>
        <w:t>increase</w:t>
      </w:r>
      <w:r>
        <w:rPr>
          <w:rFonts w:ascii="Times New Roman" w:eastAsia="Times New Roman" w:hAnsi="Times New Roman" w:cs="Times New Roman"/>
          <w:sz w:val="20"/>
        </w:rPr>
        <w:t xml:space="preserve"> in</w:t>
      </w:r>
      <w:r>
        <w:rPr>
          <w:rFonts w:ascii="Times New Roman" w:eastAsia="Times New Roman" w:hAnsi="Times New Roman" w:cs="Times New Roman"/>
          <w:sz w:val="20"/>
        </w:rPr>
        <w:t xml:space="preserve"> our </w:t>
      </w:r>
      <w:r>
        <w:rPr>
          <w:rFonts w:ascii="Times New Roman" w:eastAsia="Times New Roman" w:hAnsi="Times New Roman" w:cs="Times New Roman"/>
          <w:sz w:val="20"/>
        </w:rPr>
        <w:t>financing arrangem</w:t>
      </w:r>
      <w:r>
        <w:rPr>
          <w:rFonts w:ascii="Times New Roman" w:eastAsia="Times New Roman" w:hAnsi="Times New Roman" w:cs="Times New Roman"/>
          <w:sz w:val="20"/>
        </w:rPr>
        <w:t>ents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such as the PPP </w:t>
      </w:r>
      <w:r>
        <w:rPr>
          <w:rFonts w:ascii="Times New Roman" w:eastAsia="Times New Roman" w:hAnsi="Times New Roman" w:cs="Times New Roman"/>
          <w:sz w:val="20"/>
        </w:rPr>
        <w:t>Loan</w:t>
      </w:r>
      <w:r>
        <w:rPr>
          <w:rFonts w:ascii="Times New Roman" w:eastAsia="Times New Roman" w:hAnsi="Times New Roman" w:cs="Times New Roman"/>
          <w:sz w:val="20"/>
        </w:rPr>
        <w:t>, and the interest imputed thereon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The </w:t>
      </w:r>
      <w:r>
        <w:rPr>
          <w:rFonts w:ascii="Times New Roman" w:eastAsia="Times New Roman" w:hAnsi="Times New Roman" w:cs="Times New Roman"/>
          <w:sz w:val="20"/>
        </w:rPr>
        <w:t>$67,218</w:t>
      </w:r>
      <w:r>
        <w:rPr>
          <w:rFonts w:ascii="Times New Roman" w:eastAsia="Times New Roman" w:hAnsi="Times New Roman" w:cs="Times New Roman"/>
          <w:sz w:val="20"/>
        </w:rPr>
        <w:t xml:space="preserve"> </w:t>
      </w:r>
      <w:r>
        <w:rPr>
          <w:rFonts w:ascii="Times New Roman" w:eastAsia="Times New Roman" w:hAnsi="Times New Roman" w:cs="Times New Roman"/>
          <w:sz w:val="20"/>
        </w:rPr>
        <w:t>in</w:t>
      </w:r>
      <w:r>
        <w:rPr>
          <w:rFonts w:ascii="Times New Roman" w:eastAsia="Times New Roman" w:hAnsi="Times New Roman" w:cs="Times New Roman"/>
          <w:sz w:val="20"/>
        </w:rPr>
        <w:t xml:space="preserve">crease in other income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when compared to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resulted primarily from </w:t>
      </w:r>
      <w:r>
        <w:rPr>
          <w:rFonts w:ascii="Times New Roman" w:eastAsia="Times New Roman" w:hAnsi="Times New Roman" w:cs="Times New Roman"/>
          <w:sz w:val="20"/>
        </w:rPr>
        <w:t>increa</w:t>
      </w:r>
      <w:r>
        <w:rPr>
          <w:rFonts w:ascii="Times New Roman" w:eastAsia="Times New Roman" w:hAnsi="Times New Roman" w:cs="Times New Roman"/>
          <w:sz w:val="20"/>
        </w:rPr>
        <w:t>sed</w:t>
      </w:r>
      <w:r>
        <w:rPr>
          <w:rFonts w:ascii="Times New Roman" w:eastAsia="Times New Roman" w:hAnsi="Times New Roman" w:cs="Times New Roman"/>
          <w:sz w:val="20"/>
        </w:rPr>
        <w:t xml:space="preserve"> interest income received on </w:t>
      </w:r>
      <w:r>
        <w:rPr>
          <w:rFonts w:ascii="Times New Roman" w:eastAsia="Times New Roman" w:hAnsi="Times New Roman" w:cs="Times New Roman"/>
          <w:sz w:val="20"/>
        </w:rPr>
        <w:t>the su</w:t>
      </w:r>
      <w:r>
        <w:rPr>
          <w:rFonts w:ascii="Times New Roman" w:eastAsia="Times New Roman" w:hAnsi="Times New Roman" w:cs="Times New Roman"/>
          <w:sz w:val="20"/>
        </w:rPr>
        <w:t>b</w:t>
      </w:r>
      <w:r>
        <w:rPr>
          <w:rFonts w:ascii="Times New Roman" w:eastAsia="Times New Roman" w:hAnsi="Times New Roman" w:cs="Times New Roman"/>
          <w:sz w:val="20"/>
        </w:rPr>
        <w:t xml:space="preserve">stantial increase in </w:t>
      </w:r>
      <w:r>
        <w:rPr>
          <w:rFonts w:ascii="Times New Roman" w:eastAsia="Times New Roman" w:hAnsi="Times New Roman" w:cs="Times New Roman"/>
          <w:sz w:val="20"/>
        </w:rPr>
        <w:t>cash balances</w:t>
      </w:r>
      <w:r>
        <w:rPr>
          <w:rFonts w:ascii="Times New Roman" w:eastAsia="Times New Roman" w:hAnsi="Times New Roman" w:cs="Times New Roman"/>
          <w:sz w:val="20"/>
        </w:rPr>
        <w:t>, as well</w:t>
      </w:r>
      <w:r>
        <w:rPr>
          <w:rFonts w:ascii="Times New Roman" w:eastAsia="Times New Roman" w:hAnsi="Times New Roman" w:cs="Times New Roman"/>
          <w:sz w:val="20"/>
        </w:rPr>
        <w:t xml:space="preserve"> as,</w:t>
      </w:r>
      <w:r>
        <w:rPr>
          <w:rFonts w:ascii="Times New Roman" w:eastAsia="Times New Roman" w:hAnsi="Times New Roman" w:cs="Times New Roman"/>
          <w:color w:val="1A1A1A"/>
          <w:sz w:val="20"/>
          <w:shd w:val="clear" w:color="auto" w:fill="FFFFFF"/>
        </w:rPr>
        <w:t xml:space="preserve"> currency exchange </w:t>
      </w:r>
      <w:r>
        <w:rPr>
          <w:rFonts w:ascii="Times New Roman" w:eastAsia="Times New Roman" w:hAnsi="Times New Roman" w:cs="Times New Roman"/>
          <w:color w:val="1A1A1A"/>
          <w:sz w:val="20"/>
          <w:shd w:val="clear" w:color="auto" w:fill="FFFFFF"/>
        </w:rPr>
        <w:t>gain</w:t>
      </w:r>
      <w:r>
        <w:rPr>
          <w:rFonts w:ascii="Times New Roman" w:eastAsia="Times New Roman" w:hAnsi="Times New Roman" w:cs="Times New Roman"/>
          <w:color w:val="1A1A1A"/>
          <w:sz w:val="20"/>
          <w:shd w:val="clear" w:color="auto" w:fill="FFFFFF"/>
        </w:rPr>
        <w:t xml:space="preserve">s on </w:t>
      </w:r>
      <w:r>
        <w:rPr>
          <w:rFonts w:ascii="Times New Roman" w:eastAsia="Times New Roman" w:hAnsi="Times New Roman" w:cs="Times New Roman"/>
          <w:sz w:val="20"/>
        </w:rPr>
        <w:t xml:space="preserve">our Canadian transactions </w:t>
      </w:r>
      <w:r>
        <w:rPr>
          <w:rFonts w:ascii="Times New Roman" w:eastAsia="Times New Roman" w:hAnsi="Times New Roman" w:cs="Times New Roman"/>
          <w:color w:val="1A1A1A"/>
          <w:sz w:val="20"/>
          <w:shd w:val="clear" w:color="auto" w:fill="FFFFFF"/>
        </w:rPr>
        <w:t>in</w:t>
      </w:r>
      <w:r>
        <w:rPr>
          <w:rFonts w:ascii="Times New Roman" w:eastAsia="Times New Roman" w:hAnsi="Times New Roman" w:cs="Times New Roman"/>
          <w:sz w:val="20"/>
        </w:rPr>
        <w:t xml:space="preserve"> 202</w:t>
      </w:r>
      <w:r>
        <w:rPr>
          <w:rFonts w:ascii="Times New Roman" w:eastAsia="Times New Roman" w:hAnsi="Times New Roman" w:cs="Times New Roman"/>
          <w:sz w:val="20"/>
        </w:rPr>
        <w:t>1 comp</w:t>
      </w:r>
      <w:r>
        <w:rPr>
          <w:rFonts w:ascii="Times New Roman" w:eastAsia="Times New Roman" w:hAnsi="Times New Roman" w:cs="Times New Roman"/>
          <w:sz w:val="20"/>
        </w:rPr>
        <w:t>ared with losses in 202</w:t>
      </w:r>
      <w:r>
        <w:rPr>
          <w:rFonts w:ascii="Times New Roman" w:eastAsia="Times New Roman" w:hAnsi="Times New Roman" w:cs="Times New Roman"/>
          <w:sz w:val="20"/>
        </w:rPr>
        <w:t>0</w:t>
      </w:r>
      <w:r>
        <w:rPr>
          <w:rFonts w:ascii="Times New Roman" w:eastAsia="Times New Roman" w:hAnsi="Times New Roman" w:cs="Times New Roman"/>
          <w:color w:val="1A1A1A"/>
          <w:sz w:val="20"/>
          <w:shd w:val="clear" w:color="auto" w:fill="FFFFFF"/>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Net Loss</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Net loss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$1,992,438</w:t>
      </w:r>
      <w:r>
        <w:rPr>
          <w:rFonts w:ascii="Times New Roman" w:eastAsia="Times New Roman" w:hAnsi="Times New Roman" w:cs="Times New Roman"/>
          <w:sz w:val="20"/>
        </w:rPr>
        <w:t xml:space="preserve">, a </w:t>
      </w:r>
      <w:r>
        <w:rPr>
          <w:rFonts w:ascii="Times New Roman" w:eastAsia="Times New Roman" w:hAnsi="Times New Roman" w:cs="Times New Roman"/>
          <w:sz w:val="20"/>
        </w:rPr>
        <w:t>$4,171,023</w:t>
      </w:r>
      <w:r>
        <w:rPr>
          <w:rFonts w:ascii="Times New Roman" w:eastAsia="Times New Roman" w:hAnsi="Times New Roman" w:cs="Times New Roman"/>
          <w:sz w:val="20"/>
        </w:rPr>
        <w:t xml:space="preserve"> </w:t>
      </w:r>
      <w:r>
        <w:rPr>
          <w:rFonts w:ascii="Times New Roman" w:eastAsia="Times New Roman" w:hAnsi="Times New Roman" w:cs="Times New Roman"/>
          <w:sz w:val="20"/>
        </w:rPr>
        <w:t>de</w:t>
      </w:r>
      <w:r>
        <w:rPr>
          <w:rFonts w:ascii="Times New Roman" w:eastAsia="Times New Roman" w:hAnsi="Times New Roman" w:cs="Times New Roman"/>
          <w:sz w:val="20"/>
        </w:rPr>
        <w:t xml:space="preserve">crease in the net loss of </w:t>
      </w:r>
      <w:r>
        <w:rPr>
          <w:rFonts w:ascii="Times New Roman" w:eastAsia="Times New Roman" w:hAnsi="Times New Roman" w:cs="Times New Roman"/>
          <w:sz w:val="20"/>
        </w:rPr>
        <w:t>$6,163,461</w:t>
      </w:r>
      <w:r>
        <w:rPr>
          <w:rFonts w:ascii="Times New Roman" w:eastAsia="Times New Roman" w:hAnsi="Times New Roman" w:cs="Times New Roman"/>
          <w:sz w:val="20"/>
        </w:rPr>
        <w:t xml:space="preserve"> for the same period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The </w:t>
      </w:r>
      <w:r>
        <w:rPr>
          <w:rFonts w:ascii="Times New Roman" w:eastAsia="Times New Roman" w:hAnsi="Times New Roman" w:cs="Times New Roman"/>
          <w:sz w:val="20"/>
        </w:rPr>
        <w:t>de</w:t>
      </w:r>
      <w:r>
        <w:rPr>
          <w:rFonts w:ascii="Times New Roman" w:eastAsia="Times New Roman" w:hAnsi="Times New Roman" w:cs="Times New Roman"/>
          <w:sz w:val="20"/>
        </w:rPr>
        <w:t xml:space="preserve">crease in net loss was primarily the result of the impairment </w:t>
      </w:r>
      <w:r>
        <w:rPr>
          <w:rFonts w:ascii="Times New Roman" w:eastAsia="Times New Roman" w:hAnsi="Times New Roman" w:cs="Times New Roman"/>
          <w:sz w:val="20"/>
        </w:rPr>
        <w:t xml:space="preserve">of goodwill </w:t>
      </w:r>
      <w:r>
        <w:rPr>
          <w:rFonts w:ascii="Times New Roman" w:eastAsia="Times New Roman" w:hAnsi="Times New Roman" w:cs="Times New Roman"/>
          <w:sz w:val="20"/>
        </w:rPr>
        <w:t xml:space="preserve">discussed above </w:t>
      </w:r>
      <w:r>
        <w:rPr>
          <w:rFonts w:ascii="Times New Roman" w:eastAsia="Times New Roman" w:hAnsi="Times New Roman" w:cs="Times New Roman"/>
          <w:sz w:val="20"/>
        </w:rPr>
        <w:t xml:space="preserve">partially </w:t>
      </w:r>
      <w:r>
        <w:rPr>
          <w:rFonts w:ascii="Times New Roman" w:eastAsia="Times New Roman" w:hAnsi="Times New Roman" w:cs="Times New Roman"/>
          <w:sz w:val="20"/>
        </w:rPr>
        <w:t xml:space="preserve">offset by </w:t>
      </w:r>
      <w:r>
        <w:rPr>
          <w:rFonts w:ascii="Times New Roman" w:eastAsia="Times New Roman" w:hAnsi="Times New Roman" w:cs="Times New Roman"/>
          <w:sz w:val="20"/>
        </w:rPr>
        <w:t xml:space="preserve">the </w:t>
      </w:r>
      <w:r>
        <w:rPr>
          <w:rFonts w:ascii="Times New Roman" w:eastAsia="Times New Roman" w:hAnsi="Times New Roman" w:cs="Times New Roman"/>
          <w:sz w:val="20"/>
        </w:rPr>
        <w:t>incr</w:t>
      </w:r>
      <w:r>
        <w:rPr>
          <w:rFonts w:ascii="Times New Roman" w:eastAsia="Times New Roman" w:hAnsi="Times New Roman" w:cs="Times New Roman"/>
          <w:sz w:val="20"/>
        </w:rPr>
        <w:t xml:space="preserve">ease in sales and marketing </w:t>
      </w:r>
      <w:r>
        <w:rPr>
          <w:rFonts w:ascii="Times New Roman" w:eastAsia="Times New Roman" w:hAnsi="Times New Roman" w:cs="Times New Roman"/>
          <w:sz w:val="20"/>
        </w:rPr>
        <w:t>and general and administrative</w:t>
      </w:r>
      <w:r>
        <w:rPr>
          <w:rFonts w:ascii="Times New Roman" w:eastAsia="Times New Roman" w:hAnsi="Times New Roman" w:cs="Times New Roman"/>
          <w:sz w:val="20"/>
        </w:rPr>
        <w:t xml:space="preserve"> </w:t>
      </w:r>
      <w:r>
        <w:rPr>
          <w:rFonts w:ascii="Times New Roman" w:eastAsia="Times New Roman" w:hAnsi="Times New Roman" w:cs="Times New Roman"/>
          <w:sz w:val="20"/>
        </w:rPr>
        <w:t>e</w:t>
      </w:r>
      <w:r>
        <w:rPr>
          <w:rFonts w:ascii="Times New Roman" w:eastAsia="Times New Roman" w:hAnsi="Times New Roman" w:cs="Times New Roman"/>
          <w:sz w:val="20"/>
        </w:rPr>
        <w:t>xp</w:t>
      </w:r>
      <w:r>
        <w:rPr>
          <w:rFonts w:ascii="Times New Roman" w:eastAsia="Times New Roman" w:hAnsi="Times New Roman" w:cs="Times New Roman"/>
          <w:sz w:val="20"/>
        </w:rPr>
        <w:t>enses</w:t>
      </w:r>
      <w:r>
        <w:rPr>
          <w:rFonts w:ascii="Times New Roman" w:eastAsia="Times New Roman" w:hAnsi="Times New Roman" w:cs="Times New Roman"/>
          <w:sz w:val="20"/>
        </w:rPr>
        <w:t xml:space="preserve"> </w:t>
      </w:r>
      <w:r>
        <w:rPr>
          <w:rFonts w:ascii="Times New Roman" w:eastAsia="Times New Roman" w:hAnsi="Times New Roman" w:cs="Times New Roman"/>
          <w:sz w:val="20"/>
        </w:rPr>
        <w:t>in 2021</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sz w:val="20"/>
        </w:rPr>
      </w:pPr>
      <w:bookmarkStart w:id="25" w:name="Section26"/>
      <w:bookmarkEnd w:id="25"/>
      <w:r>
        <w:rPr>
          <w:rFonts w:ascii="Times New Roman" w:eastAsia="Times New Roman" w:hAnsi="Times New Roman" w:cs="Times New Roman"/>
          <w:b/>
          <w:sz w:val="20"/>
        </w:rPr>
        <w:t>Key Metric</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review information provided by our key financial metric, gross billings, to assess the progress of our business and make decisions on where to allocate our resources. As our business evolves, we may make changes to the key financial metrics that we consider to measure our business in future periods.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Gross Billings by Revenue Type</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Company management evaluates our operations and makes strategic decisions based, in part, on our key metric of gross billings from our two primary types of revenue, Managed Services and SaaS Services. We define gross billings as the total dollar value of the amounts</w:t>
      </w:r>
      <w:r>
        <w:rPr>
          <w:rFonts w:ascii="Times New Roman" w:eastAsia="Times New Roman" w:hAnsi="Times New Roman" w:cs="Times New Roman"/>
          <w:sz w:val="20"/>
        </w:rPr>
        <w:t xml:space="preserve"> earned from</w:t>
      </w:r>
      <w:r>
        <w:rPr>
          <w:rFonts w:ascii="Times New Roman" w:eastAsia="Times New Roman" w:hAnsi="Times New Roman" w:cs="Times New Roman"/>
          <w:sz w:val="20"/>
        </w:rPr>
        <w:t xml:space="preserve"> our customers for the services we perform </w:t>
      </w:r>
      <w:r>
        <w:rPr>
          <w:rFonts w:ascii="Times New Roman" w:eastAsia="Times New Roman" w:hAnsi="Times New Roman" w:cs="Times New Roman"/>
          <w:sz w:val="20"/>
        </w:rPr>
        <w:t>or</w:t>
      </w:r>
      <w:r>
        <w:rPr>
          <w:rFonts w:ascii="Times New Roman" w:eastAsia="Times New Roman" w:hAnsi="Times New Roman" w:cs="Times New Roman"/>
          <w:sz w:val="20"/>
        </w:rPr>
        <w:t xml:space="preserve"> the amounts billed to our SaaS customers for their self-service purchase of goods and services on our platforms. The amounts billed to our SaaS customers are on a cost plus basis. Gross billings are the amounts of our reported revenue plus the cost of payments we made to third-party creators providing the content or sponsorship services, which are netted against revenue for generally accepted accounting principles in the United States (“GAAP”) reporting purposes.</w:t>
      </w:r>
    </w:p>
    <w:p>
      <w:pPr>
        <w:keepNext w:val="0"/>
        <w:keepLines w:val="0"/>
        <w:pageBreakBefore w:val="0"/>
        <w:widowControl w:val="0"/>
        <w:numPr>
          <w:ilvl w:val="0"/>
          <w:numId w:val="0"/>
        </w:numPr>
        <w:spacing w:before="0" w:after="0" w:line="288" w:lineRule="auto"/>
        <w:ind w:left="1080" w:right="18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Managed Services Gross Billings include the total dollar value of the amounts billed to our customers for the services we perform. </w:t>
      </w:r>
      <w:r>
        <w:rPr>
          <w:rFonts w:ascii="Times New Roman" w:eastAsia="Times New Roman" w:hAnsi="Times New Roman" w:cs="Times New Roman"/>
          <w:sz w:val="20"/>
        </w:rPr>
        <w:t xml:space="preserve">Gross billings for Managed Services are the same as Managed Services Revenue reported for those services in our consolidated statements of operations and comprehensive loss in accordance with </w:t>
      </w:r>
      <w:r>
        <w:rPr>
          <w:rFonts w:ascii="Times New Roman" w:eastAsia="Times New Roman" w:hAnsi="Times New Roman" w:cs="Times New Roman"/>
          <w:sz w:val="20"/>
        </w:rPr>
        <w:t>GAAP</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SaaS Service Gross Billings include the license and other fees together with the total amounts billed to our SaaS customers for their self-service purchase of goods and services on our platforms, termed ‘Marketplace Spend Fees’. </w:t>
      </w:r>
      <w:r>
        <w:rPr>
          <w:rFonts w:ascii="Times New Roman" w:eastAsia="Times New Roman" w:hAnsi="Times New Roman" w:cs="Times New Roman"/>
          <w:sz w:val="20"/>
        </w:rPr>
        <w:t>Our SaaS customers’ marketplace spend</w:t>
      </w:r>
      <w:r>
        <w:rPr>
          <w:rFonts w:ascii="Times New Roman" w:eastAsia="Times New Roman" w:hAnsi="Times New Roman" w:cs="Times New Roman"/>
          <w:sz w:val="20"/>
        </w:rPr>
        <w:t xml:space="preserve"> is billed on a cost-plus basis. SaaS Services Revenue includes the total of License and Other Fees </w:t>
      </w:r>
      <w:r>
        <w:rPr>
          <w:rFonts w:ascii="Times New Roman" w:eastAsia="Times New Roman" w:hAnsi="Times New Roman" w:cs="Times New Roman"/>
          <w:sz w:val="20"/>
        </w:rPr>
        <w:t xml:space="preserve">gross </w:t>
      </w:r>
      <w:r>
        <w:rPr>
          <w:rFonts w:ascii="Times New Roman" w:eastAsia="Times New Roman" w:hAnsi="Times New Roman" w:cs="Times New Roman"/>
          <w:sz w:val="20"/>
        </w:rPr>
        <w:t xml:space="preserve">billings, </w:t>
      </w:r>
      <w:r>
        <w:rPr>
          <w:rFonts w:ascii="Times New Roman" w:eastAsia="Times New Roman" w:hAnsi="Times New Roman" w:cs="Times New Roman"/>
          <w:sz w:val="20"/>
        </w:rPr>
        <w:t xml:space="preserve">plus </w:t>
      </w:r>
      <w:r>
        <w:rPr>
          <w:rFonts w:ascii="Times New Roman" w:eastAsia="Times New Roman" w:hAnsi="Times New Roman" w:cs="Times New Roman"/>
          <w:sz w:val="20"/>
        </w:rPr>
        <w:t>the</w:t>
      </w:r>
      <w:r>
        <w:rPr>
          <w:rFonts w:ascii="Times New Roman" w:eastAsia="Times New Roman" w:hAnsi="Times New Roman" w:cs="Times New Roman"/>
          <w:sz w:val="20"/>
        </w:rPr>
        <w:t xml:space="preserve"> Marketplace Spend Fees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gross billings netted </w:t>
      </w:r>
      <w:r>
        <w:rPr>
          <w:rFonts w:ascii="Times New Roman" w:eastAsia="Times New Roman" w:hAnsi="Times New Roman" w:cs="Times New Roman"/>
          <w:sz w:val="20"/>
        </w:rPr>
        <w:t>by</w:t>
      </w:r>
      <w:r>
        <w:rPr>
          <w:rFonts w:ascii="Times New Roman" w:eastAsia="Times New Roman" w:hAnsi="Times New Roman" w:cs="Times New Roman"/>
          <w:sz w:val="20"/>
        </w:rPr>
        <w:t xml:space="preserve"> our third-party creator costs </w:t>
      </w:r>
      <w:r>
        <w:rPr>
          <w:rFonts w:ascii="Times New Roman" w:eastAsia="Times New Roman" w:hAnsi="Times New Roman" w:cs="Times New Roman"/>
          <w:sz w:val="20"/>
        </w:rPr>
        <w:t xml:space="preserve">on those billings </w:t>
      </w:r>
      <w:r>
        <w:rPr>
          <w:rFonts w:ascii="Times New Roman" w:eastAsia="Times New Roman" w:hAnsi="Times New Roman" w:cs="Times New Roman"/>
          <w:sz w:val="20"/>
        </w:rPr>
        <w:t>in accordance with  GAAP.</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consider gross billings to be an important indicator of our potential performance as it measures the total dollar volume of transactions generated through our marketplaces. Tracking gross billings allows us to monitor the percentage of gross billings that we are able to retain after payments to our creators. Additionally, tracking gross billings is critical as it pertains to our credit risk and cash flow</w:t>
      </w:r>
      <w:r>
        <w:rPr>
          <w:rFonts w:ascii="Times New Roman" w:eastAsia="Times New Roman" w:hAnsi="Times New Roman" w:cs="Times New Roman"/>
          <w:sz w:val="20"/>
        </w:rPr>
        <w:t>s</w:t>
      </w:r>
      <w:r>
        <w:rPr>
          <w:rFonts w:ascii="Times New Roman" w:eastAsia="Times New Roman" w:hAnsi="Times New Roman" w:cs="Times New Roman"/>
          <w:sz w:val="20"/>
        </w:rPr>
        <w:t xml:space="preserve">. We invoice our customers based on </w:t>
      </w:r>
      <w:r>
        <w:rPr>
          <w:rFonts w:ascii="Times New Roman" w:eastAsia="Times New Roman" w:hAnsi="Times New Roman" w:cs="Times New Roman"/>
          <w:sz w:val="20"/>
        </w:rPr>
        <w:t xml:space="preserve">total </w:t>
      </w:r>
      <w:r>
        <w:rPr>
          <w:rFonts w:ascii="Times New Roman" w:eastAsia="Times New Roman" w:hAnsi="Times New Roman" w:cs="Times New Roman"/>
          <w:sz w:val="20"/>
        </w:rPr>
        <w:t>services performed or based on their self-service transactions plus our fee. Then we remit the agreed-upon transaction price to the creators. If we do not collect the money from our customers prior to the time of payment to our creators, we could experience large swings in our cash flows</w:t>
      </w:r>
      <w:r>
        <w:rPr>
          <w:rFonts w:ascii="Times New Roman" w:eastAsia="Times New Roman" w:hAnsi="Times New Roman" w:cs="Times New Roman"/>
          <w:sz w:val="20"/>
        </w:rPr>
        <w:t>.  Additionally, we incur the credit risk to collect amounts owed</w:t>
      </w:r>
      <w:r>
        <w:rPr>
          <w:rFonts w:ascii="Times New Roman" w:eastAsia="Times New Roman" w:hAnsi="Times New Roman" w:cs="Times New Roman"/>
          <w:sz w:val="20"/>
        </w:rPr>
        <w:t xml:space="preserve"> </w:t>
      </w:r>
      <w:r>
        <w:rPr>
          <w:rFonts w:ascii="Times New Roman" w:eastAsia="Times New Roman" w:hAnsi="Times New Roman" w:cs="Times New Roman"/>
          <w:sz w:val="20"/>
        </w:rPr>
        <w:t>from o</w:t>
      </w:r>
      <w:r>
        <w:rPr>
          <w:rFonts w:ascii="Times New Roman" w:eastAsia="Times New Roman" w:hAnsi="Times New Roman" w:cs="Times New Roman"/>
          <w:sz w:val="20"/>
        </w:rPr>
        <w:t>ur customers</w:t>
      </w:r>
      <w:r>
        <w:rPr>
          <w:rFonts w:ascii="Times New Roman" w:eastAsia="Times New Roman" w:hAnsi="Times New Roman" w:cs="Times New Roman"/>
          <w:sz w:val="20"/>
        </w:rPr>
        <w:t xml:space="preserve"> for all services performed by us or by the creators</w:t>
      </w:r>
      <w:r>
        <w:rPr>
          <w:rFonts w:ascii="Times New Roman" w:eastAsia="Times New Roman" w:hAnsi="Times New Roman" w:cs="Times New Roman"/>
          <w:sz w:val="20"/>
        </w:rPr>
        <w:t xml:space="preserve">. Finally, gross billings allow us to evaluate our transaction totals on an equal basis in order for us to see our contribution margins by revenue stream so that we can better understand where we should be allocating our resources.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18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tables set forth our gross billings by revenue type, the percentage of total gross billings by type, and the change between the periods: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0"/>
        <w:gridCol w:w="160"/>
        <w:gridCol w:w="865"/>
        <w:gridCol w:w="100"/>
        <w:gridCol w:w="1125"/>
        <w:gridCol w:w="75"/>
        <w:gridCol w:w="160"/>
        <w:gridCol w:w="865"/>
        <w:gridCol w:w="100"/>
        <w:gridCol w:w="1125"/>
        <w:gridCol w:w="75"/>
        <w:gridCol w:w="160"/>
        <w:gridCol w:w="865"/>
        <w:gridCol w:w="100"/>
        <w:gridCol w:w="112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3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575" w:type="dxa"/>
            <w:gridSpan w:val="9"/>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 March 31,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250" w:type="dxa"/>
            <w:gridSpan w:val="4"/>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250" w:type="dxa"/>
            <w:gridSpan w:val="4"/>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 Change</w:t>
            </w:r>
          </w:p>
        </w:tc>
        <w:tc>
          <w:tcPr>
            <w:tcW w:w="1125" w:type="dxa"/>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 Change</w:t>
            </w:r>
          </w:p>
        </w:tc>
      </w:tr>
      <w:tr>
        <w:tblPrEx>
          <w:tblW w:w="10465" w:type="dxa"/>
          <w:jc w:val="left"/>
          <w:tblInd w:w="0" w:type="dxa"/>
          <w:tblCellMar>
            <w:left w:w="108" w:type="dxa"/>
            <w:right w:w="108" w:type="dxa"/>
          </w:tblCellMar>
        </w:tblPrEx>
        <w:trPr>
          <w:cantSplit/>
          <w:trHeight w:hRule="exact" w:val="360"/>
          <w:jc w:val="left"/>
        </w:trPr>
        <w:tc>
          <w:tcPr>
            <w:tcW w:w="33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b/>
                <w:color w:val="000000"/>
                <w:sz w:val="20"/>
              </w:rPr>
              <w:t>Managed Services Gross Billings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4,872,034 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74%</w:t>
            </w: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4,125,061 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68%</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746,973 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18%</w:t>
            </w:r>
          </w:p>
        </w:tc>
      </w:tr>
      <w:tr>
        <w:tblPrEx>
          <w:tblW w:w="10465" w:type="dxa"/>
          <w:jc w:val="left"/>
          <w:tblInd w:w="0" w:type="dxa"/>
          <w:tblCellMar>
            <w:left w:w="108" w:type="dxa"/>
            <w:right w:w="108" w:type="dxa"/>
          </w:tblCellMar>
        </w:tblPrEx>
        <w:trPr>
          <w:cantSplit/>
          <w:trHeight w:hRule="exact" w:val="105"/>
          <w:jc w:val="left"/>
        </w:trPr>
        <w:tc>
          <w:tcPr>
            <w:tcW w:w="33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Marketplace Spend Fees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1,351,592 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20%</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1,499,774 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25%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(148,182)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(10)%</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License Fees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383,041 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6%</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451,548 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(68,507)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(15)%</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Other Fees</w:t>
            </w: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11,760 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20,766 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(9,006)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(43)%</w:t>
            </w:r>
          </w:p>
        </w:tc>
      </w:tr>
      <w:tr>
        <w:tblPrEx>
          <w:tblW w:w="10465" w:type="dxa"/>
          <w:jc w:val="left"/>
          <w:tblInd w:w="0" w:type="dxa"/>
          <w:tblCellMar>
            <w:left w:w="108" w:type="dxa"/>
            <w:right w:w="108" w:type="dxa"/>
          </w:tblCellMar>
        </w:tblPrEx>
        <w:trPr>
          <w:cantSplit/>
          <w:trHeight w:hRule="exact" w:val="360"/>
          <w:jc w:val="left"/>
        </w:trPr>
        <w:tc>
          <w:tcPr>
            <w:tcW w:w="336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b/>
                <w:color w:val="000000"/>
                <w:sz w:val="20"/>
              </w:rPr>
              <w:t>SaaS Services Gross Billings</w:t>
            </w: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1,746,393 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1125"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26%</w:t>
            </w: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1,972,088 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1125"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32%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(225,695)</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1125"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(11)%</w:t>
            </w:r>
          </w:p>
        </w:tc>
      </w:tr>
      <w:tr>
        <w:tblPrEx>
          <w:tblW w:w="10465" w:type="dxa"/>
          <w:jc w:val="left"/>
          <w:tblInd w:w="0" w:type="dxa"/>
          <w:tblCellMar>
            <w:left w:w="108" w:type="dxa"/>
            <w:right w:w="108" w:type="dxa"/>
          </w:tblCellMar>
        </w:tblPrEx>
        <w:trPr>
          <w:cantSplit/>
          <w:trHeight w:hRule="exact" w:val="405"/>
          <w:jc w:val="left"/>
        </w:trPr>
        <w:tc>
          <w:tcPr>
            <w:tcW w:w="336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left="360"/>
              <w:jc w:val="left"/>
            </w:pPr>
            <w:r>
              <w:rPr>
                <w:rFonts w:ascii="Times New Roman" w:eastAsia="Times New Roman" w:hAnsi="Times New Roman" w:cs="Times New Roman"/>
                <w:color w:val="000000"/>
                <w:sz w:val="20"/>
              </w:rPr>
              <w:t>Total Gross Billings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6,618,427 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112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40" w:lineRule="auto"/>
              <w:ind w:left="0" w:right="0"/>
              <w:jc w:val="center"/>
            </w:pPr>
            <w:r>
              <w:rPr>
                <w:rFonts w:ascii="Times New Roman" w:eastAsia="Times New Roman" w:hAnsi="Times New Roman" w:cs="Times New Roman"/>
                <w:color w:val="000000"/>
                <w:sz w:val="20"/>
              </w:rPr>
              <w:t>100%</w:t>
            </w: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6,097,149 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112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40" w:lineRule="auto"/>
              <w:ind w:left="0" w:right="0"/>
              <w:jc w:val="center"/>
            </w:pPr>
            <w:r>
              <w:rPr>
                <w:rFonts w:ascii="Times New Roman" w:eastAsia="Times New Roman" w:hAnsi="Times New Roman" w:cs="Times New Roman"/>
                <w:color w:val="000000"/>
                <w:sz w:val="20"/>
              </w:rPr>
              <w:t>100%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521,278 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112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40" w:lineRule="auto"/>
              <w:ind w:left="0" w:right="0"/>
              <w:jc w:val="center"/>
            </w:pPr>
            <w:r>
              <w:rPr>
                <w:rFonts w:ascii="Times New Roman" w:eastAsia="Times New Roman" w:hAnsi="Times New Roman" w:cs="Times New Roman"/>
                <w:color w:val="000000"/>
                <w:sz w:val="20"/>
              </w:rPr>
              <w:t>9%</w:t>
            </w:r>
          </w:p>
        </w:tc>
      </w:tr>
    </w:tbl>
    <w:p>
      <w:pPr>
        <w:keepNext w:val="0"/>
        <w:keepLines w:val="0"/>
        <w:pageBreakBefore w:val="0"/>
        <w:widowControl w:val="0"/>
        <w:numPr>
          <w:ilvl w:val="0"/>
          <w:numId w:val="0"/>
        </w:numPr>
        <w:spacing w:before="0" w:after="0" w:line="288" w:lineRule="auto"/>
        <w:ind w:left="0" w:right="18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180" w:firstLine="0"/>
        <w:jc w:val="left"/>
        <w:outlineLvl w:val="9"/>
        <w:rPr>
          <w:rFonts w:ascii="Times New Roman" w:eastAsia="Times New Roman" w:hAnsi="Times New Roman" w:cs="Times New Roman"/>
          <w:sz w:val="18"/>
          <w:vertAlign w:val="superscript"/>
        </w:rPr>
      </w:pPr>
    </w:p>
    <w:p>
      <w:pPr>
        <w:keepNext w:val="0"/>
        <w:keepLines w:val="0"/>
        <w:pageBreakBefore w:val="0"/>
        <w:widowControl w:val="0"/>
        <w:numPr>
          <w:ilvl w:val="0"/>
          <w:numId w:val="0"/>
        </w:numPr>
        <w:spacing w:before="0" w:after="0" w:line="288" w:lineRule="auto"/>
        <w:ind w:left="0" w:right="180" w:firstLine="0"/>
        <w:jc w:val="left"/>
        <w:outlineLvl w:val="9"/>
        <w:rPr>
          <w:rFonts w:ascii="Times New Roman" w:eastAsia="Times New Roman" w:hAnsi="Times New Roman" w:cs="Times New Roman"/>
          <w:b/>
          <w:sz w:val="18"/>
          <w:vertAlign w:val="superscript"/>
        </w:rPr>
      </w:pPr>
      <w:r>
        <w:rPr>
          <w:rFonts w:ascii="Times New Roman" w:eastAsia="Times New Roman" w:hAnsi="Times New Roman" w:cs="Times New Roman"/>
          <w:b/>
          <w:sz w:val="20"/>
        </w:rPr>
        <w:t>Non-GAAP Financial Measure</w:t>
      </w:r>
    </w:p>
    <w:p>
      <w:pPr>
        <w:keepNext w:val="0"/>
        <w:keepLines w:val="0"/>
        <w:pageBreakBefore w:val="0"/>
        <w:widowControl w:val="0"/>
        <w:numPr>
          <w:ilvl w:val="0"/>
          <w:numId w:val="0"/>
        </w:numPr>
        <w:spacing w:before="0" w:after="0" w:line="288" w:lineRule="auto"/>
        <w:ind w:left="0" w:right="18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Adjusted EBITDA</w:t>
      </w:r>
    </w:p>
    <w:p>
      <w:pPr>
        <w:keepNext/>
        <w:keepLines/>
        <w:pageBreakBefore w:val="0"/>
        <w:widowControl w:val="0"/>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Adjusted EBITDA is a “non-GAAP financial measure” </w:t>
      </w:r>
      <w:r>
        <w:rPr>
          <w:rFonts w:ascii="Times New Roman" w:eastAsia="Times New Roman" w:hAnsi="Times New Roman" w:cs="Times New Roman"/>
          <w:sz w:val="20"/>
        </w:rPr>
        <w:t xml:space="preserve">under the rules of the Securities and Exchange Commission (the “SEC”). We </w:t>
      </w:r>
      <w:r>
        <w:rPr>
          <w:rFonts w:ascii="Times New Roman" w:eastAsia="Times New Roman" w:hAnsi="Times New Roman" w:cs="Times New Roman"/>
          <w:sz w:val="20"/>
        </w:rPr>
        <w:t>define</w:t>
      </w:r>
      <w:r>
        <w:rPr>
          <w:rFonts w:ascii="Times New Roman" w:eastAsia="Times New Roman" w:hAnsi="Times New Roman" w:cs="Times New Roman"/>
          <w:sz w:val="20"/>
        </w:rPr>
        <w:t xml:space="preserve"> Adjusted EBITDA </w:t>
      </w:r>
      <w:r>
        <w:rPr>
          <w:rFonts w:ascii="Times New Roman" w:eastAsia="Times New Roman" w:hAnsi="Times New Roman" w:cs="Times New Roman"/>
          <w:sz w:val="20"/>
        </w:rPr>
        <w:t>as</w:t>
      </w:r>
      <w:r>
        <w:rPr>
          <w:rFonts w:ascii="Times New Roman" w:eastAsia="Times New Roman" w:hAnsi="Times New Roman" w:cs="Times New Roman"/>
          <w:sz w:val="20"/>
        </w:rPr>
        <w:t xml:space="preserve"> earnings or loss before interest, taxes, depreciation and amortization, non-cash stock-based compensation, gain or loss on asset disposals or impairment, </w:t>
      </w:r>
      <w:r>
        <w:rPr>
          <w:rFonts w:ascii="Times New Roman" w:eastAsia="Times New Roman" w:hAnsi="Times New Roman" w:cs="Times New Roman"/>
          <w:sz w:val="20"/>
        </w:rPr>
        <w:t xml:space="preserve">and certain other unusual or non-cash income and expense items such as gains or losses on settlement of liabilities and exchanges, and changes in the fair value of derivatives, if applicable. </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use Adjusted EBITDA as a measure of operating performance, for planning purposes, to allocate resources to enhance the financial performance of our business, and in communications with our Board of Directors regarding our financial performance. We believe that Adjusted EBITDA also provides useful information to investors as it </w:t>
      </w:r>
      <w:r>
        <w:rPr>
          <w:rFonts w:ascii="Times New Roman" w:eastAsia="Times New Roman" w:hAnsi="Times New Roman" w:cs="Times New Roman"/>
          <w:sz w:val="20"/>
        </w:rPr>
        <w:t xml:space="preserve">primarily </w:t>
      </w:r>
      <w:r>
        <w:rPr>
          <w:rFonts w:ascii="Times New Roman" w:eastAsia="Times New Roman" w:hAnsi="Times New Roman" w:cs="Times New Roman"/>
          <w:sz w:val="20"/>
        </w:rPr>
        <w:t>excludes</w:t>
      </w:r>
      <w:r>
        <w:rPr>
          <w:rFonts w:ascii="Times New Roman" w:eastAsia="Times New Roman" w:hAnsi="Times New Roman" w:cs="Times New Roman"/>
          <w:sz w:val="20"/>
        </w:rPr>
        <w:t xml:space="preserve"> non-cash</w:t>
      </w:r>
      <w:r>
        <w:rPr>
          <w:rFonts w:ascii="Times New Roman" w:eastAsia="Times New Roman" w:hAnsi="Times New Roman" w:cs="Times New Roman"/>
          <w:sz w:val="20"/>
        </w:rPr>
        <w:t xml:space="preserve"> transactions</w:t>
      </w:r>
      <w:r>
        <w:rPr>
          <w:rFonts w:ascii="Times New Roman" w:eastAsia="Times New Roman" w:hAnsi="Times New Roman" w:cs="Times New Roman"/>
          <w:sz w:val="20"/>
        </w:rPr>
        <w:t>,</w:t>
      </w:r>
      <w:r>
        <w:rPr>
          <w:rFonts w:ascii="Times New Roman" w:eastAsia="Times New Roman" w:hAnsi="Times New Roman" w:cs="Times New Roman"/>
          <w:sz w:val="20"/>
        </w:rPr>
        <w:t xml:space="preserve"> and it provides consistency to facilitate period-to-period comparisons. </w:t>
      </w:r>
      <w:r>
        <w:rPr>
          <w:rFonts w:ascii="Times New Roman" w:eastAsia="Times New Roman" w:hAnsi="Times New Roman" w:cs="Times New Roman"/>
          <w:sz w:val="20"/>
        </w:rPr>
        <w:t xml:space="preserve"> </w:t>
      </w:r>
    </w:p>
    <w:p>
      <w:pPr>
        <w:keepNext w:val="0"/>
        <w:keepLines w:val="0"/>
        <w:pageBreakBefore w:val="0"/>
        <w:widowControl w:val="0"/>
        <w:numPr>
          <w:ilvl w:val="0"/>
          <w:numId w:val="0"/>
        </w:numPr>
        <w:spacing w:before="0" w:after="0" w:line="288" w:lineRule="auto"/>
        <w:ind w:left="0" w:right="18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b/>
          <w:sz w:val="20"/>
          <w:shd w:val="clear" w:color="auto" w:fill="FFFF00"/>
        </w:rPr>
      </w:pPr>
      <w:r>
        <w:rPr>
          <w:rFonts w:ascii="Times New Roman" w:eastAsia="Times New Roman" w:hAnsi="Times New Roman" w:cs="Times New Roman"/>
          <w:sz w:val="20"/>
        </w:rPr>
        <w:t xml:space="preserve">All companies do not calculate Adjusted EBITDA in the same manner, and Adjusted EBITDA as presented by us may not be comparable to Adjusted EBITDA presented by other companies, which limits its usefulness as a comparative measure. Moreover, Adjusted EBITDA has limitations as an analytical tool, and you should not consider it in isolation or as a substitute for an analysis of our results of operations as under GAAP. These limitations are </w:t>
      </w:r>
      <w:r>
        <w:rPr>
          <w:rFonts w:ascii="Times New Roman" w:eastAsia="Times New Roman" w:hAnsi="Times New Roman" w:cs="Times New Roman"/>
          <w:sz w:val="20"/>
        </w:rPr>
        <w:t>described further in the “Management’s Discussion and Analysis of Financial Condition and Results of Operations” section our Annual Report on Form 10-K for the fiscal year ended December 31,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sets forth a reconciliation from the GAAP measurement of net loss to our non-GAAP financial measure of Adjusted EBITDA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2020</w:t>
      </w:r>
      <w:r>
        <w:rPr>
          <w:rFonts w:ascii="Times New Roman" w:eastAsia="Times New Roman" w:hAnsi="Times New Roman" w:cs="Times New Roman"/>
          <w:sz w:val="20"/>
        </w:rPr>
        <w:t>:</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00"/>
        <w:gridCol w:w="75"/>
        <w:gridCol w:w="160"/>
        <w:gridCol w:w="1345"/>
        <w:gridCol w:w="100"/>
        <w:gridCol w:w="75"/>
        <w:gridCol w:w="160"/>
        <w:gridCol w:w="134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center"/>
        </w:trPr>
        <w:tc>
          <w:tcPr>
            <w:tcW w:w="6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Three Months Ended March 31,</w:t>
            </w:r>
          </w:p>
        </w:tc>
      </w:tr>
      <w:tr>
        <w:tblPrEx>
          <w:tblW w:w="10465" w:type="dxa"/>
          <w:jc w:val="center"/>
          <w:tblInd w:w="0" w:type="dxa"/>
          <w:tblCellMar>
            <w:left w:w="108" w:type="dxa"/>
            <w:right w:w="108" w:type="dxa"/>
          </w:tblCellMar>
        </w:tblPrEx>
        <w:trPr>
          <w:cantSplit/>
          <w:trHeight w:hRule="exact" w:val="300"/>
          <w:jc w:val="center"/>
        </w:trPr>
        <w:tc>
          <w:tcPr>
            <w:tcW w:w="690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2020</w:t>
            </w: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Net loss</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(1,992,438)</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(6,163,461)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Non-cash 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197,986 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129,571 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Non-cash stock issued for payment of services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34,696 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31,250 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Interest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13,793 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6,618 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Depreciation and amortization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365,529 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501,269 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Impairment of goodwill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Other non-cash items</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(7,914)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Adjusted EBITDA</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(1,388,348)</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(1,194,753)</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180"/>
          <w:jc w:val="center"/>
        </w:trPr>
        <w:tc>
          <w:tcPr>
            <w:tcW w:w="69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5"/>
              <w:jc w:val="left"/>
            </w:pPr>
            <w:r>
              <w:rPr>
                <w:rFonts w:ascii="Times New Roman" w:eastAsia="Times New Roman" w:hAnsi="Times New Roman" w:cs="Times New Roman"/>
                <w:color w:val="000000"/>
                <w:sz w:val="20"/>
              </w:rPr>
              <w:t>Revenue</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5,375,632 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4,763,668 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center"/>
          <w:tblInd w:w="0" w:type="dxa"/>
          <w:tblCellMar>
            <w:left w:w="108" w:type="dxa"/>
            <w:right w:w="108" w:type="dxa"/>
          </w:tblCellMar>
        </w:tblPrEx>
        <w:trPr>
          <w:cantSplit/>
          <w:trHeight w:hRule="exact" w:val="300"/>
          <w:jc w:val="center"/>
        </w:trPr>
        <w:tc>
          <w:tcPr>
            <w:tcW w:w="6900" w:type="dxa"/>
            <w:tcBorders>
              <w:top w:val="doub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color w:val="000000"/>
                <w:sz w:val="20"/>
              </w:rPr>
              <w:t>Adjusted EBITDA as a % of Revenue</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(26)</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(25)</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r>
    </w:tbl>
    <w:p>
      <w:pPr>
        <w:keepNext w:val="0"/>
        <w:keepLines/>
        <w:pageBreakBefore w:val="0"/>
        <w:widowControl w:val="0"/>
        <w:numPr>
          <w:ilvl w:val="0"/>
          <w:numId w:val="0"/>
        </w:numPr>
        <w:spacing w:before="100" w:after="0" w:line="288" w:lineRule="auto"/>
        <w:ind w:left="0" w:right="0" w:firstLine="0"/>
        <w:jc w:val="center"/>
        <w:outlineLvl w:val="9"/>
        <w:rPr>
          <w:rFonts w:ascii="Times New Roman" w:eastAsia="Times New Roman" w:hAnsi="Times New Roman" w:cs="Times New Roman"/>
          <w:sz w:val="20"/>
        </w:rPr>
      </w:pPr>
    </w:p>
    <w:p>
      <w:pPr>
        <w:keepNext w:val="0"/>
        <w:keepLines/>
        <w:pageBreakBefore w:val="0"/>
        <w:widowControl w:val="0"/>
        <w:numPr>
          <w:ilvl w:val="0"/>
          <w:numId w:val="0"/>
        </w:numPr>
        <w:spacing w:before="100" w:after="0" w:line="288" w:lineRule="auto"/>
        <w:ind w:left="0" w:right="0" w:firstLine="0"/>
        <w:jc w:val="center"/>
        <w:outlineLvl w:val="9"/>
        <w:rPr>
          <w:rFonts w:ascii="Times New Roman" w:eastAsia="Times New Roman" w:hAnsi="Times New Roman" w:cs="Times New Roman"/>
          <w:sz w:val="20"/>
        </w:rPr>
      </w:pPr>
    </w:p>
    <w:p>
      <w:pPr>
        <w:keepNext w:val="0"/>
        <w:keepLines/>
        <w:pageBreakBefore w:val="0"/>
        <w:widowControl w:val="0"/>
        <w:numPr>
          <w:ilvl w:val="0"/>
          <w:numId w:val="0"/>
        </w:numPr>
        <w:spacing w:before="100" w:after="0" w:line="288" w:lineRule="auto"/>
        <w:ind w:left="0" w:right="0" w:firstLine="0"/>
        <w:jc w:val="center"/>
        <w:outlineLvl w:val="9"/>
        <w:rPr>
          <w:rFonts w:ascii="Times New Roman" w:eastAsia="Times New Roman" w:hAnsi="Times New Roman" w:cs="Times New Roman"/>
          <w:sz w:val="20"/>
        </w:rPr>
        <w:sectPr>
          <w:type w:val="continuous"/>
          <w:pgSz w:w="12240" w:h="15840"/>
          <w:pgMar w:top="855" w:right="990" w:bottom="855" w:left="990" w:header="270" w:footer="270"/>
          <w:cols w:space="708"/>
        </w:sectPr>
      </w:pPr>
    </w:p>
    <w:p>
      <w:pPr>
        <w:keepNext/>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sz w:val="20"/>
        </w:rPr>
      </w:pPr>
      <w:bookmarkStart w:id="26" w:name="Section27"/>
      <w:bookmarkEnd w:id="26"/>
      <w:r>
        <w:rPr>
          <w:rFonts w:ascii="Times New Roman" w:eastAsia="Times New Roman" w:hAnsi="Times New Roman" w:cs="Times New Roman"/>
          <w:b/>
          <w:sz w:val="20"/>
        </w:rPr>
        <w:t>Liquidity and Capital Resources</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had cash and cash equivalents of </w:t>
      </w:r>
      <w:r>
        <w:rPr>
          <w:rFonts w:ascii="Times New Roman" w:eastAsia="Times New Roman" w:hAnsi="Times New Roman" w:cs="Times New Roman"/>
          <w:sz w:val="20"/>
        </w:rPr>
        <w:t>$65,465,588</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as compared to </w:t>
      </w:r>
      <w:r>
        <w:rPr>
          <w:rFonts w:ascii="Times New Roman" w:eastAsia="Times New Roman" w:hAnsi="Times New Roman" w:cs="Times New Roman"/>
          <w:sz w:val="20"/>
        </w:rPr>
        <w:t>$33,045,225</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 increase of </w:t>
      </w:r>
      <w:r>
        <w:rPr>
          <w:rFonts w:ascii="Times New Roman" w:eastAsia="Times New Roman" w:hAnsi="Times New Roman" w:cs="Times New Roman"/>
          <w:sz w:val="20"/>
        </w:rPr>
        <w:t>$32,420,363</w:t>
      </w:r>
      <w:r>
        <w:rPr>
          <w:rFonts w:ascii="Times New Roman" w:eastAsia="Times New Roman" w:hAnsi="Times New Roman" w:cs="Times New Roman"/>
          <w:sz w:val="20"/>
        </w:rPr>
        <w:t xml:space="preserve">, primarily due to net proceeds received from the sale of our </w:t>
      </w:r>
      <w:r>
        <w:rPr>
          <w:rFonts w:ascii="Times New Roman" w:eastAsia="Times New Roman" w:hAnsi="Times New Roman" w:cs="Times New Roman"/>
          <w:sz w:val="20"/>
        </w:rPr>
        <w:t>common stock</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partly </w:t>
      </w:r>
      <w:r>
        <w:rPr>
          <w:rFonts w:ascii="Times New Roman" w:eastAsia="Times New Roman" w:hAnsi="Times New Roman" w:cs="Times New Roman"/>
          <w:sz w:val="20"/>
        </w:rPr>
        <w:t>offset by operating losses. We have incurred significant net losses and negative cash flow from operations for most periods since our inception</w:t>
      </w:r>
      <w:r>
        <w:rPr>
          <w:rFonts w:ascii="Times New Roman" w:eastAsia="Times New Roman" w:hAnsi="Times New Roman" w:cs="Times New Roman"/>
          <w:sz w:val="20"/>
        </w:rPr>
        <w:t xml:space="preserve"> in 2006</w:t>
      </w:r>
      <w:r>
        <w:rPr>
          <w:rFonts w:ascii="Times New Roman" w:eastAsia="Times New Roman" w:hAnsi="Times New Roman" w:cs="Times New Roman"/>
          <w:sz w:val="20"/>
        </w:rPr>
        <w:t xml:space="preserve">, which has resulted in a total accumulated deficit of </w:t>
      </w:r>
      <w:r>
        <w:rPr>
          <w:rFonts w:ascii="Times New Roman" w:eastAsia="Times New Roman" w:hAnsi="Times New Roman" w:cs="Times New Roman"/>
          <w:sz w:val="20"/>
        </w:rPr>
        <w:t>$72,627,214</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To date, we have financed our operations through revenue from operations, </w:t>
      </w:r>
      <w:r>
        <w:rPr>
          <w:rFonts w:ascii="Times New Roman" w:eastAsia="Times New Roman" w:hAnsi="Times New Roman" w:cs="Times New Roman"/>
          <w:sz w:val="20"/>
        </w:rPr>
        <w:t>the sale of our equity securities</w:t>
      </w:r>
      <w:r>
        <w:rPr>
          <w:rFonts w:ascii="Times New Roman" w:eastAsia="Times New Roman" w:hAnsi="Times New Roman" w:cs="Times New Roman"/>
          <w:sz w:val="20"/>
        </w:rPr>
        <w:t xml:space="preserve">, </w:t>
      </w:r>
      <w:r>
        <w:rPr>
          <w:rFonts w:ascii="Times New Roman" w:eastAsia="Times New Roman" w:hAnsi="Times New Roman" w:cs="Times New Roman"/>
          <w:sz w:val="20"/>
        </w:rPr>
        <w:t>proceeds from the PPP Loan</w:t>
      </w:r>
      <w:r>
        <w:rPr>
          <w:rFonts w:ascii="Times New Roman" w:eastAsia="Times New Roman" w:hAnsi="Times New Roman" w:cs="Times New Roman"/>
          <w:sz w:val="20"/>
        </w:rPr>
        <w:t>,</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borrowings under our secured credit facility</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Cash used for operating activities was </w:t>
      </w:r>
      <w:r>
        <w:rPr>
          <w:rFonts w:ascii="Times New Roman" w:eastAsia="Times New Roman" w:hAnsi="Times New Roman" w:cs="Times New Roman"/>
          <w:sz w:val="20"/>
        </w:rPr>
        <w:t>$829,707</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and is primarily the result of</w:t>
      </w:r>
      <w:r>
        <w:rPr>
          <w:rFonts w:ascii="Times New Roman" w:eastAsia="Times New Roman" w:hAnsi="Times New Roman" w:cs="Times New Roman"/>
          <w:sz w:val="20"/>
        </w:rPr>
        <w:t xml:space="preserve"> </w:t>
      </w:r>
      <w:r>
        <w:rPr>
          <w:rFonts w:ascii="Times New Roman" w:eastAsia="Times New Roman" w:hAnsi="Times New Roman" w:cs="Times New Roman"/>
          <w:sz w:val="20"/>
        </w:rPr>
        <w:t>operating losses</w:t>
      </w:r>
      <w:r>
        <w:rPr>
          <w:rFonts w:ascii="Times New Roman" w:eastAsia="Times New Roman" w:hAnsi="Times New Roman" w:cs="Times New Roman"/>
          <w:sz w:val="20"/>
        </w:rPr>
        <w:t xml:space="preserve"> during the period</w:t>
      </w:r>
      <w:r>
        <w:rPr>
          <w:rFonts w:ascii="Times New Roman" w:eastAsia="Times New Roman" w:hAnsi="Times New Roman" w:cs="Times New Roman"/>
          <w:sz w:val="20"/>
        </w:rPr>
        <w:t xml:space="preserve">. Net cash used for investing activities was </w:t>
      </w:r>
      <w:r>
        <w:rPr>
          <w:rFonts w:ascii="Times New Roman" w:eastAsia="Times New Roman" w:hAnsi="Times New Roman" w:cs="Times New Roman"/>
          <w:sz w:val="20"/>
        </w:rPr>
        <w:t>$13,217</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due to </w:t>
      </w:r>
      <w:r>
        <w:rPr>
          <w:rFonts w:ascii="Times New Roman" w:eastAsia="Times New Roman" w:hAnsi="Times New Roman" w:cs="Times New Roman"/>
          <w:sz w:val="20"/>
        </w:rPr>
        <w:t>pu</w:t>
      </w:r>
      <w:r>
        <w:rPr>
          <w:rFonts w:ascii="Times New Roman" w:eastAsia="Times New Roman" w:hAnsi="Times New Roman" w:cs="Times New Roman"/>
          <w:sz w:val="20"/>
        </w:rPr>
        <w:t>rchase</w:t>
      </w:r>
      <w:r>
        <w:rPr>
          <w:rFonts w:ascii="Times New Roman" w:eastAsia="Times New Roman" w:hAnsi="Times New Roman" w:cs="Times New Roman"/>
          <w:sz w:val="20"/>
        </w:rPr>
        <w:t>s</w:t>
      </w:r>
      <w:r>
        <w:rPr>
          <w:rFonts w:ascii="Times New Roman" w:eastAsia="Times New Roman" w:hAnsi="Times New Roman" w:cs="Times New Roman"/>
          <w:sz w:val="20"/>
        </w:rPr>
        <w:t xml:space="preserve"> and sales of our fixed assets</w:t>
      </w:r>
      <w:r>
        <w:rPr>
          <w:rFonts w:ascii="Times New Roman" w:eastAsia="Times New Roman" w:hAnsi="Times New Roman" w:cs="Times New Roman"/>
          <w:sz w:val="20"/>
        </w:rPr>
        <w:t xml:space="preserve">. Net cash provided by financing activities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was </w:t>
      </w:r>
      <w:r>
        <w:rPr>
          <w:rFonts w:ascii="Times New Roman" w:eastAsia="Times New Roman" w:hAnsi="Times New Roman" w:cs="Times New Roman"/>
          <w:sz w:val="20"/>
        </w:rPr>
        <w:t>$33,263,287</w:t>
      </w:r>
      <w:r>
        <w:rPr>
          <w:rFonts w:ascii="Times New Roman" w:eastAsia="Times New Roman" w:hAnsi="Times New Roman" w:cs="Times New Roman"/>
          <w:sz w:val="20"/>
        </w:rPr>
        <w:t xml:space="preserve">, which consisted primarily of net proceeds of approximately </w:t>
      </w:r>
      <w:r>
        <w:rPr>
          <w:rFonts w:ascii="Times New Roman" w:eastAsia="Times New Roman" w:hAnsi="Times New Roman" w:cs="Times New Roman"/>
          <w:sz w:val="20"/>
        </w:rPr>
        <w:t>$33.6 million</w:t>
      </w:r>
      <w:r>
        <w:rPr>
          <w:rFonts w:ascii="Times New Roman" w:eastAsia="Times New Roman" w:hAnsi="Times New Roman" w:cs="Times New Roman"/>
          <w:sz w:val="20"/>
        </w:rPr>
        <w:t xml:space="preserve"> from the sale of our </w:t>
      </w:r>
      <w:r>
        <w:rPr>
          <w:rFonts w:ascii="Times New Roman" w:eastAsia="Times New Roman" w:hAnsi="Times New Roman" w:cs="Times New Roman"/>
          <w:sz w:val="20"/>
        </w:rPr>
        <w:t>common stock</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76" w:lineRule="auto"/>
        <w:ind w:left="0" w:right="0" w:firstLine="0"/>
        <w:jc w:val="both"/>
        <w:outlineLvl w:val="9"/>
        <w:rPr>
          <w:rFonts w:ascii="Times New Roman" w:eastAsia="Times New Roman" w:hAnsi="Times New Roman" w:cs="Times New Roman"/>
          <w:b/>
          <w:i/>
          <w:color w:val="1A1A1A"/>
          <w:sz w:val="20"/>
          <w:shd w:val="clear" w:color="auto" w:fill="FFFFFF"/>
        </w:rPr>
      </w:pPr>
      <w:r>
        <w:rPr>
          <w:rFonts w:ascii="Times New Roman" w:eastAsia="Times New Roman" w:hAnsi="Times New Roman" w:cs="Times New Roman"/>
          <w:b/>
          <w:i/>
          <w:sz w:val="20"/>
        </w:rPr>
        <w:t>At the Market (ATM) Offering</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On June 4, 2020 and January 25, 2021, we entered into ATM Sales Agreements</w:t>
      </w:r>
      <w:r>
        <w:rPr>
          <w:rFonts w:ascii="Times New Roman" w:eastAsia="Times New Roman" w:hAnsi="Times New Roman" w:cs="Times New Roman"/>
          <w:sz w:val="20"/>
        </w:rPr>
        <w:t xml:space="preserve"> </w:t>
      </w:r>
      <w:r>
        <w:rPr>
          <w:rFonts w:ascii="Times New Roman" w:eastAsia="Times New Roman" w:hAnsi="Times New Roman" w:cs="Times New Roman"/>
          <w:sz w:val="20"/>
        </w:rPr>
        <w:t>with National Securities Corporation, as sales agent</w:t>
      </w:r>
      <w:r>
        <w:rPr>
          <w:rFonts w:ascii="Times New Roman" w:eastAsia="Times New Roman" w:hAnsi="Times New Roman" w:cs="Times New Roman"/>
          <w:sz w:val="20"/>
        </w:rPr>
        <w:t xml:space="preserve"> (“National Securities”)</w:t>
      </w:r>
      <w:r>
        <w:rPr>
          <w:rFonts w:ascii="Times New Roman" w:eastAsia="Times New Roman" w:hAnsi="Times New Roman" w:cs="Times New Roman"/>
          <w:sz w:val="20"/>
        </w:rPr>
        <w:t xml:space="preserve">, pursuant to which we </w:t>
      </w:r>
      <w:r>
        <w:rPr>
          <w:rFonts w:ascii="Times New Roman" w:eastAsia="Times New Roman" w:hAnsi="Times New Roman" w:cs="Times New Roman"/>
          <w:sz w:val="20"/>
        </w:rPr>
        <w:t>co</w:t>
      </w:r>
      <w:r>
        <w:rPr>
          <w:rFonts w:ascii="Times New Roman" w:eastAsia="Times New Roman" w:hAnsi="Times New Roman" w:cs="Times New Roman"/>
          <w:sz w:val="20"/>
        </w:rPr>
        <w:t>uld</w:t>
      </w:r>
      <w:r>
        <w:rPr>
          <w:rFonts w:ascii="Times New Roman" w:eastAsia="Times New Roman" w:hAnsi="Times New Roman" w:cs="Times New Roman"/>
          <w:sz w:val="20"/>
        </w:rPr>
        <w:t xml:space="preserve"> offer and sell</w:t>
      </w:r>
      <w:r>
        <w:rPr>
          <w:rFonts w:ascii="Times New Roman" w:eastAsia="Times New Roman" w:hAnsi="Times New Roman" w:cs="Times New Roman"/>
          <w:sz w:val="20"/>
        </w:rPr>
        <w:t xml:space="preserve"> </w:t>
      </w:r>
      <w:r>
        <w:rPr>
          <w:rFonts w:ascii="Times New Roman" w:eastAsia="Times New Roman" w:hAnsi="Times New Roman" w:cs="Times New Roman"/>
          <w:sz w:val="20"/>
        </w:rPr>
        <w:t>shares of our common stock</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through National Securities, </w:t>
      </w:r>
      <w:r>
        <w:rPr>
          <w:rFonts w:ascii="Times New Roman" w:eastAsia="Times New Roman" w:hAnsi="Times New Roman" w:cs="Times New Roman"/>
          <w:sz w:val="20"/>
        </w:rPr>
        <w:t>by any method deemed to be an “at the market offering” as defined in Rule 415 under the Securities Act of 1933, as amended</w:t>
      </w:r>
      <w:r>
        <w:rPr>
          <w:rFonts w:ascii="Times New Roman" w:eastAsia="Times New Roman" w:hAnsi="Times New Roman" w:cs="Times New Roman"/>
          <w:sz w:val="20"/>
        </w:rPr>
        <w:t>, for aggregate purchase prices of up to $40,000,000 and $35,000,000, respectively</w:t>
      </w:r>
      <w:r>
        <w:rPr>
          <w:rFonts w:ascii="Times New Roman" w:eastAsia="Times New Roman" w:hAnsi="Times New Roman" w:cs="Times New Roman"/>
          <w:sz w:val="20"/>
        </w:rPr>
        <w:t xml:space="preserve"> </w:t>
      </w:r>
      <w:r>
        <w:rPr>
          <w:rFonts w:ascii="Times New Roman" w:eastAsia="Times New Roman" w:hAnsi="Times New Roman" w:cs="Times New Roman"/>
          <w:sz w:val="20"/>
        </w:rPr>
        <w:t>(the “ATM Offering</w:t>
      </w:r>
      <w:r>
        <w:rPr>
          <w:rFonts w:ascii="Times New Roman" w:eastAsia="Times New Roman" w:hAnsi="Times New Roman" w:cs="Times New Roman"/>
          <w:sz w:val="20"/>
        </w:rPr>
        <w:t>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March 31, 2021</w:t>
      </w:r>
      <w:r>
        <w:rPr>
          <w:rFonts w:ascii="Times New Roman" w:eastAsia="Times New Roman" w:hAnsi="Times New Roman" w:cs="Times New Roman"/>
          <w:sz w:val="20"/>
        </w:rPr>
        <w:t>, we</w:t>
      </w:r>
      <w:r>
        <w:rPr>
          <w:rFonts w:ascii="Times New Roman" w:eastAsia="Times New Roman" w:hAnsi="Times New Roman" w:cs="Times New Roman"/>
          <w:sz w:val="20"/>
        </w:rPr>
        <w:t xml:space="preserve"> sold </w:t>
      </w:r>
      <w:r>
        <w:rPr>
          <w:rFonts w:ascii="Times New Roman" w:eastAsia="Times New Roman" w:hAnsi="Times New Roman" w:cs="Times New Roman"/>
          <w:sz w:val="20"/>
        </w:rPr>
        <w:t>8,701,691</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$3.95</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per share for total gross proceeds of </w:t>
      </w:r>
      <w:r>
        <w:rPr>
          <w:rFonts w:ascii="Times New Roman" w:eastAsia="Times New Roman" w:hAnsi="Times New Roman" w:cs="Times New Roman"/>
          <w:sz w:val="20"/>
        </w:rPr>
        <w:t>$34,358,012</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From </w:t>
      </w:r>
      <w:r>
        <w:rPr>
          <w:rFonts w:ascii="Times New Roman" w:eastAsia="Times New Roman" w:hAnsi="Times New Roman" w:cs="Times New Roman"/>
          <w:sz w:val="20"/>
        </w:rPr>
        <w:t>June</w:t>
      </w:r>
      <w:r>
        <w:rPr>
          <w:rFonts w:ascii="Times New Roman" w:eastAsia="Times New Roman" w:hAnsi="Times New Roman" w:cs="Times New Roman"/>
          <w:sz w:val="20"/>
        </w:rPr>
        <w:t xml:space="preserve"> </w:t>
      </w:r>
      <w:r>
        <w:rPr>
          <w:rFonts w:ascii="Times New Roman" w:eastAsia="Times New Roman" w:hAnsi="Times New Roman" w:cs="Times New Roman"/>
          <w:sz w:val="20"/>
        </w:rPr>
        <w:t>4</w:t>
      </w:r>
      <w:r>
        <w:rPr>
          <w:rFonts w:ascii="Times New Roman" w:eastAsia="Times New Roman" w:hAnsi="Times New Roman" w:cs="Times New Roman"/>
          <w:sz w:val="20"/>
        </w:rPr>
        <w:t>, 202</w:t>
      </w:r>
      <w:r>
        <w:rPr>
          <w:rFonts w:ascii="Times New Roman" w:eastAsia="Times New Roman" w:hAnsi="Times New Roman" w:cs="Times New Roman"/>
          <w:sz w:val="20"/>
        </w:rPr>
        <w:t>0</w:t>
      </w:r>
      <w:r>
        <w:rPr>
          <w:rFonts w:ascii="Times New Roman" w:eastAsia="Times New Roman" w:hAnsi="Times New Roman" w:cs="Times New Roman"/>
          <w:sz w:val="20"/>
        </w:rPr>
        <w:t xml:space="preserve"> t</w:t>
      </w:r>
      <w:r>
        <w:rPr>
          <w:rFonts w:ascii="Times New Roman" w:eastAsia="Times New Roman" w:hAnsi="Times New Roman" w:cs="Times New Roman"/>
          <w:sz w:val="20"/>
        </w:rPr>
        <w:t>hrough</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April </w:t>
      </w:r>
      <w:r>
        <w:rPr>
          <w:rFonts w:ascii="Times New Roman" w:eastAsia="Times New Roman" w:hAnsi="Times New Roman" w:cs="Times New Roman"/>
          <w:sz w:val="20"/>
        </w:rPr>
        <w:t>15</w:t>
      </w:r>
      <w:r>
        <w:rPr>
          <w:rFonts w:ascii="Times New Roman" w:eastAsia="Times New Roman" w:hAnsi="Times New Roman" w:cs="Times New Roman"/>
          <w:sz w:val="20"/>
        </w:rPr>
        <w:t>, 2021</w:t>
      </w:r>
      <w:r>
        <w:rPr>
          <w:rFonts w:ascii="Times New Roman" w:eastAsia="Times New Roman" w:hAnsi="Times New Roman" w:cs="Times New Roman"/>
          <w:sz w:val="20"/>
        </w:rPr>
        <w:t>,</w:t>
      </w:r>
      <w:r>
        <w:rPr>
          <w:rFonts w:ascii="Times New Roman" w:eastAsia="Times New Roman" w:hAnsi="Times New Roman" w:cs="Times New Roman"/>
          <w:sz w:val="20"/>
        </w:rPr>
        <w:t xml:space="preserve"> we</w:t>
      </w:r>
      <w:r>
        <w:rPr>
          <w:rFonts w:ascii="Times New Roman" w:eastAsia="Times New Roman" w:hAnsi="Times New Roman" w:cs="Times New Roman"/>
          <w:sz w:val="20"/>
        </w:rPr>
        <w:t xml:space="preserve"> sold</w:t>
      </w:r>
      <w:r>
        <w:rPr>
          <w:rFonts w:ascii="Times New Roman" w:eastAsia="Times New Roman" w:hAnsi="Times New Roman" w:cs="Times New Roman"/>
          <w:sz w:val="20"/>
        </w:rPr>
        <w:t xml:space="preserve"> a total of</w:t>
      </w:r>
      <w:r>
        <w:rPr>
          <w:rFonts w:ascii="Times New Roman" w:eastAsia="Times New Roman" w:hAnsi="Times New Roman" w:cs="Times New Roman"/>
          <w:sz w:val="20"/>
        </w:rPr>
        <w:t xml:space="preserve"> </w:t>
      </w:r>
      <w:r>
        <w:rPr>
          <w:rFonts w:ascii="Times New Roman" w:eastAsia="Times New Roman" w:hAnsi="Times New Roman" w:cs="Times New Roman"/>
          <w:sz w:val="20"/>
        </w:rPr>
        <w:t>26,005,824</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$2.88</w:t>
      </w:r>
      <w:r>
        <w:rPr>
          <w:rFonts w:ascii="Times New Roman" w:eastAsia="Times New Roman" w:hAnsi="Times New Roman" w:cs="Times New Roman"/>
          <w:sz w:val="20"/>
        </w:rPr>
        <w:t xml:space="preserve"> per share for gross proceeds of </w:t>
      </w:r>
      <w:r>
        <w:rPr>
          <w:rFonts w:ascii="Times New Roman" w:eastAsia="Times New Roman" w:hAnsi="Times New Roman" w:cs="Times New Roman"/>
          <w:sz w:val="20"/>
        </w:rPr>
        <w:t>$74,999,785</w:t>
      </w:r>
      <w:r>
        <w:rPr>
          <w:rFonts w:ascii="Times New Roman" w:eastAsia="Times New Roman" w:hAnsi="Times New Roman" w:cs="Times New Roman"/>
          <w:sz w:val="20"/>
        </w:rPr>
        <w:t xml:space="preserve"> </w:t>
      </w:r>
      <w:r>
        <w:rPr>
          <w:rFonts w:ascii="Times New Roman" w:eastAsia="Times New Roman" w:hAnsi="Times New Roman" w:cs="Times New Roman"/>
          <w:sz w:val="20"/>
        </w:rPr>
        <w:t>in the ATM Offering</w:t>
      </w:r>
      <w:r>
        <w:rPr>
          <w:rFonts w:ascii="Times New Roman" w:eastAsia="Times New Roman" w:hAnsi="Times New Roman" w:cs="Times New Roman"/>
          <w:sz w:val="20"/>
        </w:rPr>
        <w:t>s</w:t>
      </w:r>
      <w:r>
        <w:rPr>
          <w:rFonts w:ascii="Times New Roman" w:eastAsia="Times New Roman" w:hAnsi="Times New Roman" w:cs="Times New Roman"/>
          <w:sz w:val="20"/>
        </w:rPr>
        <w:t xml:space="preserve"> under our shelf registration statement on Form S-3 (File No. 333-238619)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76"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PPP Loan</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b/>
          <w:i/>
          <w:color w:val="1A1A1A"/>
          <w:sz w:val="20"/>
        </w:rPr>
      </w:pPr>
      <w:r>
        <w:rPr>
          <w:rFonts w:ascii="Times New Roman" w:eastAsia="Times New Roman" w:hAnsi="Times New Roman" w:cs="Times New Roman"/>
          <w:sz w:val="20"/>
        </w:rPr>
        <w:t xml:space="preserve">On April 23, 2020, we received a loan from Western Alliance Bank (the “Lender”) in the principal amount of $1,905,100 (the “PPP Loan”) under the Paycheck Protection Program (“PPP”), which was established under the Coronavirus Aid, Relief, and Economic Security Act (the “CARES Act”) administered by the U.S. Small Business Administration (the  “SBA”). The term of the promissory note  (the “Note”) issued in respect of the loan is two years, though it may be payable sooner in connection with an event of default under the Note. The PPP Loan carries a fixed interest rate of one percent per year. Certain amounts received under the PPP Loan may be forgiven if the loan proceeds are used for eligible purposes, including payroll costs and certain rent or utility costs, and we meet other requirements regarding, among other things, the maintenance of employment and compensation levels. </w:t>
      </w:r>
      <w:r>
        <w:rPr>
          <w:rFonts w:ascii="Times New Roman" w:eastAsia="Times New Roman" w:hAnsi="Times New Roman" w:cs="Times New Roman"/>
          <w:color w:val="1A1A1A"/>
          <w:sz w:val="20"/>
        </w:rPr>
        <w:t>Loan payments on the PPP Loan may be deferred to either (1) the date that the SBA remits our loan forgiveness amount to the Lender or (2) ten months after the end of our loan forgiveness covered period, if we do not apply for loan forgiveness</w:t>
      </w:r>
      <w:r>
        <w:rPr>
          <w:rFonts w:ascii="Times New Roman" w:eastAsia="Times New Roman" w:hAnsi="Times New Roman" w:cs="Times New Roman"/>
          <w:sz w:val="20"/>
        </w:rPr>
        <w:t xml:space="preserve">. We submitted our forgiveness application for the entire amount of the loan in December 2020 and, as of the date of this Quarterly Report, are awaiting approval from the SBA. </w:t>
      </w:r>
      <w:r>
        <w:rPr>
          <w:rFonts w:ascii="Times New Roman" w:eastAsia="Times New Roman" w:hAnsi="Times New Roman" w:cs="Times New Roman"/>
          <w:color w:val="1A1A1A"/>
          <w:sz w:val="20"/>
        </w:rPr>
        <w:t>The forgiveness of the PPP Loan is based on our adherence to the forgiveness criteria under the CARES Act, and no assurance is provided that we will obtain forgiveness of the PPP Loan in whole or in part.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Financial Condition</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b/>
          <w:i/>
          <w:color w:val="1A1A1A"/>
          <w:sz w:val="20"/>
        </w:rPr>
      </w:pPr>
      <w:r>
        <w:rPr>
          <w:rFonts w:ascii="Times New Roman" w:eastAsia="Times New Roman" w:hAnsi="Times New Roman" w:cs="Times New Roman"/>
          <w:sz w:val="20"/>
        </w:rPr>
        <w:t>W</w:t>
      </w:r>
      <w:r>
        <w:rPr>
          <w:rFonts w:ascii="Times New Roman" w:eastAsia="Times New Roman" w:hAnsi="Times New Roman" w:cs="Times New Roman"/>
          <w:color w:val="1A1A1A"/>
          <w:sz w:val="20"/>
          <w:shd w:val="clear" w:color="auto" w:fill="FFFFFF"/>
        </w:rPr>
        <w:t xml:space="preserve">e have seen impacts on our operations due to changes in advertising decisions, timing and spending priorities from our customers as a result of COVID-19, which has had and may continue to have a negative impact to our expected future sales and valuation estimates. </w:t>
      </w:r>
      <w:r>
        <w:rPr>
          <w:rFonts w:ascii="Times New Roman" w:eastAsia="Times New Roman" w:hAnsi="Times New Roman" w:cs="Times New Roman"/>
          <w:sz w:val="20"/>
        </w:rPr>
        <w:t xml:space="preserve">With our cash on hand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we expect to have sufficient cash reserves and financing sources available to cover expenses at least one year from the issuance of this </w:t>
      </w:r>
      <w:r>
        <w:rPr>
          <w:rFonts w:ascii="Times New Roman" w:eastAsia="Times New Roman" w:hAnsi="Times New Roman" w:cs="Times New Roman"/>
          <w:sz w:val="20"/>
        </w:rPr>
        <w:t>Quarterly</w:t>
      </w:r>
      <w:r>
        <w:rPr>
          <w:rFonts w:ascii="Times New Roman" w:eastAsia="Times New Roman" w:hAnsi="Times New Roman" w:cs="Times New Roman"/>
          <w:sz w:val="20"/>
        </w:rPr>
        <w:t xml:space="preserve"> Report b</w:t>
      </w:r>
      <w:r>
        <w:rPr>
          <w:rFonts w:ascii="Times New Roman" w:eastAsia="Times New Roman" w:hAnsi="Times New Roman" w:cs="Times New Roman"/>
          <w:color w:val="1A1A1A"/>
          <w:sz w:val="20"/>
          <w:shd w:val="clear" w:color="auto" w:fill="FFFFFF"/>
        </w:rPr>
        <w:t>ased on our current estimates of revenue and expenses for the next twelve months. While the disruption caused by COVID-19 is currently expected to be temporary, it is generally outside of our control and there is uncertainty around the duration and the total economic impact. Therefore, this matter c</w:t>
      </w:r>
      <w:r>
        <w:rPr>
          <w:rFonts w:ascii="Times New Roman" w:eastAsia="Times New Roman" w:hAnsi="Times New Roman" w:cs="Times New Roman"/>
          <w:sz w:val="20"/>
        </w:rPr>
        <w:t xml:space="preserve">ould have a further material adverse impact on our business, </w:t>
      </w:r>
      <w:r>
        <w:rPr>
          <w:rFonts w:ascii="Times New Roman" w:eastAsia="Times New Roman" w:hAnsi="Times New Roman" w:cs="Times New Roman"/>
          <w:color w:val="1A1A1A"/>
          <w:sz w:val="20"/>
          <w:shd w:val="clear" w:color="auto" w:fill="FFFFFF"/>
        </w:rPr>
        <w:t xml:space="preserve">results of operations, and financial position in future periods.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color w:val="1A1A1A"/>
          <w:sz w:val="20"/>
          <w:shd w:val="clear" w:color="auto" w:fill="FFFFFF"/>
        </w:rPr>
      </w:pPr>
      <w:r>
        <w:rPr>
          <w:rFonts w:ascii="Times New Roman" w:eastAsia="Times New Roman" w:hAnsi="Times New Roman" w:cs="Times New Roman"/>
          <w:color w:val="1A1A1A"/>
          <w:sz w:val="20"/>
          <w:shd w:val="clear" w:color="auto" w:fill="FFFFFF"/>
        </w:rPr>
        <w:t xml:space="preserve">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76" w:lineRule="auto"/>
        <w:ind w:left="0" w:right="0" w:firstLine="0"/>
        <w:jc w:val="left"/>
        <w:outlineLvl w:val="9"/>
        <w:sectPr>
          <w:type w:val="continuous"/>
          <w:pgSz w:w="12240" w:h="15840"/>
          <w:pgMar w:top="855" w:right="990" w:bottom="855" w:left="990" w:header="270" w:footer="270"/>
          <w:cols w:space="708"/>
        </w:sectPr>
      </w:pPr>
    </w:p>
    <w:p>
      <w:pPr>
        <w:keepNext/>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sz w:val="24"/>
        </w:rPr>
      </w:pPr>
      <w:bookmarkStart w:id="27" w:name="Section28"/>
      <w:bookmarkEnd w:id="27"/>
      <w:r>
        <w:rPr>
          <w:rFonts w:ascii="Times New Roman" w:eastAsia="Times New Roman" w:hAnsi="Times New Roman" w:cs="Times New Roman"/>
          <w:b/>
          <w:sz w:val="20"/>
        </w:rPr>
        <w:t>Off-Balance Sheet Arrangements</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b/>
          <w:i/>
          <w:color w:val="1A1A1A"/>
          <w:sz w:val="24"/>
        </w:rPr>
      </w:pPr>
      <w:r>
        <w:rPr>
          <w:rFonts w:ascii="Times New Roman" w:eastAsia="Times New Roman" w:hAnsi="Times New Roman" w:cs="Times New Roman"/>
          <w:sz w:val="20"/>
        </w:rPr>
        <w:t>We</w:t>
      </w:r>
      <w:r>
        <w:rPr>
          <w:rFonts w:ascii="Times New Roman" w:eastAsia="Times New Roman" w:hAnsi="Times New Roman" w:cs="Times New Roman"/>
          <w:sz w:val="20"/>
        </w:rPr>
        <w:t xml:space="preserve"> did not engage in any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activities involving variable interest entities or </w:t>
      </w:r>
      <w:r>
        <w:rPr>
          <w:rFonts w:ascii="Times New Roman" w:eastAsia="Times New Roman" w:hAnsi="Times New Roman" w:cs="Times New Roman"/>
          <w:sz w:val="20"/>
        </w:rPr>
        <w:t xml:space="preserve">“off-balance sheet arrangements” (as that term is defined in Item 303(a)(4)(ii) of Regulation S-K) as of </w:t>
      </w:r>
      <w:r>
        <w:rPr>
          <w:rFonts w:ascii="Times New Roman" w:eastAsia="Times New Roman" w:hAnsi="Times New Roman" w:cs="Times New Roman"/>
          <w:sz w:val="20"/>
        </w:rPr>
        <w:t>March 31, 2021</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sz w:val="20"/>
        </w:rPr>
      </w:pPr>
      <w:bookmarkStart w:id="28" w:name="Section29"/>
      <w:bookmarkEnd w:id="28"/>
      <w:r>
        <w:rPr>
          <w:rFonts w:ascii="Times New Roman" w:eastAsia="Times New Roman" w:hAnsi="Times New Roman" w:cs="Times New Roman"/>
          <w:b/>
          <w:sz w:val="20"/>
        </w:rPr>
        <w:t xml:space="preserve">Critical Accounting Policies and Use of Estimates </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There have been no material changes to our critical accounting policies as set forth in Item 7, “Management’s Discussion and Analysis of Financial Condition and Results of Operations,” included in our Annual Report on Form 10-K for the year ended December 31, 20</w:t>
      </w:r>
      <w:r>
        <w:rPr>
          <w:rFonts w:ascii="Times New Roman" w:eastAsia="Times New Roman" w:hAnsi="Times New Roman" w:cs="Times New Roman"/>
          <w:sz w:val="20"/>
        </w:rPr>
        <w:t>20</w:t>
      </w:r>
      <w:r>
        <w:rPr>
          <w:rFonts w:ascii="Times New Roman" w:eastAsia="Times New Roman" w:hAnsi="Times New Roman" w:cs="Times New Roman"/>
          <w:sz w:val="20"/>
        </w:rPr>
        <w:t xml:space="preserve">. For a summary of our significant accounting policies, please refer to Note 1 — Company and Summary of Significant Accounting Policies included in Item 1 of this Quarterly Report.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sz w:val="20"/>
        </w:rPr>
      </w:pPr>
      <w:bookmarkStart w:id="29" w:name="Section30"/>
      <w:bookmarkEnd w:id="29"/>
      <w:r>
        <w:rPr>
          <w:rFonts w:ascii="Times New Roman" w:eastAsia="Times New Roman" w:hAnsi="Times New Roman" w:cs="Times New Roman"/>
          <w:b/>
          <w:sz w:val="20"/>
        </w:rPr>
        <w:t>Recent Accounting Pronouncements</w:t>
      </w:r>
    </w:p>
    <w:p>
      <w:pPr>
        <w:keepNext w:val="0"/>
        <w:keepLines w:val="0"/>
        <w:pageBreakBefore w:val="0"/>
        <w:widowControl/>
        <w:numPr>
          <w:ilvl w:val="0"/>
          <w:numId w:val="0"/>
        </w:numPr>
        <w:spacing w:before="18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See “Note 1. Company and Summary of Significant Accounting Policies,” under Part </w:t>
      </w:r>
      <w:r>
        <w:rPr>
          <w:rFonts w:ascii="Times New Roman" w:eastAsia="Times New Roman" w:hAnsi="Times New Roman" w:cs="Times New Roman"/>
          <w:sz w:val="20"/>
        </w:rPr>
        <w:t xml:space="preserve">I, Item </w:t>
      </w:r>
      <w:r>
        <w:rPr>
          <w:rFonts w:ascii="Times New Roman" w:eastAsia="Times New Roman" w:hAnsi="Times New Roman" w:cs="Times New Roman"/>
          <w:sz w:val="20"/>
        </w:rPr>
        <w:t>1</w:t>
      </w:r>
      <w:r>
        <w:rPr>
          <w:rFonts w:ascii="Times New Roman" w:eastAsia="Times New Roman" w:hAnsi="Times New Roman" w:cs="Times New Roman"/>
          <w:sz w:val="20"/>
        </w:rPr>
        <w:t xml:space="preserve"> of this </w:t>
      </w:r>
      <w:r>
        <w:rPr>
          <w:rFonts w:ascii="Times New Roman" w:eastAsia="Times New Roman" w:hAnsi="Times New Roman" w:cs="Times New Roman"/>
          <w:sz w:val="20"/>
        </w:rPr>
        <w:t>Quar</w:t>
      </w:r>
      <w:r>
        <w:rPr>
          <w:rFonts w:ascii="Times New Roman" w:eastAsia="Times New Roman" w:hAnsi="Times New Roman" w:cs="Times New Roman"/>
          <w:sz w:val="20"/>
        </w:rPr>
        <w:t>terly</w:t>
      </w:r>
      <w:r>
        <w:rPr>
          <w:rFonts w:ascii="Times New Roman" w:eastAsia="Times New Roman" w:hAnsi="Times New Roman" w:cs="Times New Roman"/>
          <w:sz w:val="20"/>
        </w:rPr>
        <w:t xml:space="preserve"> Report for information on additional recent pronouncements.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30" w:name="Section31"/>
      <w:bookmarkEnd w:id="30"/>
      <w:r>
        <w:rPr>
          <w:rFonts w:ascii="Times New Roman" w:eastAsia="Times New Roman" w:hAnsi="Times New Roman" w:cs="Times New Roman"/>
          <w:b/>
          <w:sz w:val="20"/>
        </w:rPr>
        <w:t xml:space="preserve">ITEM </w:t>
      </w:r>
      <w:r>
        <w:rPr>
          <w:rFonts w:ascii="Times New Roman" w:eastAsia="Times New Roman" w:hAnsi="Times New Roman" w:cs="Times New Roman"/>
          <w:b/>
          <w:sz w:val="20"/>
        </w:rPr>
        <w:t>3</w:t>
      </w:r>
      <w:r>
        <w:rPr>
          <w:rFonts w:ascii="Times New Roman" w:eastAsia="Times New Roman" w:hAnsi="Times New Roman" w:cs="Times New Roman"/>
          <w:b/>
          <w:sz w:val="20"/>
        </w:rPr>
        <w:t xml:space="preserve"> – QUANTITATIVE AND QUALITATIVE DISCLOSURES ABOUT MARKET RISK</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Not applicable to smaller reporting companies.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31" w:name="Section32"/>
      <w:bookmarkEnd w:id="31"/>
      <w:r>
        <w:rPr>
          <w:rFonts w:ascii="Times New Roman" w:eastAsia="Times New Roman" w:hAnsi="Times New Roman" w:cs="Times New Roman"/>
          <w:b/>
          <w:sz w:val="20"/>
        </w:rPr>
        <w:t xml:space="preserve">ITEM </w:t>
      </w:r>
      <w:r>
        <w:rPr>
          <w:rFonts w:ascii="Times New Roman" w:eastAsia="Times New Roman" w:hAnsi="Times New Roman" w:cs="Times New Roman"/>
          <w:b/>
          <w:sz w:val="20"/>
        </w:rPr>
        <w:t>4</w:t>
      </w:r>
      <w:r>
        <w:rPr>
          <w:rFonts w:ascii="Times New Roman" w:eastAsia="Times New Roman" w:hAnsi="Times New Roman" w:cs="Times New Roman"/>
          <w:b/>
          <w:sz w:val="20"/>
        </w:rPr>
        <w:t xml:space="preserve"> – CONTROLS AND PROCEDURES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Disclosure controls and procedures are controls and other procedures that are designed to ensure that information required to be disclosed by us in the reports that we file or submit under the Securities Exchange Act of 1934, as amended (the “Exchange Act”), is recorded, processed, summarized, and reported within the time periods specified in the SEC’s rules and forms. Disclosure controls and procedures include, without limitation, controls and procedures designed to ensure that information required to be disclosed by us in the reports that we file under the Exchange Act is accumulated and communicated to our management, including our principal executive and principal financial officers, as appropriate to allow timely decisions regarding required disclosures.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designing and evaluating the disclosure controls and procedures, our management recognizes that any controls and procedures, no matter how well designed and operated, can provide only reasonable assurance of achieving the desired control objectives, and our management necessarily was required to apply its judgment in evaluating the cost-benefit relationship of possible controls and procedures. Furthermore, controls and procedures could be circumvented by the individual acts of some persons, by collusion or two or more people or by management override of the control. Misstatements due to error or fraud may occur and not be detected on a timely basis.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Evaluation of Disclosure Controls and Procedures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connection with the preparation of this </w:t>
      </w:r>
      <w:r>
        <w:rPr>
          <w:rFonts w:ascii="Times New Roman" w:eastAsia="Times New Roman" w:hAnsi="Times New Roman" w:cs="Times New Roman"/>
          <w:sz w:val="20"/>
        </w:rPr>
        <w:t>Quarterly</w:t>
      </w:r>
      <w:r>
        <w:rPr>
          <w:rFonts w:ascii="Times New Roman" w:eastAsia="Times New Roman" w:hAnsi="Times New Roman" w:cs="Times New Roman"/>
          <w:sz w:val="20"/>
        </w:rPr>
        <w:t xml:space="preserve"> Report on Form 10-</w:t>
      </w:r>
      <w:r>
        <w:rPr>
          <w:rFonts w:ascii="Times New Roman" w:eastAsia="Times New Roman" w:hAnsi="Times New Roman" w:cs="Times New Roman"/>
          <w:sz w:val="20"/>
        </w:rPr>
        <w:t>Q</w:t>
      </w:r>
      <w:r>
        <w:rPr>
          <w:rFonts w:ascii="Times New Roman" w:eastAsia="Times New Roman" w:hAnsi="Times New Roman" w:cs="Times New Roman"/>
          <w:sz w:val="20"/>
        </w:rPr>
        <w:t xml:space="preserve"> for the period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an evaluation was performed under the supervision and with the participation of our management including our principal executive officer and principal financial and accounting officer to determine the effectiveness of the design and operation of our disclosure controls and procedures (as defined in Rules 13a-15(e) and 15d-15(e) under the Exchange Act) as of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Based on this evaluation, our management concluded that our disclosure controls and procedures were effective as designed to ensure that information required to be disclosed in the reports we file or submit under the Exchange Act is recorded, processed, summarized, and reported within the time periods specified in the rules and forms of the SEC, and that such information is accumulated and communicated to our management, including our principal executive officer and principal financial </w:t>
      </w:r>
      <w:r>
        <w:rPr>
          <w:rFonts w:ascii="Times New Roman" w:eastAsia="Times New Roman" w:hAnsi="Times New Roman" w:cs="Times New Roman"/>
          <w:sz w:val="20"/>
        </w:rPr>
        <w:t xml:space="preserve">and accounting </w:t>
      </w:r>
      <w:r>
        <w:rPr>
          <w:rFonts w:ascii="Times New Roman" w:eastAsia="Times New Roman" w:hAnsi="Times New Roman" w:cs="Times New Roman"/>
          <w:sz w:val="20"/>
        </w:rPr>
        <w:t xml:space="preserve">officer, to allow timely decisions regarding required disclosures.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Changes in Internal Control over Financial Reporting</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management is responsible for establishing and maintaining effective internal control over financial reporting (as defined in Rules 13a-15(f) and 15d-15(f) under the Exchange Act). Internal control over financial reporting is a process designed by, or under the supervision of, our principal executive officer and principal financial officer and effected by our Board of Directors, management and other personnel, to provide reasonable assurance regarding the reliability of our financial reporting and the preparation of financial statements for external purposes in accordance with GAAP. Internal control over financial reporting includes policies and procedures that: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20" w:line="28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 pertain to the maintenance of records that, in reasonable detail, accurately and fairly reflect the Company’s transactions; </w:t>
      </w:r>
    </w:p>
    <w:p>
      <w:pPr>
        <w:keepNext w:val="0"/>
        <w:keepLines w:val="0"/>
        <w:pageBreakBefore w:val="0"/>
        <w:widowControl/>
        <w:numPr>
          <w:ilvl w:val="0"/>
          <w:numId w:val="0"/>
        </w:numPr>
        <w:spacing w:before="0" w:after="120" w:line="28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(ii) provide reasonable assurance that transactions are recorded as necessary for the preparation of our financial statements in accordance with GAAP, and that receipts and expenditures are made only in accordance with authorizations of our management and directors; and </w:t>
      </w:r>
    </w:p>
    <w:p>
      <w:pPr>
        <w:keepNext w:val="0"/>
        <w:keepLines w:val="0"/>
        <w:pageBreakBefore w:val="0"/>
        <w:widowControl/>
        <w:numPr>
          <w:ilvl w:val="0"/>
          <w:numId w:val="0"/>
        </w:numPr>
        <w:spacing w:before="0" w:after="0" w:line="28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(iii) provide reasonable assurance regarding prevention or timely detection of any unauthorized acquisition, use or disposition of our assets that could have a material effect on the financial statements.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Because of its inherent limitations, internal control over financial reporting may not prevent or detect financial statement misstatements. Also, projections of any evaluation of internal control effectiveness to future periods are subject to the risk that controls may become inadequate because of changes in conditions, or that the degree of compliance with the policies or procedures may deteriorate.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There were no changes in our internal control over financial reporting (as defined in Exchange Act Rules 13a-15(f) and 15d-15(f)) during the fiscal quarter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that have materially affected, or are reasonably likely to materially affect, our internal control over financial reporting.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32" w:name="Section33"/>
      <w:bookmarkEnd w:id="32"/>
      <w:r>
        <w:rPr>
          <w:rFonts w:ascii="Times New Roman" w:eastAsia="Times New Roman" w:hAnsi="Times New Roman" w:cs="Times New Roman"/>
          <w:b/>
          <w:sz w:val="20"/>
        </w:rPr>
        <w:t>PART II – OTHER INFORMATION</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1"/>
        <w:rPr>
          <w:rFonts w:ascii="Times New Roman" w:eastAsia="Times New Roman" w:hAnsi="Times New Roman" w:cs="Times New Roman"/>
          <w:b/>
          <w:sz w:val="20"/>
        </w:rPr>
      </w:pPr>
      <w:bookmarkStart w:id="33" w:name="Section34"/>
      <w:bookmarkEnd w:id="33"/>
      <w:r>
        <w:rPr>
          <w:rFonts w:ascii="Times New Roman" w:eastAsia="Times New Roman" w:hAnsi="Times New Roman" w:cs="Times New Roman"/>
          <w:b/>
          <w:sz w:val="20"/>
        </w:rPr>
        <w:t xml:space="preserve">ITEM </w:t>
      </w:r>
      <w:r>
        <w:rPr>
          <w:rFonts w:ascii="Times New Roman" w:eastAsia="Times New Roman" w:hAnsi="Times New Roman" w:cs="Times New Roman"/>
          <w:b/>
          <w:sz w:val="20"/>
        </w:rPr>
        <w:t>1</w:t>
      </w:r>
      <w:r>
        <w:rPr>
          <w:rFonts w:ascii="Times New Roman" w:eastAsia="Times New Roman" w:hAnsi="Times New Roman" w:cs="Times New Roman"/>
          <w:b/>
          <w:sz w:val="20"/>
        </w:rPr>
        <w:t xml:space="preserve"> – LEGAL PROCEEDINGS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From time to time, we may become involved in various other lawsuits and legal proceedings that arise in the ordinary course of our business. Litigation is, however, subject to inherent uncertainties, and an adverse result in these or other matters may arise from time to time that may harm our business. As of </w:t>
      </w:r>
      <w:r>
        <w:rPr>
          <w:rFonts w:ascii="Times New Roman" w:eastAsia="Times New Roman" w:hAnsi="Times New Roman" w:cs="Times New Roman"/>
          <w:sz w:val="20"/>
        </w:rPr>
        <w:t>May 10, 2021</w:t>
      </w:r>
      <w:r>
        <w:rPr>
          <w:rFonts w:ascii="Times New Roman" w:eastAsia="Times New Roman" w:hAnsi="Times New Roman" w:cs="Times New Roman"/>
          <w:sz w:val="20"/>
        </w:rPr>
        <w:t>, we are not aware of any legal proceedings or claims that we believe would or could have, individually or in the aggregate, a material adverse effect on us. Regardless of final outcomes, however, any such proceedings or claims may nonetheless impose a significant burden on management and employees and may come with costly defense costs or unfavorable preliminary interim rulings.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88" w:lineRule="auto"/>
        <w:ind w:left="0" w:right="0" w:firstLine="0"/>
        <w:jc w:val="both"/>
        <w:outlineLvl w:val="1"/>
        <w:rPr>
          <w:rFonts w:ascii="Times New Roman" w:eastAsia="Times New Roman" w:hAnsi="Times New Roman" w:cs="Times New Roman"/>
          <w:b/>
          <w:sz w:val="20"/>
        </w:rPr>
      </w:pPr>
      <w:bookmarkStart w:id="34" w:name="Section35"/>
      <w:bookmarkEnd w:id="34"/>
      <w:r>
        <w:rPr>
          <w:rFonts w:ascii="Times New Roman" w:eastAsia="Times New Roman" w:hAnsi="Times New Roman" w:cs="Times New Roman"/>
          <w:b/>
          <w:sz w:val="20"/>
        </w:rPr>
        <w:t>ITEM 1A – RISK FACTORS</w:t>
      </w: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You should carefully consider the factors discussed under </w:t>
      </w:r>
      <w:r>
        <w:rPr>
          <w:rFonts w:ascii="Times New Roman" w:eastAsia="Times New Roman" w:hAnsi="Times New Roman" w:cs="Times New Roman"/>
          <w:sz w:val="20"/>
        </w:rPr>
        <w:t>Item 1A of Part I to our Annual Report on Form 10-K for the year ended December 31, 2020</w:t>
      </w:r>
      <w:r>
        <w:rPr>
          <w:rFonts w:ascii="Times New Roman" w:eastAsia="Times New Roman" w:hAnsi="Times New Roman" w:cs="Times New Roman"/>
          <w:sz w:val="20"/>
        </w:rPr>
        <w:t xml:space="preserve"> regarding the numerous and varied risks, known and unknown, that may prevent us from achieving our goals. If any of these risks actually occur, our business, financial condition or results of operation may be materially and adversely affected. In such case, the trading price of our common stock could decline, and investors could lose all or part of their investment. These risk factors may not identify all risks that we face, and our operations could also be affected by factors that are not presently known to us or that we currently consider to be immaterial to our operations. </w:t>
      </w: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b/>
          <w:i/>
          <w:sz w:val="24"/>
        </w:rPr>
      </w:pPr>
    </w:p>
    <w:p>
      <w:pPr>
        <w:keepNext/>
        <w:keepLines/>
        <w:pageBreakBefore w:val="0"/>
        <w:widowControl w:val="0"/>
        <w:numPr>
          <w:ilvl w:val="0"/>
          <w:numId w:val="0"/>
        </w:numPr>
        <w:spacing w:before="0" w:after="0" w:line="288" w:lineRule="auto"/>
        <w:ind w:left="0" w:right="270" w:firstLine="720"/>
        <w:jc w:val="center"/>
        <w:outlineLvl w:val="9"/>
        <w:rPr>
          <w:rFonts w:ascii="Times New Roman" w:eastAsia="Times New Roman" w:hAnsi="Times New Roman" w:cs="Times New Roman"/>
          <w:b/>
          <w:i/>
          <w:sz w:val="20"/>
        </w:rPr>
      </w:pPr>
      <w:r>
        <w:rPr>
          <w:rFonts w:ascii="Times New Roman" w:eastAsia="Times New Roman" w:hAnsi="Times New Roman" w:cs="Times New Roman"/>
          <w:b/>
          <w:sz w:val="20"/>
        </w:rPr>
        <w:t>Risks Relating to our Common Stock</w:t>
      </w: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4"/>
        </w:rPr>
      </w:pPr>
      <w:r>
        <w:rPr>
          <w:rFonts w:ascii="Times New Roman" w:eastAsia="Times New Roman" w:hAnsi="Times New Roman" w:cs="Times New Roman"/>
          <w:b/>
          <w:i/>
          <w:sz w:val="20"/>
          <w:shd w:val="clear" w:color="auto" w:fill="FFFFFF"/>
        </w:rPr>
        <w:t>The price of our common stock in the public markets has experienced, and may in the future experience, extreme volatility due to a variety of factors, many of which are beyond our control.</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sz w:val="24"/>
        </w:rPr>
      </w:pPr>
      <w:r>
        <w:rPr>
          <w:rFonts w:ascii="Times New Roman" w:eastAsia="Times New Roman" w:hAnsi="Times New Roman" w:cs="Times New Roman"/>
          <w:sz w:val="20"/>
        </w:rPr>
        <w:t xml:space="preserve">Since our common stock started trading on the Nasdaq Capital Market, it has been relatively thinly traded and at times been subject to price volatility. Recently our common stock has experienced extreme price and volume volatility. From January 1, 2020 to December 31, 2020, the closing price of our common stock ranged from a low of $0.13 on March 18, 2020 to a high of $2.82 on June 11, 2020, with an average daily trading volume of 6.7 million shares. On January 25, 2021, the price increased to an intraday high of $7.45 per share </w:t>
      </w:r>
      <w:r>
        <w:rPr>
          <w:rFonts w:ascii="Times New Roman" w:eastAsia="Times New Roman" w:hAnsi="Times New Roman" w:cs="Times New Roman"/>
          <w:sz w:val="20"/>
        </w:rPr>
        <w:t>(a 52-week high)</w:t>
      </w:r>
      <w:r>
        <w:rPr>
          <w:rFonts w:ascii="Times New Roman" w:eastAsia="Times New Roman" w:hAnsi="Times New Roman" w:cs="Times New Roman"/>
          <w:sz w:val="20"/>
        </w:rPr>
        <w:t xml:space="preserve"> </w:t>
      </w:r>
      <w:r>
        <w:rPr>
          <w:rFonts w:ascii="Times New Roman" w:eastAsia="Times New Roman" w:hAnsi="Times New Roman" w:cs="Times New Roman"/>
          <w:sz w:val="20"/>
        </w:rPr>
        <w:t>and 25</w:t>
      </w:r>
      <w:r>
        <w:rPr>
          <w:rFonts w:ascii="Times New Roman" w:eastAsia="Times New Roman" w:hAnsi="Times New Roman" w:cs="Times New Roman"/>
          <w:sz w:val="20"/>
        </w:rPr>
        <w:t>.3 million</w:t>
      </w:r>
      <w:r>
        <w:rPr>
          <w:rFonts w:ascii="Times New Roman" w:eastAsia="Times New Roman" w:hAnsi="Times New Roman" w:cs="Times New Roman"/>
          <w:sz w:val="20"/>
        </w:rPr>
        <w:t xml:space="preserve"> shares were traded. </w:t>
      </w:r>
      <w:r>
        <w:rPr>
          <w:rFonts w:ascii="Times New Roman" w:eastAsia="Times New Roman" w:hAnsi="Times New Roman" w:cs="Times New Roman"/>
          <w:sz w:val="20"/>
        </w:rPr>
        <w:t>I</w:t>
      </w:r>
      <w:r>
        <w:rPr>
          <w:rFonts w:ascii="Times New Roman" w:eastAsia="Times New Roman" w:hAnsi="Times New Roman" w:cs="Times New Roman"/>
          <w:sz w:val="20"/>
        </w:rPr>
        <w:t>n January 2021</w:t>
      </w:r>
      <w:r>
        <w:rPr>
          <w:rFonts w:ascii="Times New Roman" w:eastAsia="Times New Roman" w:hAnsi="Times New Roman" w:cs="Times New Roman"/>
          <w:sz w:val="20"/>
        </w:rPr>
        <w:t>,</w:t>
      </w:r>
      <w:r>
        <w:rPr>
          <w:rFonts w:ascii="Times New Roman" w:eastAsia="Times New Roman" w:hAnsi="Times New Roman" w:cs="Times New Roman"/>
          <w:sz w:val="20"/>
        </w:rPr>
        <w:t xml:space="preserve"> the closing price of our common stock averaged $3.65 with an average daily trading volume of 8.9 million shares</w:t>
      </w:r>
      <w:r>
        <w:rPr>
          <w:rFonts w:ascii="Times New Roman" w:eastAsia="Times New Roman" w:hAnsi="Times New Roman" w:cs="Times New Roman"/>
          <w:sz w:val="20"/>
        </w:rPr>
        <w:t>;</w:t>
      </w:r>
      <w:r>
        <w:rPr>
          <w:rFonts w:ascii="Times New Roman" w:eastAsia="Times New Roman" w:hAnsi="Times New Roman" w:cs="Times New Roman"/>
          <w:sz w:val="20"/>
        </w:rPr>
        <w:t xml:space="preserve"> in February 2021, the closing price of our common stock averaged $4.70 with an average daily trading volume of 4.0 million shares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in </w:t>
      </w:r>
      <w:r>
        <w:rPr>
          <w:rFonts w:ascii="Times New Roman" w:eastAsia="Times New Roman" w:hAnsi="Times New Roman" w:cs="Times New Roman"/>
          <w:sz w:val="20"/>
        </w:rPr>
        <w:t>March</w:t>
      </w:r>
      <w:r>
        <w:rPr>
          <w:rFonts w:ascii="Times New Roman" w:eastAsia="Times New Roman" w:hAnsi="Times New Roman" w:cs="Times New Roman"/>
          <w:sz w:val="20"/>
        </w:rPr>
        <w:t xml:space="preserve"> 2021, the closing price of our common stock averaged $4.</w:t>
      </w:r>
      <w:r>
        <w:rPr>
          <w:rFonts w:ascii="Times New Roman" w:eastAsia="Times New Roman" w:hAnsi="Times New Roman" w:cs="Times New Roman"/>
          <w:sz w:val="20"/>
        </w:rPr>
        <w:t>07</w:t>
      </w:r>
      <w:r>
        <w:rPr>
          <w:rFonts w:ascii="Times New Roman" w:eastAsia="Times New Roman" w:hAnsi="Times New Roman" w:cs="Times New Roman"/>
          <w:sz w:val="20"/>
        </w:rPr>
        <w:t xml:space="preserve"> with an average daily trading volume of </w:t>
      </w:r>
      <w:r>
        <w:rPr>
          <w:rFonts w:ascii="Times New Roman" w:eastAsia="Times New Roman" w:hAnsi="Times New Roman" w:cs="Times New Roman"/>
          <w:sz w:val="20"/>
        </w:rPr>
        <w:t>2.6</w:t>
      </w:r>
      <w:r>
        <w:rPr>
          <w:rFonts w:ascii="Times New Roman" w:eastAsia="Times New Roman" w:hAnsi="Times New Roman" w:cs="Times New Roman"/>
          <w:sz w:val="20"/>
        </w:rPr>
        <w:t xml:space="preserve"> million shares</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In addition to shares of our common stock</w:t>
      </w:r>
      <w:r>
        <w:rPr>
          <w:rFonts w:ascii="Times New Roman" w:eastAsia="Times New Roman" w:hAnsi="Times New Roman" w:cs="Times New Roman"/>
          <w:sz w:val="20"/>
        </w:rPr>
        <w:t>, the stock market in general, and the stock prices of technology-based companies in particular, have experienced volatility that often has been unrelated to the operating performance of any specific public company. </w:t>
      </w:r>
      <w:r>
        <w:rPr>
          <w:rFonts w:ascii="Times New Roman" w:eastAsia="Times New Roman" w:hAnsi="Times New Roman" w:cs="Times New Roman"/>
          <w:sz w:val="20"/>
        </w:rPr>
        <w:t>Further, on some occasions, our stock price may be, or may be purported to be, subject to “short squeeze” activity. A “short squeeze” is a technical market condition that occurs when the price of a stock increases substantially, forcing market participants who had taken a position that its price would fall (i.e. who had sold the stock “short”), to buy it, which in turn may create significant, short-term demand for the stock not for fundamental reasons, but rather due to the need for such market participants to acquire the stock in order to forestall the risk of even greater losses. A “short squeeze” condition in the market for a stock can lead to short-term conditions involving very high volatility and trading that may or may not track fundamental valuation models.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In addition, in the past, class action litigation has often been instituted against companies whose securities have experienced periods of volatility in market price. Securities litigation brought against us following volatility in our stock price, regardless of the merit or ultimate results of such litigation, could result in substantial costs, which would hurt our financial condition and o</w:t>
      </w:r>
      <w:r>
        <w:rPr>
          <w:rFonts w:ascii="Times New Roman" w:eastAsia="Times New Roman" w:hAnsi="Times New Roman" w:cs="Times New Roman"/>
          <w:sz w:val="20"/>
        </w:rPr>
        <w:t>perating results and divert management’s attention and resources from our business.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shd w:val="clear" w:color="auto" w:fill="FFFF00"/>
        </w:rPr>
      </w:pPr>
    </w:p>
    <w:p>
      <w:pPr>
        <w:keepNext w:val="0"/>
        <w:keepLines w:val="0"/>
        <w:pageBreakBefore w:val="0"/>
        <w:widowControl/>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1"/>
        <w:rPr>
          <w:rFonts w:ascii="Times New Roman" w:eastAsia="Times New Roman" w:hAnsi="Times New Roman" w:cs="Times New Roman"/>
          <w:b/>
          <w:sz w:val="20"/>
        </w:rPr>
      </w:pPr>
      <w:bookmarkStart w:id="35" w:name="Section36"/>
      <w:bookmarkEnd w:id="35"/>
      <w:r>
        <w:rPr>
          <w:rFonts w:ascii="Times New Roman" w:eastAsia="Times New Roman" w:hAnsi="Times New Roman" w:cs="Times New Roman"/>
          <w:b/>
          <w:sz w:val="20"/>
        </w:rPr>
        <w:t>ITEM 2 – UNREGISTERED SALES OF EQUITY SECURITIES AND USE OF PROCEEDS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Other than as previously reported in any Current Reports on Form 8-K, the Company did not sell any unregistered securities during the period covered by this report.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36" w:name="Section37"/>
      <w:bookmarkEnd w:id="36"/>
      <w:r>
        <w:rPr>
          <w:rFonts w:ascii="Times New Roman" w:eastAsia="Times New Roman" w:hAnsi="Times New Roman" w:cs="Times New Roman"/>
          <w:b/>
          <w:sz w:val="20"/>
        </w:rPr>
        <w:t>ITEM 3 – DEFAULTS UPON SENIOR SECURITIES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None.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37" w:name="Section38"/>
      <w:bookmarkEnd w:id="37"/>
      <w:r>
        <w:rPr>
          <w:rFonts w:ascii="Times New Roman" w:eastAsia="Times New Roman" w:hAnsi="Times New Roman" w:cs="Times New Roman"/>
          <w:b/>
          <w:sz w:val="20"/>
        </w:rPr>
        <w:t>ITEM 4 – MINE SAFETY DISCLOSURES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Not applicable.</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38" w:name="Section39"/>
      <w:bookmarkEnd w:id="38"/>
      <w:r>
        <w:rPr>
          <w:rFonts w:ascii="Times New Roman" w:eastAsia="Times New Roman" w:hAnsi="Times New Roman" w:cs="Times New Roman"/>
          <w:b/>
          <w:sz w:val="20"/>
        </w:rPr>
        <w:t xml:space="preserve">ITEM </w:t>
      </w:r>
      <w:r>
        <w:rPr>
          <w:rFonts w:ascii="Times New Roman" w:eastAsia="Times New Roman" w:hAnsi="Times New Roman" w:cs="Times New Roman"/>
          <w:b/>
          <w:sz w:val="20"/>
        </w:rPr>
        <w:t>5</w:t>
      </w:r>
      <w:r>
        <w:rPr>
          <w:rFonts w:ascii="Times New Roman" w:eastAsia="Times New Roman" w:hAnsi="Times New Roman" w:cs="Times New Roman"/>
          <w:b/>
          <w:sz w:val="20"/>
        </w:rPr>
        <w:t xml:space="preserve"> – </w:t>
      </w:r>
      <w:r>
        <w:rPr>
          <w:rFonts w:ascii="Times New Roman" w:eastAsia="Times New Roman" w:hAnsi="Times New Roman" w:cs="Times New Roman"/>
          <w:b/>
          <w:sz w:val="20"/>
        </w:rPr>
        <w:t>OTHER INFORMATION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shd w:val="clear" w:color="auto" w:fill="FFFF0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None.</w:t>
      </w:r>
    </w:p>
    <w:p>
      <w:pPr>
        <w:keepNext w:val="0"/>
        <w:keepLines/>
        <w:pageBreakBefore w:val="0"/>
        <w:widowControl w:val="0"/>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val="0"/>
        <w:keepLines/>
        <w:pageBreakBefore w:val="0"/>
        <w:widowControl w:val="0"/>
        <w:numPr>
          <w:ilvl w:val="0"/>
          <w:numId w:val="0"/>
        </w:numPr>
        <w:spacing w:before="0" w:after="100" w:line="288" w:lineRule="auto"/>
        <w:ind w:left="0" w:right="0" w:firstLine="0"/>
        <w:jc w:val="left"/>
        <w:outlineLvl w:val="1"/>
        <w:rPr>
          <w:rFonts w:ascii="Times New Roman" w:eastAsia="Times New Roman" w:hAnsi="Times New Roman" w:cs="Times New Roman"/>
          <w:b/>
          <w:sz w:val="20"/>
        </w:rPr>
      </w:pPr>
      <w:bookmarkStart w:id="39" w:name="Section40"/>
      <w:bookmarkEnd w:id="39"/>
      <w:r>
        <w:rPr>
          <w:rFonts w:ascii="Times New Roman" w:eastAsia="Times New Roman" w:hAnsi="Times New Roman" w:cs="Times New Roman"/>
          <w:b/>
          <w:sz w:val="20"/>
        </w:rPr>
        <w:t xml:space="preserve">ITEM </w:t>
      </w:r>
      <w:r>
        <w:rPr>
          <w:rFonts w:ascii="Times New Roman" w:eastAsia="Times New Roman" w:hAnsi="Times New Roman" w:cs="Times New Roman"/>
          <w:b/>
          <w:sz w:val="20"/>
        </w:rPr>
        <w:t>6</w:t>
      </w:r>
      <w:r>
        <w:rPr>
          <w:rFonts w:ascii="Times New Roman" w:eastAsia="Times New Roman" w:hAnsi="Times New Roman" w:cs="Times New Roman"/>
          <w:b/>
          <w:sz w:val="20"/>
        </w:rPr>
        <w:t xml:space="preserve"> – EXHIBITS</w:t>
      </w:r>
    </w:p>
    <w:tbl>
      <w:tblPr>
        <w:tblW w:w="102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0"/>
        <w:gridCol w:w="525"/>
        <w:gridCol w:w="8925"/>
      </w:tblGrid>
      <w:tr>
        <w:tblPrEx>
          <w:tblW w:w="102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75"/>
        </w:trPr>
        <w:tc>
          <w:tcPr>
            <w:tcW w:w="1125" w:type="dxa"/>
            <w:gridSpan w:val="2"/>
            <w:tcBorders>
              <w:top w:val="nil"/>
              <w:left w:val="nil"/>
              <w:bottom w:val="nil"/>
              <w:right w:val="nil"/>
            </w:tcBorders>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Exhibit No.</w:t>
            </w:r>
          </w:p>
        </w:tc>
        <w:tc>
          <w:tcPr>
            <w:tcW w:w="89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Description</w:t>
            </w:r>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3.1</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1" w:history="1">
              <w:r>
                <w:rPr>
                  <w:rFonts w:ascii="Times New Roman" w:eastAsia="Times New Roman" w:hAnsi="Times New Roman" w:cs="Times New Roman"/>
                  <w:color w:val="0000FF"/>
                  <w:sz w:val="20"/>
                  <w:u w:val="single"/>
                </w:rPr>
                <w:t>Amended and Restated Articles of Incorporation of IZEA, Inc., filed with the Nevada Secretary of State on November 28, 2011 (Incorporated by reference to Exhibit 3.1 to the Company's Current Report on Form 8-K filed with the SEC on November 23, 2011).</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3.2</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2" w:history="1">
              <w:r>
                <w:rPr>
                  <w:rFonts w:ascii="Times New Roman" w:eastAsia="Times New Roman" w:hAnsi="Times New Roman" w:cs="Times New Roman"/>
                  <w:color w:val="0000FF"/>
                  <w:sz w:val="20"/>
                  <w:u w:val="single"/>
                </w:rPr>
                <w:t>Certificate of Change of IZEA, Inc., filed with the Nevada Secretary of State on July 30, 2012 (Incorporated by reference to Exhibit 3.1 to the Company’s Current Report on Form 8-K filed with the SEC on August 1, 2012).</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3.3</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3" w:history="1">
              <w:r>
                <w:rPr>
                  <w:rFonts w:ascii="Times New Roman" w:eastAsia="Times New Roman" w:hAnsi="Times New Roman" w:cs="Times New Roman"/>
                  <w:color w:val="0000FF"/>
                  <w:sz w:val="20"/>
                  <w:u w:val="single"/>
                </w:rPr>
                <w:t>Certificate of Amendment to Articles of Incorporation filed with the Secretary of State of the State of Nevada on April 17, 2014 (Incorporated by reference to Exhibit 3.1 to the Company’s Current Report on Form 8-K filed with the SEC on April 18, 2014).</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3.4</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4" w:history="1">
              <w:r>
                <w:rPr>
                  <w:rFonts w:ascii="Times New Roman" w:eastAsia="Times New Roman" w:hAnsi="Times New Roman" w:cs="Times New Roman"/>
                  <w:color w:val="0000FF"/>
                  <w:sz w:val="20"/>
                  <w:u w:val="single"/>
                </w:rPr>
                <w:t>Certificate of Withdrawal of Certificate of Designation filed with the Secretary of State of the State of Nevada effective January 23, 2015 (Incorporated by reference to Exhibit 3.1 to the Company’s Current Report on Form 8-K filed with the SEC on January 29, 2015).</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3.5</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5" w:history="1">
              <w:r>
                <w:rPr>
                  <w:rFonts w:ascii="Times New Roman" w:eastAsia="Times New Roman" w:hAnsi="Times New Roman" w:cs="Times New Roman"/>
                  <w:color w:val="0000FF"/>
                  <w:sz w:val="20"/>
                  <w:u w:val="single"/>
                </w:rPr>
                <w:t>Certificate of Amendment filed with the Secretary of State of the State of Nevada effective January 11, 2016 (Incorporated by reference to Exhibit 3.1 to the Company’s Current Report on Form 8-K filed with the SEC on January 12, 2016).</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3.6</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6" w:history="1">
              <w:r>
                <w:rPr>
                  <w:rFonts w:ascii="Times New Roman" w:eastAsia="Times New Roman" w:hAnsi="Times New Roman" w:cs="Times New Roman"/>
                  <w:color w:val="0000FF"/>
                  <w:sz w:val="20"/>
                  <w:u w:val="single"/>
                </w:rPr>
                <w:t>Amended and Restated Bylaws of IZEA, Inc. (Incorporated by reference to Exhibit 3.2 to the Current Report on Form 8-K filed with the SEC on November 23, 2011).</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3.7</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7" w:history="1">
              <w:r>
                <w:rPr>
                  <w:rFonts w:ascii="Times New Roman" w:eastAsia="Times New Roman" w:hAnsi="Times New Roman" w:cs="Times New Roman"/>
                  <w:color w:val="0000FF"/>
                  <w:sz w:val="20"/>
                  <w:u w:val="single"/>
                </w:rPr>
                <w:t>Certificate of Designation (Incorporated by reference to Exhibit 3.1 to the Company’s Current Report on Form 8-K filed with the SEC on May 27, 2011).</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3.8</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8" w:history="1">
              <w:r>
                <w:rPr>
                  <w:rFonts w:ascii="Times New Roman" w:eastAsia="Times New Roman" w:hAnsi="Times New Roman" w:cs="Times New Roman"/>
                  <w:color w:val="0000FF"/>
                  <w:sz w:val="20"/>
                  <w:u w:val="single"/>
                </w:rPr>
                <w:t>Articles of Merger of IZEA Innovations, Inc. filed with the Secretary of State of the State of Nevada effective April 5, 2016 (Incorporated by reference to Exhibit 3.11 to the Company's Quarterly Report on Form 10-Q filed with the SEC on May 11, 2016).</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3.9</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9" w:history="1">
              <w:r>
                <w:rPr>
                  <w:rFonts w:ascii="Times New Roman" w:eastAsia="Times New Roman" w:hAnsi="Times New Roman" w:cs="Times New Roman"/>
                  <w:color w:val="0000FF"/>
                  <w:sz w:val="20"/>
                  <w:u w:val="single"/>
                </w:rPr>
                <w:t>Articles of Merger of IZEA Worldwide, Inc. filed with the Secretary of State of the State of Nevada effective August 20, 2018 (Incorporated by reference to Exhibit 3.1 to the Company's Current Report on Form 8-K filed with the SEC on August 23, 2018).</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3.10</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0" w:history="1">
              <w:r>
                <w:rPr>
                  <w:rFonts w:ascii="Times New Roman" w:eastAsia="Times New Roman" w:hAnsi="Times New Roman" w:cs="Times New Roman"/>
                  <w:color w:val="0000FF"/>
                  <w:sz w:val="20"/>
                  <w:u w:val="single"/>
                </w:rPr>
                <w:t xml:space="preserve">Articles of Merger of IZEA Worldwide, Inc. filed with the Secretary of State of the State of Nevada effective December 17, 2019 (Incorporated by reference to Exhibit 3.10 to the Company’s Annual Report on Form 10-K filed with the SEC on March 30, 2020). </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3.11</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1" w:history="1">
              <w:r>
                <w:rPr>
                  <w:rFonts w:ascii="Times New Roman" w:eastAsia="Times New Roman" w:hAnsi="Times New Roman" w:cs="Times New Roman"/>
                  <w:color w:val="0000FF"/>
                  <w:sz w:val="20"/>
                  <w:u w:val="single"/>
                </w:rPr>
                <w:t>Articles of Merger of IZEA Worldwide, Inc. filed with the Secretary of State of the State of Nevada effective December 14, 2020 (Incorporated by reference to Exhibit 3.11 to the Company’s Annual Report on Form 10-K filed with the SEC on March 30, 2021).</w:t>
              </w:r>
            </w:hyperlink>
          </w:p>
        </w:tc>
      </w:tr>
      <w:tr>
        <w:tblPrEx>
          <w:tblW w:w="10251" w:type="dxa"/>
          <w:tblInd w:w="0" w:type="dxa"/>
          <w:tblCellMar>
            <w:left w:w="108" w:type="dxa"/>
            <w:right w:w="108" w:type="dxa"/>
          </w:tblCellMar>
        </w:tblPrEx>
        <w:trPr>
          <w:cantSplit/>
          <w:trHeight w:hRule="exact" w:val="300"/>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31.1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2" w:history="1">
              <w:r>
                <w:rPr>
                  <w:rFonts w:ascii="Times New Roman" w:eastAsia="Times New Roman" w:hAnsi="Times New Roman" w:cs="Times New Roman"/>
                  <w:color w:val="0000FF"/>
                  <w:sz w:val="20"/>
                  <w:u w:val="single"/>
                </w:rPr>
                <w:t>Certification of Principal Executive Officer pursuant to Section 302 of the Sarbanes-Oxley Act of 2002.</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31.2</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3" w:history="1">
              <w:r>
                <w:rPr>
                  <w:rFonts w:ascii="Times New Roman" w:eastAsia="Times New Roman" w:hAnsi="Times New Roman" w:cs="Times New Roman"/>
                  <w:color w:val="0000FF"/>
                  <w:sz w:val="20"/>
                  <w:u w:val="single"/>
                </w:rPr>
                <w:t>Certification of Principal Financial and Accounting Officer pursuant to Section 302 of the Sarbanes-Oxley Act of 2002.</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32.1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(a)</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4" w:history="1">
              <w:r>
                <w:rPr>
                  <w:rFonts w:ascii="Times New Roman" w:eastAsia="Times New Roman" w:hAnsi="Times New Roman" w:cs="Times New Roman"/>
                  <w:color w:val="0000FF"/>
                  <w:sz w:val="20"/>
                  <w:u w:val="single"/>
                </w:rPr>
                <w:t>Certification of Principal Executive Officer pursuant to 18 U.S.C. Section 1350, as adopted pursuant to Section 906 of the Sarbanes-Oxley Act of 2002.</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32.2</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(a)</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5" w:history="1">
              <w:r>
                <w:rPr>
                  <w:rFonts w:ascii="Times New Roman" w:eastAsia="Times New Roman" w:hAnsi="Times New Roman" w:cs="Times New Roman"/>
                  <w:color w:val="0000FF"/>
                  <w:sz w:val="20"/>
                  <w:u w:val="single"/>
                </w:rPr>
                <w:t>Certification of Principal Financial and Accounting Officer pursuant to 18 U.S.C. Section 1350, as adopted pursuant to Section 906 of the Sarbanes-Oxley Act of 2002.</w:t>
              </w:r>
            </w:hyperlink>
          </w:p>
        </w:tc>
      </w:tr>
      <w:tr>
        <w:tblPrEx>
          <w:tblW w:w="10251" w:type="dxa"/>
          <w:tblInd w:w="0" w:type="dxa"/>
          <w:tblCellMar>
            <w:left w:w="108" w:type="dxa"/>
            <w:right w:w="108" w:type="dxa"/>
          </w:tblCellMar>
        </w:tblPrEx>
        <w:trPr>
          <w:cantSplit/>
          <w:trHeight w:hRule="exact" w:val="10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101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 (b)</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materials from IZEA Worldwide, Inc.'s Quarterly Report for the quarter ended </w:t>
            </w:r>
            <w:r>
              <w:rPr>
                <w:rFonts w:ascii="Times New Roman" w:eastAsia="Times New Roman" w:hAnsi="Times New Roman" w:cs="Times New Roman"/>
                <w:sz w:val="20"/>
              </w:rPr>
              <w:t>March 31, 2021</w:t>
            </w:r>
            <w:r>
              <w:rPr>
                <w:rFonts w:ascii="Times New Roman" w:eastAsia="Times New Roman" w:hAnsi="Times New Roman" w:cs="Times New Roman"/>
                <w:sz w:val="20"/>
              </w:rPr>
              <w:t xml:space="preserve"> are formatted in XBRL (eXtensible Business Reporting Language): (i) the </w:t>
            </w:r>
            <w:r>
              <w:rPr>
                <w:rFonts w:ascii="Times New Roman" w:eastAsia="Times New Roman" w:hAnsi="Times New Roman" w:cs="Times New Roman"/>
                <w:sz w:val="20"/>
              </w:rPr>
              <w:t xml:space="preserve">Unaudited </w:t>
            </w:r>
            <w:r>
              <w:rPr>
                <w:rFonts w:ascii="Times New Roman" w:eastAsia="Times New Roman" w:hAnsi="Times New Roman" w:cs="Times New Roman"/>
                <w:sz w:val="20"/>
              </w:rPr>
              <w:t xml:space="preserve">Consolidated Balance Sheets, (ii) the </w:t>
            </w:r>
            <w:r>
              <w:rPr>
                <w:rFonts w:ascii="Times New Roman" w:eastAsia="Times New Roman" w:hAnsi="Times New Roman" w:cs="Times New Roman"/>
                <w:sz w:val="20"/>
              </w:rPr>
              <w:t xml:space="preserve">Unaudited </w:t>
            </w:r>
            <w:r>
              <w:rPr>
                <w:rFonts w:ascii="Times New Roman" w:eastAsia="Times New Roman" w:hAnsi="Times New Roman" w:cs="Times New Roman"/>
                <w:sz w:val="20"/>
              </w:rPr>
              <w:t xml:space="preserve">Consolidated Statements of Operations and Comprehensive Loss, (iii) the </w:t>
            </w:r>
            <w:r>
              <w:rPr>
                <w:rFonts w:ascii="Times New Roman" w:eastAsia="Times New Roman" w:hAnsi="Times New Roman" w:cs="Times New Roman"/>
                <w:sz w:val="20"/>
              </w:rPr>
              <w:t xml:space="preserve">Unaudited </w:t>
            </w:r>
            <w:r>
              <w:rPr>
                <w:rFonts w:ascii="Times New Roman" w:eastAsia="Times New Roman" w:hAnsi="Times New Roman" w:cs="Times New Roman"/>
                <w:sz w:val="20"/>
              </w:rPr>
              <w:t xml:space="preserve">Consolidated Statement of Stockholders' Equity, (iv) the </w:t>
            </w:r>
            <w:r>
              <w:rPr>
                <w:rFonts w:ascii="Times New Roman" w:eastAsia="Times New Roman" w:hAnsi="Times New Roman" w:cs="Times New Roman"/>
                <w:sz w:val="20"/>
              </w:rPr>
              <w:t xml:space="preserve">Unaudited </w:t>
            </w:r>
            <w:r>
              <w:rPr>
                <w:rFonts w:ascii="Times New Roman" w:eastAsia="Times New Roman" w:hAnsi="Times New Roman" w:cs="Times New Roman"/>
                <w:sz w:val="20"/>
              </w:rPr>
              <w:t xml:space="preserve">Consolidated Statements of Cash Flow, and (iv) the Notes to the </w:t>
            </w:r>
            <w:r>
              <w:rPr>
                <w:rFonts w:ascii="Times New Roman" w:eastAsia="Times New Roman" w:hAnsi="Times New Roman" w:cs="Times New Roman"/>
                <w:sz w:val="20"/>
              </w:rPr>
              <w:t xml:space="preserve">Unaudited </w:t>
            </w:r>
            <w:r>
              <w:rPr>
                <w:rFonts w:ascii="Times New Roman" w:eastAsia="Times New Roman" w:hAnsi="Times New Roman" w:cs="Times New Roman"/>
                <w:sz w:val="20"/>
              </w:rPr>
              <w:t>Consolidated Financial Statements.</w:t>
            </w:r>
          </w:p>
        </w:tc>
      </w:tr>
    </w:tbl>
    <w:p>
      <w:pPr>
        <w:keepNext w:val="0"/>
        <w:keepLines w:val="0"/>
        <w:pageBreakBefore w:val="0"/>
        <w:widowControl/>
        <w:numPr>
          <w:ilvl w:val="0"/>
          <w:numId w:val="0"/>
        </w:numPr>
        <w:tabs>
          <w:tab w:val="left" w:pos="720"/>
        </w:tabs>
        <w:spacing w:before="60" w:after="0" w:line="288" w:lineRule="auto"/>
        <w:ind w:left="720" w:right="0" w:hanging="720"/>
        <w:jc w:val="both"/>
        <w:outlineLvl w:val="9"/>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Filed or furnished herewith.</w:t>
      </w:r>
    </w:p>
    <w:p>
      <w:pPr>
        <w:keepNext w:val="0"/>
        <w:keepLines w:val="0"/>
        <w:pageBreakBefore w:val="0"/>
        <w:widowControl/>
        <w:numPr>
          <w:ilvl w:val="0"/>
          <w:numId w:val="0"/>
        </w:numPr>
        <w:tabs>
          <w:tab w:val="left" w:pos="720"/>
        </w:tabs>
        <w:spacing w:before="0" w:after="0" w:line="288" w:lineRule="auto"/>
        <w:ind w:left="720" w:right="0" w:hanging="72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tabs>
          <w:tab w:val="left" w:pos="720"/>
        </w:tabs>
        <w:spacing w:before="0" w:after="0" w:line="288" w:lineRule="auto"/>
        <w:ind w:left="72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w:t>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In accordance with Item 601of Regulation S-K, this Exhibit is hereby furnished to the SEC as an accompanying document and is not deemed “filed” for purposes of Section 18 of the Securities Exchange Act of 1934, as amended (the “Exchange Act”) or otherwise subject to the liabilities of that Section, nor shall it be deemed incorporated by reference into any filing under the Securities Act of 1933.</w:t>
      </w:r>
    </w:p>
    <w:p>
      <w:pPr>
        <w:keepNext w:val="0"/>
        <w:keepLines w:val="0"/>
        <w:pageBreakBefore w:val="0"/>
        <w:widowControl/>
        <w:numPr>
          <w:ilvl w:val="0"/>
          <w:numId w:val="0"/>
        </w:numPr>
        <w:spacing w:before="0" w:after="0" w:line="288" w:lineRule="auto"/>
        <w:ind w:left="720" w:right="0" w:hanging="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72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b</w:t>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In accordance with Rule 406T of Regulation S-T, the XBRL related information in Exhibit 101 to this Quarterly Report on Form 10-Q shall not be deemed to be “filed” for purposes of Section 18 of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pPr>
        <w:keepNext w:val="0"/>
        <w:keepLines w:val="0"/>
        <w:pageBreakBefore w:val="0"/>
        <w:widowControl/>
        <w:numPr>
          <w:ilvl w:val="0"/>
          <w:numId w:val="0"/>
        </w:numPr>
        <w:spacing w:before="0" w:after="0" w:line="288" w:lineRule="auto"/>
        <w:ind w:left="720" w:right="0" w:hanging="720"/>
        <w:jc w:val="left"/>
        <w:outlineLvl w:val="9"/>
        <w:rPr>
          <w:rFonts w:ascii="Times New Roman" w:eastAsia="Times New Roman" w:hAnsi="Times New Roman" w:cs="Times New Roman"/>
          <w:sz w:val="20"/>
        </w:rPr>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40" w:name="Section41"/>
      <w:bookmarkEnd w:id="40"/>
      <w:r>
        <w:rPr>
          <w:rFonts w:ascii="Times New Roman" w:eastAsia="Times New Roman" w:hAnsi="Times New Roman" w:cs="Times New Roman"/>
          <w:b/>
          <w:sz w:val="20"/>
        </w:rPr>
        <w:t>SIGNATURES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Pursuant to the requirements of Section 13 or 15(d) of the Securities Exchange Act of 1934, the Registrant has duly caused this report to be signed on its behalf by the undersigned, thereunto duly authorized.</w:t>
      </w:r>
    </w:p>
    <w:p>
      <w:pPr>
        <w:keepNext w:val="0"/>
        <w:keepLines w:val="0"/>
        <w:pageBreakBefore w:val="0"/>
        <w:widowControl/>
        <w:numPr>
          <w:ilvl w:val="0"/>
          <w:numId w:val="0"/>
        </w:numPr>
        <w:spacing w:before="0" w:after="10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0"/>
        <w:gridCol w:w="495"/>
        <w:gridCol w:w="6615"/>
      </w:tblGrid>
      <w:tr>
        <w:tblPrEx>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80"/>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11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ind w:left="0"/>
              <w:jc w:val="left"/>
            </w:pPr>
            <w:r>
              <w:rPr>
                <w:rFonts w:ascii="Times New Roman" w:eastAsia="Times New Roman" w:hAnsi="Times New Roman" w:cs="Times New Roman"/>
                <w:b/>
                <w:color w:val="000000"/>
                <w:sz w:val="20"/>
              </w:rPr>
              <w:t>IZEA Worldwide, Inc.</w:t>
            </w:r>
          </w:p>
          <w:p>
            <w:pPr>
              <w:spacing w:after="30" w:line="240" w:lineRule="auto"/>
              <w:ind w:left="0"/>
              <w:jc w:val="left"/>
            </w:pPr>
            <w:r>
              <w:rPr>
                <w:rFonts w:ascii="Times New Roman" w:eastAsia="Times New Roman" w:hAnsi="Times New Roman" w:cs="Times New Roman"/>
                <w:b/>
                <w:color w:val="000000"/>
                <w:sz w:val="20"/>
              </w:rPr>
              <w:t>a Nevada corporation</w:t>
            </w:r>
          </w:p>
        </w:tc>
      </w:tr>
      <w:tr>
        <w:tblPrEx>
          <w:tblW w:w="10435" w:type="dxa"/>
          <w:tblInd w:w="0" w:type="dxa"/>
          <w:tblCellMar>
            <w:left w:w="108" w:type="dxa"/>
            <w:right w:w="108" w:type="dxa"/>
          </w:tblCellMar>
        </w:tblPrEx>
        <w:trPr>
          <w:cantSplit/>
          <w:trHeight w:hRule="exact" w:val="360"/>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66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r>
      <w:tr>
        <w:tblPrEx>
          <w:tblW w:w="10435" w:type="dxa"/>
          <w:tblInd w:w="0" w:type="dxa"/>
          <w:tblCellMar>
            <w:left w:w="108" w:type="dxa"/>
            <w:right w:w="108" w:type="dxa"/>
          </w:tblCellMar>
        </w:tblPrEx>
        <w:trPr>
          <w:cantSplit/>
          <w:trHeight w:hRule="exact" w:val="285"/>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May 13, 2021</w:t>
            </w:r>
          </w:p>
        </w:tc>
        <w:tc>
          <w:tcPr>
            <w:tcW w:w="495" w:type="dxa"/>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jc w:val="left"/>
            </w:pPr>
            <w:r>
              <w:rPr>
                <w:rFonts w:ascii="Times New Roman" w:eastAsia="Times New Roman" w:hAnsi="Times New Roman" w:cs="Times New Roman"/>
                <w:color w:val="000000"/>
                <w:sz w:val="20"/>
              </w:rPr>
              <w:t>By: </w:t>
            </w:r>
          </w:p>
        </w:tc>
        <w:tc>
          <w:tcPr>
            <w:tcW w:w="6615" w:type="dxa"/>
            <w:tcBorders>
              <w:top w:val="nil"/>
              <w:left w:val="nil"/>
              <w:bottom w:val="single" w:sz="16"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Edward H. Murphy </w:t>
            </w:r>
          </w:p>
        </w:tc>
      </w:tr>
      <w:tr>
        <w:tblPrEx>
          <w:tblW w:w="10435" w:type="dxa"/>
          <w:tblInd w:w="0" w:type="dxa"/>
          <w:tblCellMar>
            <w:left w:w="108" w:type="dxa"/>
            <w:right w:w="108" w:type="dxa"/>
          </w:tblCellMar>
        </w:tblPrEx>
        <w:trPr>
          <w:cantSplit/>
          <w:trHeight w:hRule="exact" w:val="705"/>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6615" w:type="dxa"/>
            <w:tcBorders>
              <w:top w:val="single" w:sz="16" w:space="0" w:color="000000"/>
              <w:left w:val="nil"/>
              <w:bottom w:val="nil"/>
              <w:right w:val="nil"/>
            </w:tcBorders>
            <w:tcMar>
              <w:top w:w="0" w:type="dxa"/>
              <w:left w:w="53" w:type="dxa"/>
              <w:bottom w:w="0" w:type="dxa"/>
              <w:right w:w="53" w:type="dxa"/>
            </w:tcMar>
            <w:vAlign w:val="bottom"/>
          </w:tcPr>
          <w:p>
            <w:pPr>
              <w:keepNext/>
              <w:pageBreakBefore w:val="0"/>
              <w:spacing w:before="35" w:line="240" w:lineRule="auto"/>
              <w:ind w:left="0"/>
              <w:jc w:val="left"/>
            </w:pPr>
            <w:r>
              <w:rPr>
                <w:rFonts w:ascii="Times New Roman" w:eastAsia="Times New Roman" w:hAnsi="Times New Roman" w:cs="Times New Roman"/>
                <w:color w:val="000000"/>
                <w:sz w:val="20"/>
              </w:rPr>
              <w:t>Edward H. Murphy</w:t>
            </w:r>
          </w:p>
          <w:p>
            <w:pPr>
              <w:spacing w:line="240" w:lineRule="auto"/>
              <w:ind w:left="0"/>
              <w:jc w:val="left"/>
            </w:pPr>
            <w:r>
              <w:rPr>
                <w:rFonts w:ascii="Times New Roman" w:eastAsia="Times New Roman" w:hAnsi="Times New Roman" w:cs="Times New Roman"/>
                <w:color w:val="000000"/>
                <w:sz w:val="20"/>
              </w:rPr>
              <w:t>Chairman and Chief Executive Officer</w:t>
            </w:r>
          </w:p>
          <w:p>
            <w:pPr>
              <w:spacing w:after="30" w:line="240" w:lineRule="auto"/>
              <w:ind w:left="0"/>
              <w:jc w:val="left"/>
            </w:pPr>
            <w:r>
              <w:rPr>
                <w:rFonts w:ascii="Times New Roman" w:eastAsia="Times New Roman" w:hAnsi="Times New Roman" w:cs="Times New Roman"/>
                <w:color w:val="000000"/>
                <w:sz w:val="20"/>
              </w:rPr>
              <w:t>(Principal Executive Officer) </w:t>
            </w:r>
          </w:p>
        </w:tc>
      </w:tr>
      <w:tr>
        <w:tblPrEx>
          <w:tblW w:w="10435" w:type="dxa"/>
          <w:tblInd w:w="0" w:type="dxa"/>
          <w:tblCellMar>
            <w:left w:w="108" w:type="dxa"/>
            <w:right w:w="108" w:type="dxa"/>
          </w:tblCellMar>
        </w:tblPrEx>
        <w:trPr>
          <w:cantSplit/>
          <w:trHeight w:hRule="exact" w:val="360"/>
        </w:trPr>
        <w:tc>
          <w:tcPr>
            <w:tcW w:w="3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6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35" w:type="dxa"/>
          <w:tblInd w:w="0" w:type="dxa"/>
          <w:tblCellMar>
            <w:left w:w="108" w:type="dxa"/>
            <w:right w:w="108" w:type="dxa"/>
          </w:tblCellMar>
        </w:tblPrEx>
        <w:trPr>
          <w:cantSplit/>
          <w:trHeight w:hRule="exact" w:val="300"/>
        </w:trPr>
        <w:tc>
          <w:tcPr>
            <w:tcW w:w="31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May 13, 2021</w:t>
            </w:r>
          </w:p>
        </w:tc>
        <w:tc>
          <w:tcPr>
            <w:tcW w:w="495" w:type="dxa"/>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jc w:val="left"/>
            </w:pPr>
            <w:r>
              <w:rPr>
                <w:rFonts w:ascii="Times New Roman" w:eastAsia="Times New Roman" w:hAnsi="Times New Roman" w:cs="Times New Roman"/>
                <w:color w:val="000000"/>
                <w:sz w:val="20"/>
              </w:rPr>
              <w:t>By: </w:t>
            </w:r>
          </w:p>
        </w:tc>
        <w:tc>
          <w:tcPr>
            <w:tcW w:w="6615" w:type="dxa"/>
            <w:tcBorders>
              <w:top w:val="nil"/>
              <w:left w:val="nil"/>
              <w:bottom w:val="single" w:sz="16"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Peter J. Biere</w:t>
            </w:r>
          </w:p>
        </w:tc>
      </w:tr>
      <w:tr>
        <w:tblPrEx>
          <w:tblW w:w="10435" w:type="dxa"/>
          <w:tblInd w:w="0" w:type="dxa"/>
          <w:tblCellMar>
            <w:left w:w="108" w:type="dxa"/>
            <w:right w:w="108" w:type="dxa"/>
          </w:tblCellMar>
        </w:tblPrEx>
        <w:trPr>
          <w:cantSplit/>
          <w:trHeight w:hRule="exact" w:val="705"/>
        </w:trPr>
        <w:tc>
          <w:tcPr>
            <w:tcW w:w="3120"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 </w:t>
            </w:r>
          </w:p>
        </w:tc>
        <w:tc>
          <w:tcPr>
            <w:tcW w:w="6615" w:type="dxa"/>
            <w:tcBorders>
              <w:top w:val="single" w:sz="16" w:space="0" w:color="000000"/>
              <w:left w:val="nil"/>
              <w:bottom w:val="nil"/>
              <w:right w:val="nil"/>
            </w:tcBorders>
            <w:tcMar>
              <w:top w:w="0" w:type="dxa"/>
              <w:left w:w="53" w:type="dxa"/>
              <w:bottom w:w="0" w:type="dxa"/>
              <w:right w:w="53" w:type="dxa"/>
            </w:tcMar>
            <w:vAlign w:val="bottom"/>
          </w:tcPr>
          <w:p>
            <w:pPr>
              <w:pageBreakBefore w:val="0"/>
              <w:spacing w:before="35" w:line="240" w:lineRule="auto"/>
              <w:ind w:left="0"/>
              <w:jc w:val="left"/>
            </w:pPr>
            <w:r>
              <w:rPr>
                <w:rFonts w:ascii="Times New Roman" w:eastAsia="Times New Roman" w:hAnsi="Times New Roman" w:cs="Times New Roman"/>
                <w:color w:val="000000"/>
                <w:sz w:val="20"/>
              </w:rPr>
              <w:t>Peter J. Biere</w:t>
            </w:r>
          </w:p>
          <w:p>
            <w:pPr>
              <w:spacing w:line="240" w:lineRule="auto"/>
              <w:ind w:left="0"/>
              <w:jc w:val="left"/>
            </w:pPr>
            <w:r>
              <w:rPr>
                <w:rFonts w:ascii="Times New Roman" w:eastAsia="Times New Roman" w:hAnsi="Times New Roman" w:cs="Times New Roman"/>
                <w:color w:val="000000"/>
                <w:sz w:val="20"/>
              </w:rPr>
              <w:t>Chief Financial Officer</w:t>
            </w:r>
          </w:p>
          <w:p>
            <w:pPr>
              <w:spacing w:after="30" w:line="240" w:lineRule="auto"/>
              <w:ind w:left="0"/>
              <w:jc w:val="left"/>
            </w:pPr>
            <w:r>
              <w:rPr>
                <w:rFonts w:ascii="Times New Roman" w:eastAsia="Times New Roman" w:hAnsi="Times New Roman" w:cs="Times New Roman"/>
                <w:color w:val="000000"/>
                <w:sz w:val="20"/>
              </w:rPr>
              <w:t>(Principal Financial and Accounting Officer) </w:t>
            </w: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41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sectPr>
      <w:pgSz w:w="12240" w:h="15840"/>
      <w:pgMar w:top="855" w:right="990" w:bottom="855" w:left="990" w:header="270" w:footer="27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45</w:t>
    </w:r>
    <w:r>
      <w:rPr>
        <w:rFonts w:ascii="Times New Roman" w:eastAsia="Times New Roman" w:hAnsi="Times New Roman" w:cs="Times New Roman"/>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6"/>
      </w:rPr>
    </w:pPr>
    <w:hyperlink w:anchor="Section2" w:history="1">
      <w:r>
        <w:rPr>
          <w:rFonts w:ascii="Times New Roman" w:eastAsia="Times New Roman" w:hAnsi="Times New Roman" w:cs="Times New Roman"/>
          <w:color w:val="0000FF"/>
          <w:sz w:val="16"/>
          <w:u w:val="single"/>
        </w:rPr>
        <w:t>Table of Contents</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b/>
        <w:sz w:val="20"/>
      </w:rPr>
    </w:pPr>
    <w:r>
      <w:rPr>
        <w:rFonts w:ascii="Times New Roman" w:eastAsia="Times New Roman" w:hAnsi="Times New Roman" w:cs="Times New Roman"/>
        <w:b/>
        <w:sz w:val="20"/>
      </w:rPr>
      <w:t>IZEA Worldwide, Inc.</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Notes to the </w:t>
    </w:r>
    <w:r>
      <w:rPr>
        <w:rFonts w:ascii="Times New Roman" w:eastAsia="Times New Roman" w:hAnsi="Times New Roman" w:cs="Times New Roman"/>
        <w:b/>
        <w:sz w:val="20"/>
      </w:rPr>
      <w:t>U</w:t>
    </w:r>
    <w:r>
      <w:rPr>
        <w:rFonts w:ascii="Times New Roman" w:eastAsia="Times New Roman" w:hAnsi="Times New Roman" w:cs="Times New Roman"/>
        <w:b/>
        <w:sz w:val="20"/>
      </w:rPr>
      <w:t xml:space="preserve">naudited </w:t>
    </w:r>
    <w:r>
      <w:rPr>
        <w:rFonts w:ascii="Times New Roman" w:eastAsia="Times New Roman" w:hAnsi="Times New Roman" w:cs="Times New Roman"/>
        <w:b/>
        <w:sz w:val="20"/>
      </w:rPr>
      <w:t>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3"/>
      <w:rPr>
        <w:rFonts w:ascii="Times New Roman" w:eastAsia="Times New Roman" w:hAnsi="Times New Roman" w:cs="Times New Roman"/>
        <w:b/>
        <w:sz w:val="20"/>
      </w:rPr>
    </w:pPr>
    <w:r>
      <w:rPr>
        <w:rFonts w:ascii="Times New Roman" w:eastAsia="Times New Roman" w:hAnsi="Times New Roman" w:cs="Times New Roman"/>
        <w:b/>
        <w:sz w:val="20"/>
      </w:rPr>
      <w:t>IZEA Worldwide, Inc.</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Notes to the 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6"/>
      </w:rPr>
    </w:pPr>
    <w:hyperlink w:anchor="Section2" w:history="1">
      <w:r>
        <w:rPr>
          <w:rFonts w:ascii="Times New Roman" w:eastAsia="Times New Roman" w:hAnsi="Times New Roman" w:cs="Times New Roman"/>
          <w:color w:val="0000FF"/>
          <w:sz w:val="16"/>
          <w:u w:val="single"/>
        </w:rPr>
        <w:t>Table of Contents</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nsid w:val="00000002"/>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nsid w:val="00000003"/>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nsid w:val="00000004"/>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nsid w:val="00000005"/>
    <w:multiLevelType w:val="multilevel"/>
    <w:tmpl w:val="00000001"/>
    <w:lvl w:ilvl="0">
      <w:start w:val="1"/>
      <w:numFmt w:val="decimal"/>
      <w:lvlText w:val="•"/>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nsid w:val="00000006"/>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nsid w:val="00000007"/>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nsid w:val="00000008"/>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nsid w:val="00000009"/>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nsid w:val="0000000A"/>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nsid w:val="0000000B"/>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nsid w:val="0000000C"/>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nsid w:val="0000000D"/>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
    <w:nsid w:val="0000000E"/>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
    <w:nsid w:val="0000000F"/>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nsid w:val="00000010"/>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
    <w:nsid w:val="00000011"/>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
    <w:nsid w:val="00000012"/>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
    <w:nsid w:val="00000013"/>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
    <w:nsid w:val="00000014"/>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
    <w:nsid w:val="00000015"/>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
    <w:nsid w:val="00000016"/>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
    <w:nsid w:val="00000017"/>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
    <w:nsid w:val="00000018"/>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
    <w:nsid w:val="00000019"/>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
    <w:nsid w:val="0000001A"/>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
    <w:nsid w:val="0000001B"/>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
    <w:nsid w:val="0000001C"/>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
    <w:nsid w:val="0000001D"/>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
    <w:nsid w:val="0000001E"/>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
    <w:nsid w:val="0000001F"/>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
    <w:nsid w:val="00000020"/>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
    <w:nsid w:val="00000021"/>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
    <w:nsid w:val="00000022"/>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
    <w:nsid w:val="00000023"/>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
    <w:nsid w:val="00000024"/>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
    <w:nsid w:val="00000025"/>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
    <w:nsid w:val="00000026"/>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
    <w:nsid w:val="00000027"/>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
    <w:nsid w:val="00000028"/>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
    <w:nsid w:val="00000029"/>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
    <w:nsid w:val="0000002A"/>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
    <w:nsid w:val="0000002B"/>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
    <w:nsid w:val="0000002C"/>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
    <w:nsid w:val="0000002D"/>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
    <w:nsid w:val="0000002E"/>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
    <w:nsid w:val="0000002F"/>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
    <w:nsid w:val="00000030"/>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
    <w:nsid w:val="00000031"/>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
    <w:nsid w:val="00000032"/>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
    <w:nsid w:val="00000033"/>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1">
    <w:nsid w:val="00000034"/>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2">
    <w:nsid w:val="00000035"/>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3">
    <w:nsid w:val="00000036"/>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4">
    <w:nsid w:val="00000037"/>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5">
    <w:nsid w:val="00000038"/>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6">
    <w:nsid w:val="00000039"/>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7">
    <w:nsid w:val="0000003A"/>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8">
    <w:nsid w:val="0000003B"/>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9">
    <w:nsid w:val="0000003C"/>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0">
    <w:nsid w:val="0000003D"/>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1">
    <w:nsid w:val="0000003E"/>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2">
    <w:nsid w:val="0000003F"/>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3">
    <w:nsid w:val="00000040"/>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4">
    <w:nsid w:val="00000041"/>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5">
    <w:nsid w:val="00000042"/>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6">
    <w:nsid w:val="00000043"/>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7">
    <w:nsid w:val="00000044"/>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8">
    <w:nsid w:val="00000045"/>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9">
    <w:nsid w:val="00000046"/>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0">
    <w:nsid w:val="00000047"/>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1">
    <w:nsid w:val="00000048"/>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2">
    <w:nsid w:val="00000049"/>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3">
    <w:nsid w:val="0000004A"/>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4">
    <w:nsid w:val="0000004B"/>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5">
    <w:nsid w:val="0000004C"/>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6">
    <w:nsid w:val="0000004D"/>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7">
    <w:nsid w:val="0000004E"/>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8">
    <w:nsid w:val="0000004F"/>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9">
    <w:nsid w:val="00000050"/>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0">
    <w:nsid w:val="00000051"/>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1">
    <w:nsid w:val="00000052"/>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2">
    <w:nsid w:val="00000053"/>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3">
    <w:nsid w:val="00000054"/>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4">
    <w:nsid w:val="00000055"/>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5">
    <w:nsid w:val="00000056"/>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6">
    <w:nsid w:val="00000057"/>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7">
    <w:nsid w:val="00000058"/>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8">
    <w:nsid w:val="00000059"/>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9">
    <w:nsid w:val="0000005A"/>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0">
    <w:nsid w:val="0000005B"/>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1">
    <w:nsid w:val="0000005C"/>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2">
    <w:nsid w:val="0000005D"/>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3">
    <w:nsid w:val="0000005E"/>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4">
    <w:nsid w:val="0000005F"/>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noLeading/>
    <w:suppressTopSpacingWP/>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DiscSYMBOL">
    <w:name w:val="DiscSYMBOL•◦▪"/>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hyperlink" Target="http://www.sec.gov/Archives/edgar/data/1495231/000152153611000468/q1100271_ex3-1.htm" TargetMode="External" /><Relationship Id="rId12" Type="http://schemas.openxmlformats.org/officeDocument/2006/relationships/hyperlink" Target="http://www.sec.gov/Archives/edgar/data/1495231/000149523112000019/exhibit31certificateofchan.htm" TargetMode="External" /><Relationship Id="rId13" Type="http://schemas.openxmlformats.org/officeDocument/2006/relationships/hyperlink" Target="http://www.sec.gov/Archives/edgar/data/1495231/000149523114000020/ex3-1articlesamendment2014.htm" TargetMode="External" /><Relationship Id="rId14" Type="http://schemas.openxmlformats.org/officeDocument/2006/relationships/hyperlink" Target="http://www.sec.gov/Archives/edgar/data/1495231/000149523115000003/ex3-120150123nvcertificate.htm" TargetMode="External" /><Relationship Id="rId15" Type="http://schemas.openxmlformats.org/officeDocument/2006/relationships/hyperlink" Target="http://www.sec.gov/Archives/edgar/data/1495231/000149523116000071/ex31certificateofamendment.htm" TargetMode="External" /><Relationship Id="rId16" Type="http://schemas.openxmlformats.org/officeDocument/2006/relationships/hyperlink" Target="http://www.sec.gov/Archives/edgar/data/1495231/000152153611000468/q1100271_ex3-2.htm" TargetMode="External" /><Relationship Id="rId17" Type="http://schemas.openxmlformats.org/officeDocument/2006/relationships/hyperlink" Target="http://www.sec.gov/Archives/edgar/data/1495231/000146929911000365/izeaex31.htm" TargetMode="External" /><Relationship Id="rId18" Type="http://schemas.openxmlformats.org/officeDocument/2006/relationships/hyperlink" Target="http://www.sec.gov/Archives/edgar/data/1495231/000149523116000083/exhibit311nvmerger20160405.htm" TargetMode="External" /><Relationship Id="rId19" Type="http://schemas.openxmlformats.org/officeDocument/2006/relationships/hyperlink" Target="http://www.sec.gov/Archives/edgar/data/1495231/000149523118000091/exhibit31izeaworldwidein.htm" TargetMode="External" /><Relationship Id="rId2" Type="http://schemas.openxmlformats.org/officeDocument/2006/relationships/webSettings" Target="webSettings.xml" /><Relationship Id="rId20" Type="http://schemas.openxmlformats.org/officeDocument/2006/relationships/hyperlink" Target="http://www.sec.gov/Archives/edgar/data/1495231/000149523120000028/exhibit310izeanevadaarti.htm" TargetMode="External" /><Relationship Id="rId21" Type="http://schemas.openxmlformats.org/officeDocument/2006/relationships/hyperlink" Target="http://www.sec.gov/Archives/edgar/data/1495231/000149523121000058/exhibit311nvarticlesofme.htm" TargetMode="External" /><Relationship Id="rId22" Type="http://schemas.openxmlformats.org/officeDocument/2006/relationships/hyperlink" Target="wurl://docs.v1/doc:db85593dead542df954ca551d1b5010f" TargetMode="External" /><Relationship Id="rId23" Type="http://schemas.openxmlformats.org/officeDocument/2006/relationships/hyperlink" Target="wurl://docs.v1/doc:c363ae636efd49969c2a0ec17e4b24c3" TargetMode="External" /><Relationship Id="rId24" Type="http://schemas.openxmlformats.org/officeDocument/2006/relationships/hyperlink" Target="wurl://docs.v1/doc:fe8502f9d95d4c579a23b6c42cb39264" TargetMode="External" /><Relationship Id="rId25" Type="http://schemas.openxmlformats.org/officeDocument/2006/relationships/hyperlink" Target="wurl://docs.v1/doc:f5617ca74d8f4593b5f10ec5b2e5b4ab" TargetMode="Externa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IZEA 21.03.31 10-Q</dc:title>
  <cp:revision>1</cp:revision>
</cp:coreProperties>
</file>