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7.0 -->
  <w:body>
    <w:tbl>
      <w:tblPr>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245"/>
      </w:tblGrid>
      <w:tr>
        <w:tblPrEx>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5"/>
          <w:jc w:val="center"/>
        </w:trPr>
        <w:tc>
          <w:tcPr>
            <w:tcW w:w="10245" w:type="dxa"/>
            <w:tcBorders>
              <w:top w:val="single" w:sz="16" w:space="0" w:color="000000"/>
              <w:left w:val="nil"/>
              <w:bottom w:val="single" w:sz="8" w:space="0" w:color="000000"/>
              <w:right w:val="nil"/>
            </w:tcBorders>
            <w:tcMar>
              <w:top w:w="0" w:type="dxa"/>
              <w:left w:w="0" w:type="dxa"/>
              <w:bottom w:w="0" w:type="dxa"/>
              <w:right w:w="0" w:type="dxa"/>
            </w:tcMar>
            <w:vAlign w:val="bottom"/>
          </w:tcPr>
          <w:p>
            <w:pPr>
              <w:pageBreakBefore w:val="0"/>
              <w:spacing w:before="0" w:after="0"/>
            </w:pPr>
          </w:p>
        </w:tc>
      </w:tr>
    </w:tbl>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2"/>
        </w:rPr>
      </w:pPr>
      <w:bookmarkStart w:id="0" w:name="Section1"/>
      <w:bookmarkEnd w:id="0"/>
    </w:p>
    <w:p w:rsidR="00A77B3E">
      <w:pPr>
        <w:keepNext w:val="0"/>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sz w:val="22"/>
        </w:rPr>
      </w:pPr>
      <w:r>
        <w:rPr>
          <w:rFonts w:ascii="Times New Roman" w:eastAsia="Times New Roman" w:hAnsi="Times New Roman" w:cs="Times New Roman"/>
          <w:b/>
          <w:sz w:val="22"/>
        </w:rPr>
        <w:t>UNITED STATES</w:t>
      </w:r>
    </w:p>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2"/>
        </w:rPr>
      </w:pPr>
      <w:r>
        <w:rPr>
          <w:rFonts w:ascii="Times New Roman" w:eastAsia="Times New Roman" w:hAnsi="Times New Roman" w:cs="Times New Roman"/>
          <w:b/>
          <w:sz w:val="22"/>
        </w:rPr>
        <w:t>SECURITIES AND EXCHANGE COMMISSION</w:t>
      </w:r>
    </w:p>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2"/>
        </w:rPr>
      </w:pPr>
      <w:r>
        <w:rPr>
          <w:rFonts w:ascii="Times New Roman" w:eastAsia="Times New Roman" w:hAnsi="Times New Roman" w:cs="Times New Roman"/>
          <w:b/>
          <w:sz w:val="22"/>
        </w:rPr>
        <w:t>Washington D.C. 20549</w:t>
      </w:r>
    </w:p>
    <w:p w:rsidR="00A77B3E">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8"/>
        </w:rPr>
      </w:pPr>
      <w:r>
        <w:rPr>
          <w:rFonts w:ascii="Times New Roman" w:eastAsia="Times New Roman" w:hAnsi="Times New Roman" w:cs="Times New Roman"/>
          <w:b/>
          <w:sz w:val="28"/>
        </w:rPr>
        <w:t xml:space="preserve">FORM </w:t>
      </w:r>
      <w:r>
        <w:rPr>
          <w:rFonts w:ascii="Times New Roman" w:eastAsia="Times New Roman" w:hAnsi="Times New Roman" w:cs="Times New Roman"/>
          <w:b/>
          <w:sz w:val="28"/>
        </w:rPr>
        <w:t>10-K</w:t>
      </w:r>
    </w:p>
    <w:p w:rsidR="00A77B3E">
      <w:pPr>
        <w:keepNext w:val="0"/>
        <w:keepLines w:val="0"/>
        <w:pageBreakBefore w:val="0"/>
        <w:widowControl/>
        <w:numPr>
          <w:ilvl w:val="0"/>
          <w:numId w:val="0"/>
        </w:numPr>
        <w:spacing w:before="0" w:after="10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(Mark One)</w:t>
      </w:r>
    </w:p>
    <w:tbl>
      <w:tblPr>
        <w:tblW w:w="104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5"/>
        <w:gridCol w:w="9795"/>
      </w:tblGrid>
      <w:tr>
        <w:tblPrEx>
          <w:tblW w:w="104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43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Wingdings" w:eastAsia="Wingdings" w:hAnsi="Wingdings" w:cs="Wingdings"/>
                <w:color w:val="000000"/>
                <w:sz w:val="20"/>
              </w:rPr>
              <w:t>☒</w:t>
            </w:r>
          </w:p>
        </w:tc>
        <w:tc>
          <w:tcPr>
            <w:tcW w:w="979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Times New Roman" w:eastAsia="Times New Roman" w:hAnsi="Times New Roman" w:cs="Times New Roman"/>
                <w:color w:val="000000"/>
                <w:sz w:val="20"/>
              </w:rPr>
              <w:t>ANNUAL REPORT PURSUANT TO SECTION 13 OR 15(d) OF THE SECURITIES EXCHANGE ACT OF 1934</w:t>
            </w:r>
          </w:p>
        </w:tc>
      </w:tr>
    </w:tbl>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For the fiscal year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p>
    <w:p w:rsidR="00A77B3E">
      <w:pPr>
        <w:keepNext w:val="0"/>
        <w:keepLines w:val="0"/>
        <w:pageBreakBefore w:val="0"/>
        <w:widowControl/>
        <w:numPr>
          <w:ilvl w:val="0"/>
          <w:numId w:val="0"/>
        </w:numPr>
        <w:spacing w:before="0" w:after="100" w:line="288" w:lineRule="auto"/>
        <w:ind w:left="0" w:right="0" w:firstLine="0"/>
        <w:jc w:val="center"/>
        <w:outlineLvl w:val="9"/>
        <w:rPr>
          <w:rFonts w:ascii="Times New Roman" w:eastAsia="Times New Roman" w:hAnsi="Times New Roman" w:cs="Times New Roman"/>
          <w:sz w:val="20"/>
        </w:rPr>
      </w:pP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5"/>
        <w:gridCol w:w="9795"/>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43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Wingdings" w:eastAsia="Wingdings" w:hAnsi="Wingdings" w:cs="Wingdings"/>
                <w:color w:val="000000"/>
                <w:sz w:val="20"/>
              </w:rPr>
              <w:t>☐</w:t>
            </w:r>
          </w:p>
        </w:tc>
        <w:tc>
          <w:tcPr>
            <w:tcW w:w="979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Times New Roman" w:eastAsia="Times New Roman" w:hAnsi="Times New Roman" w:cs="Times New Roman"/>
                <w:color w:val="000000"/>
                <w:sz w:val="20"/>
              </w:rPr>
              <w:t>TRANSITION REPORT PURSUANT TO SECTION 13 OR 15(d) OF THE SECURITIES EXCHANGE ACT OF 1934</w:t>
            </w:r>
          </w:p>
        </w:tc>
      </w:tr>
    </w:tbl>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rsidR="00A77B3E">
      <w:pPr>
        <w:keepNext w:val="0"/>
        <w:keepLines w:val="0"/>
        <w:pageBreakBefore w:val="0"/>
        <w:widowControl/>
        <w:numPr>
          <w:ilvl w:val="0"/>
          <w:numId w:val="0"/>
        </w:numPr>
        <w:spacing w:before="0" w:after="0" w:line="288" w:lineRule="auto"/>
        <w:ind w:left="0" w:right="0" w:firstLine="45"/>
        <w:jc w:val="center"/>
        <w:outlineLvl w:val="9"/>
        <w:rPr>
          <w:rFonts w:ascii="Times New Roman" w:eastAsia="Times New Roman" w:hAnsi="Times New Roman" w:cs="Times New Roman"/>
          <w:sz w:val="20"/>
        </w:rPr>
      </w:pPr>
      <w:r>
        <w:rPr>
          <w:rFonts w:ascii="Times New Roman" w:eastAsia="Times New Roman" w:hAnsi="Times New Roman" w:cs="Times New Roman"/>
          <w:sz w:val="20"/>
        </w:rPr>
        <w:t>For the transition period from _________________ to _________________</w:t>
      </w:r>
    </w:p>
    <w:p w:rsidR="00A77B3E">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Commission File No.: </w:t>
      </w:r>
      <w:r>
        <w:rPr>
          <w:rFonts w:ascii="Times New Roman" w:eastAsia="Times New Roman" w:hAnsi="Times New Roman" w:cs="Times New Roman"/>
          <w:sz w:val="20"/>
        </w:rPr>
        <w:t>001-37703</w:t>
      </w:r>
    </w:p>
    <w:p w:rsidR="00A77B3E">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36"/>
        </w:rPr>
      </w:pPr>
      <w:r>
        <w:rPr>
          <w:rFonts w:ascii="Times New Roman" w:eastAsia="Times New Roman" w:hAnsi="Times New Roman" w:cs="Times New Roman"/>
          <w:b/>
          <w:sz w:val="36"/>
        </w:rPr>
        <w:t>IZEA WORLDWIDE, INC.</w:t>
      </w:r>
    </w:p>
    <w:p w:rsidR="00A77B3E">
      <w:pPr>
        <w:keepNext w:val="0"/>
        <w:keepLines w:val="0"/>
        <w:pageBreakBefore w:val="0"/>
        <w:widowControl/>
        <w:numPr>
          <w:ilvl w:val="0"/>
          <w:numId w:val="0"/>
        </w:numPr>
        <w:spacing w:before="0" w:after="10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(Exact name of registrant as specified in its charter)</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05"/>
        <w:gridCol w:w="435"/>
        <w:gridCol w:w="4905"/>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49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20"/>
              </w:rPr>
              <w:t>Nevada</w:t>
            </w:r>
          </w:p>
        </w:tc>
        <w:tc>
          <w:tcPr>
            <w:tcW w:w="4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49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20"/>
              </w:rPr>
              <w:t>37-1530765</w:t>
            </w:r>
          </w:p>
        </w:tc>
      </w:tr>
      <w:tr>
        <w:tblPrEx>
          <w:tblW w:w="10450" w:type="dxa"/>
          <w:jc w:val="left"/>
          <w:tblInd w:w="0" w:type="dxa"/>
          <w:tblCellMar>
            <w:left w:w="108" w:type="dxa"/>
            <w:right w:w="108" w:type="dxa"/>
          </w:tblCellMar>
        </w:tblPrEx>
        <w:trPr>
          <w:cantSplit/>
          <w:trHeight w:hRule="exact" w:val="495"/>
          <w:jc w:val="left"/>
        </w:trPr>
        <w:tc>
          <w:tcPr>
            <w:tcW w:w="490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55" w:line="240" w:lineRule="auto"/>
              <w:ind w:left="0" w:right="0"/>
              <w:jc w:val="center"/>
            </w:pPr>
            <w:r>
              <w:rPr>
                <w:rFonts w:ascii="Times New Roman" w:eastAsia="Times New Roman" w:hAnsi="Times New Roman" w:cs="Times New Roman"/>
                <w:color w:val="000000"/>
                <w:sz w:val="20"/>
              </w:rPr>
              <w:t>(State or other jurisdiction of</w:t>
            </w:r>
          </w:p>
          <w:p>
            <w:pPr>
              <w:spacing w:after="30" w:line="240" w:lineRule="auto"/>
              <w:ind w:left="0" w:right="0"/>
              <w:jc w:val="center"/>
            </w:pPr>
            <w:r>
              <w:rPr>
                <w:rFonts w:ascii="Times New Roman" w:eastAsia="Times New Roman" w:hAnsi="Times New Roman" w:cs="Times New Roman"/>
                <w:color w:val="000000"/>
                <w:sz w:val="20"/>
              </w:rPr>
              <w:t>incorporation or organization)</w:t>
            </w:r>
          </w:p>
        </w:tc>
        <w:tc>
          <w:tcPr>
            <w:tcW w:w="435"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 </w:t>
            </w:r>
          </w:p>
        </w:tc>
        <w:tc>
          <w:tcPr>
            <w:tcW w:w="490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55" w:line="240" w:lineRule="auto"/>
              <w:ind w:left="0" w:right="0"/>
              <w:jc w:val="center"/>
            </w:pPr>
            <w:r>
              <w:rPr>
                <w:rFonts w:ascii="Times New Roman" w:eastAsia="Times New Roman" w:hAnsi="Times New Roman" w:cs="Times New Roman"/>
                <w:color w:val="000000"/>
                <w:sz w:val="20"/>
              </w:rPr>
              <w:t>(I.R.S. Employer</w:t>
            </w:r>
          </w:p>
          <w:p>
            <w:pPr>
              <w:spacing w:after="30" w:line="240" w:lineRule="auto"/>
              <w:ind w:left="0" w:right="0"/>
              <w:jc w:val="center"/>
            </w:pPr>
            <w:r>
              <w:rPr>
                <w:rFonts w:ascii="Times New Roman" w:eastAsia="Times New Roman" w:hAnsi="Times New Roman" w:cs="Times New Roman"/>
                <w:color w:val="000000"/>
                <w:sz w:val="20"/>
              </w:rPr>
              <w:t>Identification No.)</w:t>
            </w:r>
          </w:p>
        </w:tc>
      </w:tr>
    </w:tbl>
    <w:p w:rsidR="00A77B3E">
      <w:pPr>
        <w:keepNext w:val="0"/>
        <w:keepLines w:val="0"/>
        <w:pageBreakBefore w:val="0"/>
        <w:widowControl/>
        <w:numPr>
          <w:ilvl w:val="0"/>
          <w:numId w:val="0"/>
        </w:numPr>
        <w:spacing w:before="0" w:after="100" w:line="288" w:lineRule="auto"/>
        <w:ind w:left="0" w:right="0" w:firstLine="0"/>
        <w:jc w:val="left"/>
        <w:outlineLvl w:val="9"/>
        <w:rPr>
          <w:rFonts w:ascii="Times New Roman" w:eastAsia="Times New Roman" w:hAnsi="Times New Roman" w:cs="Times New Roman"/>
          <w:sz w:val="20"/>
        </w:rPr>
      </w:pPr>
    </w:p>
    <w:tbl>
      <w:tblPr>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05"/>
        <w:gridCol w:w="435"/>
        <w:gridCol w:w="4905"/>
      </w:tblGrid>
      <w:tr>
        <w:tblPrEx>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jc w:val="center"/>
        </w:trPr>
        <w:tc>
          <w:tcPr>
            <w:tcW w:w="49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75" w:after="0" w:line="240"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501 N. Orlando Avenue</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Suite 313</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PMB 247</w:t>
            </w:r>
          </w:p>
          <w:p>
            <w:pPr>
              <w:pageBreakBefore w:val="0"/>
              <w:numPr>
                <w:ilvl w:val="0"/>
                <w:numId w:val="0"/>
              </w:numPr>
              <w:spacing w:before="0" w:after="30" w:line="240"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Winter Park</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FL</w:t>
            </w:r>
            <w:r>
              <w:rPr>
                <w:rFonts w:ascii="Times New Roman" w:eastAsia="Times New Roman" w:hAnsi="Times New Roman" w:cs="Times New Roman"/>
                <w:b/>
                <w:sz w:val="20"/>
              </w:rPr>
              <w:t xml:space="preserve"> </w:t>
            </w:r>
          </w:p>
        </w:tc>
        <w:tc>
          <w:tcPr>
            <w:tcW w:w="4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color w:val="000000"/>
                <w:sz w:val="20"/>
              </w:rPr>
              <w:t> </w:t>
            </w:r>
          </w:p>
        </w:tc>
        <w:tc>
          <w:tcPr>
            <w:tcW w:w="49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20"/>
              </w:rPr>
              <w:t>32789</w:t>
            </w:r>
          </w:p>
        </w:tc>
      </w:tr>
      <w:tr>
        <w:tblPrEx>
          <w:tblW w:w="10450" w:type="dxa"/>
          <w:jc w:val="center"/>
          <w:tblInd w:w="0" w:type="dxa"/>
          <w:tblCellMar>
            <w:left w:w="108" w:type="dxa"/>
            <w:right w:w="108" w:type="dxa"/>
          </w:tblCellMar>
        </w:tblPrEx>
        <w:trPr>
          <w:cantSplit/>
          <w:trHeight w:hRule="exact" w:val="300"/>
          <w:jc w:val="center"/>
        </w:trPr>
        <w:tc>
          <w:tcPr>
            <w:tcW w:w="4905" w:type="dxa"/>
            <w:tcBorders>
              <w:top w:val="single" w:sz="8" w:space="0" w:color="000000"/>
              <w:left w:val="nil"/>
              <w:bottom w:val="nil"/>
              <w:right w:val="nil"/>
            </w:tcBorders>
            <w:tcMar>
              <w:top w:w="0" w:type="dxa"/>
              <w:left w:w="53" w:type="dxa"/>
              <w:bottom w:w="0" w:type="dxa"/>
              <w:right w:w="53" w:type="dxa"/>
            </w:tcMar>
            <w:vAlign w:val="top"/>
          </w:tcPr>
          <w:p>
            <w:pPr>
              <w:pageBreakBefore w:val="0"/>
              <w:spacing w:before="55" w:after="30" w:line="240" w:lineRule="auto"/>
              <w:ind w:left="0" w:right="0"/>
              <w:jc w:val="center"/>
            </w:pPr>
            <w:r>
              <w:rPr>
                <w:rFonts w:ascii="Times New Roman" w:eastAsia="Times New Roman" w:hAnsi="Times New Roman" w:cs="Times New Roman"/>
                <w:color w:val="000000"/>
                <w:sz w:val="18"/>
              </w:rPr>
              <w:t>(Address of principal executive offices)</w:t>
            </w:r>
          </w:p>
        </w:tc>
        <w:tc>
          <w:tcPr>
            <w:tcW w:w="435"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 </w:t>
            </w:r>
          </w:p>
        </w:tc>
        <w:tc>
          <w:tcPr>
            <w:tcW w:w="4905" w:type="dxa"/>
            <w:tcBorders>
              <w:top w:val="single" w:sz="8" w:space="0" w:color="000000"/>
              <w:left w:val="nil"/>
              <w:bottom w:val="nil"/>
              <w:right w:val="nil"/>
            </w:tcBorders>
            <w:tcMar>
              <w:top w:w="0" w:type="dxa"/>
              <w:left w:w="53" w:type="dxa"/>
              <w:bottom w:w="0" w:type="dxa"/>
              <w:right w:w="53" w:type="dxa"/>
            </w:tcMar>
            <w:vAlign w:val="top"/>
          </w:tcPr>
          <w:p>
            <w:pPr>
              <w:pageBreakBefore w:val="0"/>
              <w:spacing w:before="55" w:after="30" w:line="240" w:lineRule="auto"/>
              <w:ind w:left="0" w:right="0"/>
              <w:jc w:val="center"/>
            </w:pPr>
            <w:r>
              <w:rPr>
                <w:rFonts w:ascii="Times New Roman" w:eastAsia="Times New Roman" w:hAnsi="Times New Roman" w:cs="Times New Roman"/>
                <w:color w:val="000000"/>
                <w:sz w:val="18"/>
              </w:rPr>
              <w:t>(Zip Code)</w:t>
            </w:r>
          </w:p>
        </w:tc>
      </w:tr>
    </w:tbl>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w:t>
      </w:r>
    </w:p>
    <w:p w:rsidR="00A77B3E">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Registrant’s telephone number, including area code: </w:t>
      </w:r>
      <w:r>
        <w:rPr>
          <w:rFonts w:ascii="Times New Roman" w:eastAsia="Times New Roman" w:hAnsi="Times New Roman" w:cs="Times New Roman"/>
          <w:sz w:val="20"/>
        </w:rPr>
        <w:t> </w:t>
      </w:r>
      <w:r>
        <w:rPr>
          <w:rFonts w:ascii="Times New Roman" w:eastAsia="Times New Roman" w:hAnsi="Times New Roman" w:cs="Times New Roman"/>
          <w:b/>
          <w:sz w:val="20"/>
        </w:rPr>
        <w:t>(407)</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674-6911</w:t>
      </w:r>
    </w:p>
    <w:p w:rsidR="00A77B3E">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rsidR="00A77B3E">
      <w:pPr>
        <w:keepNext w:val="0"/>
        <w:keepLines w:val="0"/>
        <w:pageBreakBefore w:val="0"/>
        <w:widowControl/>
        <w:numPr>
          <w:ilvl w:val="0"/>
          <w:numId w:val="0"/>
        </w:numPr>
        <w:spacing w:before="0" w:after="100" w:line="28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 xml:space="preserve">Securities registered pursuant to Section 12(b) of the Act: </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55"/>
        <w:gridCol w:w="105"/>
        <w:gridCol w:w="1140"/>
        <w:gridCol w:w="105"/>
        <w:gridCol w:w="4455"/>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jc w:val="center"/>
        </w:trPr>
        <w:tc>
          <w:tcPr>
            <w:tcW w:w="44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Title of each class</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4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Trading Symbol (s)</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4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Name of each exchange on which registered</w:t>
            </w:r>
          </w:p>
        </w:tc>
      </w:tr>
      <w:tr>
        <w:tblPrEx>
          <w:tblW w:w="10465" w:type="dxa"/>
          <w:jc w:val="center"/>
          <w:tblInd w:w="0" w:type="dxa"/>
          <w:tblCellMar>
            <w:left w:w="108" w:type="dxa"/>
            <w:right w:w="108" w:type="dxa"/>
          </w:tblCellMar>
        </w:tblPrEx>
        <w:trPr>
          <w:cantSplit/>
          <w:trHeight w:hRule="exact" w:val="300"/>
          <w:jc w:val="center"/>
        </w:trPr>
        <w:tc>
          <w:tcPr>
            <w:tcW w:w="4455" w:type="dxa"/>
            <w:tcBorders>
              <w:top w:val="single" w:sz="8" w:space="0" w:color="000000"/>
              <w:left w:val="nil"/>
              <w:bottom w:val="nil"/>
              <w:right w:val="nil"/>
            </w:tcBorders>
            <w:tcMar>
              <w:top w:w="0" w:type="dxa"/>
              <w:left w:w="53" w:type="dxa"/>
              <w:bottom w:w="0" w:type="dxa"/>
              <w:right w:w="53" w:type="dxa"/>
            </w:tcMar>
            <w:vAlign w:val="top"/>
          </w:tcPr>
          <w:p>
            <w:pPr>
              <w:pageBreakBefore w:val="0"/>
              <w:spacing w:before="55" w:after="30" w:line="240" w:lineRule="auto"/>
              <w:ind w:left="0" w:right="0"/>
              <w:jc w:val="center"/>
            </w:pPr>
            <w:r>
              <w:rPr>
                <w:rFonts w:ascii="Times New Roman" w:eastAsia="Times New Roman" w:hAnsi="Times New Roman" w:cs="Times New Roman"/>
                <w:b/>
                <w:color w:val="000000"/>
                <w:sz w:val="20"/>
              </w:rPr>
              <w:t>Common Stock, par value $0.0001 per share</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140"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55" w:after="30" w:line="240" w:lineRule="auto"/>
              <w:ind w:left="0" w:right="0"/>
              <w:jc w:val="center"/>
            </w:pPr>
            <w:r>
              <w:rPr>
                <w:rFonts w:ascii="Times New Roman" w:eastAsia="Times New Roman" w:hAnsi="Times New Roman" w:cs="Times New Roman"/>
                <w:b/>
                <w:color w:val="000000"/>
                <w:sz w:val="20"/>
              </w:rPr>
              <w:t>IZEA</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455" w:type="dxa"/>
            <w:tcBorders>
              <w:top w:val="single" w:sz="8" w:space="0" w:color="000000"/>
              <w:left w:val="nil"/>
              <w:bottom w:val="nil"/>
              <w:right w:val="nil"/>
            </w:tcBorders>
            <w:tcMar>
              <w:top w:w="0" w:type="dxa"/>
              <w:left w:w="53" w:type="dxa"/>
              <w:bottom w:w="0" w:type="dxa"/>
              <w:right w:w="53" w:type="dxa"/>
            </w:tcMar>
            <w:vAlign w:val="top"/>
          </w:tcPr>
          <w:p>
            <w:pPr>
              <w:pageBreakBefore w:val="0"/>
              <w:numPr>
                <w:ilvl w:val="0"/>
                <w:numId w:val="0"/>
              </w:numPr>
              <w:spacing w:before="55" w:after="30" w:line="240"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 xml:space="preserve">The </w:t>
            </w:r>
            <w:r>
              <w:rPr>
                <w:rFonts w:ascii="Times New Roman" w:eastAsia="Times New Roman" w:hAnsi="Times New Roman" w:cs="Times New Roman"/>
                <w:b/>
                <w:sz w:val="20"/>
              </w:rPr>
              <w:t>Nasdaq</w:t>
            </w:r>
            <w:r>
              <w:rPr>
                <w:rFonts w:ascii="Times New Roman" w:eastAsia="Times New Roman" w:hAnsi="Times New Roman" w:cs="Times New Roman"/>
                <w:b/>
                <w:sz w:val="20"/>
              </w:rPr>
              <w:t xml:space="preserve"> Capital Market</w:t>
            </w:r>
          </w:p>
        </w:tc>
      </w:tr>
    </w:tbl>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8"/>
        </w:rPr>
      </w:pPr>
    </w:p>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Securities registered pursuant to Section 12(g) of the Act: None</w:t>
      </w:r>
    </w:p>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8"/>
        </w:rPr>
      </w:pPr>
    </w:p>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 xml:space="preserve">Indicate by check mark if the registrant is a well-known seasoned issuer, as defined in Rule 405 of the Securities Act.  Yes  </w:t>
      </w:r>
      <w:r>
        <w:rPr>
          <w:rFonts w:ascii="Wingdings" w:eastAsia="Wingdings" w:hAnsi="Wingdings" w:cs="Wingdings"/>
          <w:sz w:val="18"/>
        </w:rPr>
        <w:t>o</w:t>
      </w:r>
      <w:r>
        <w:rPr>
          <w:rFonts w:ascii="Times New Roman" w:eastAsia="Times New Roman" w:hAnsi="Times New Roman" w:cs="Times New Roman"/>
          <w:sz w:val="18"/>
        </w:rPr>
        <w:t xml:space="preserve">   </w:t>
      </w:r>
      <w:r>
        <w:rPr>
          <w:rFonts w:ascii="Times New Roman" w:eastAsia="Times New Roman" w:hAnsi="Times New Roman" w:cs="Times New Roman"/>
          <w:sz w:val="18"/>
        </w:rPr>
        <w:t>No</w:t>
      </w:r>
      <w:r>
        <w:rPr>
          <w:rFonts w:ascii="Times New Roman" w:eastAsia="Times New Roman" w:hAnsi="Times New Roman" w:cs="Times New Roman"/>
          <w:sz w:val="18"/>
        </w:rPr>
        <w:t xml:space="preserve">  </w:t>
      </w:r>
      <w:r>
        <w:rPr>
          <w:rFonts w:ascii="Wingdings" w:eastAsia="Wingdings" w:hAnsi="Wingdings" w:cs="Wingdings"/>
          <w:sz w:val="18"/>
        </w:rPr>
        <w:t>x</w:t>
      </w:r>
    </w:p>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8"/>
        </w:rPr>
      </w:pPr>
    </w:p>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 xml:space="preserve">Indicate by check mark if the registrant is not required to file reports pursuant to Section 13 or Section 15(d) of the Act.  Yes  </w:t>
      </w:r>
      <w:r>
        <w:rPr>
          <w:rFonts w:ascii="Wingdings" w:eastAsia="Wingdings" w:hAnsi="Wingdings" w:cs="Wingdings"/>
          <w:sz w:val="18"/>
        </w:rPr>
        <w:t>o</w:t>
      </w:r>
      <w:r>
        <w:rPr>
          <w:rFonts w:ascii="Times New Roman" w:eastAsia="Times New Roman" w:hAnsi="Times New Roman" w:cs="Times New Roman"/>
          <w:sz w:val="18"/>
        </w:rPr>
        <w:t xml:space="preserve">  </w:t>
      </w:r>
      <w:r>
        <w:rPr>
          <w:rFonts w:ascii="Times New Roman" w:eastAsia="Times New Roman" w:hAnsi="Times New Roman" w:cs="Times New Roman"/>
          <w:sz w:val="18"/>
        </w:rPr>
        <w:t> No</w:t>
      </w:r>
      <w:r>
        <w:rPr>
          <w:rFonts w:ascii="Times New Roman" w:eastAsia="Times New Roman" w:hAnsi="Times New Roman" w:cs="Times New Roman"/>
          <w:sz w:val="18"/>
        </w:rPr>
        <w:t xml:space="preserve">  </w:t>
      </w:r>
      <w:r>
        <w:rPr>
          <w:rFonts w:ascii="Wingdings" w:eastAsia="Wingdings" w:hAnsi="Wingdings" w:cs="Wingdings"/>
          <w:sz w:val="18"/>
        </w:rPr>
        <w:t>x</w:t>
      </w:r>
    </w:p>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8"/>
        </w:rPr>
      </w:pPr>
    </w:p>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rFonts w:ascii="Times New Roman" w:eastAsia="Times New Roman" w:hAnsi="Times New Roman" w:cs="Times New Roman"/>
          <w:sz w:val="18"/>
        </w:rPr>
        <w:t>Yes </w:t>
      </w:r>
      <w:r>
        <w:rPr>
          <w:rFonts w:ascii="Times New Roman" w:eastAsia="Times New Roman" w:hAnsi="Times New Roman" w:cs="Times New Roman"/>
          <w:sz w:val="18"/>
        </w:rPr>
        <w:t xml:space="preserve"> </w:t>
      </w:r>
      <w:r>
        <w:rPr>
          <w:rFonts w:ascii="Wingdings" w:eastAsia="Wingdings" w:hAnsi="Wingdings" w:cs="Wingdings"/>
          <w:sz w:val="18"/>
        </w:rPr>
        <w:t>x</w:t>
      </w:r>
      <w:r>
        <w:rPr>
          <w:rFonts w:ascii="Times New Roman" w:eastAsia="Times New Roman" w:hAnsi="Times New Roman" w:cs="Times New Roman"/>
          <w:sz w:val="18"/>
        </w:rPr>
        <w:t xml:space="preserve">  No  </w:t>
      </w:r>
      <w:r>
        <w:rPr>
          <w:rFonts w:ascii="Wingdings" w:eastAsia="Wingdings" w:hAnsi="Wingdings" w:cs="Wingdings"/>
          <w:sz w:val="18"/>
        </w:rPr>
        <w:t>o</w:t>
      </w:r>
    </w:p>
    <w:p w:rsidR="00A77B3E">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18"/>
        </w:rPr>
      </w:pPr>
      <w:r>
        <w:rPr>
          <w:rFonts w:ascii="Times New Roman" w:eastAsia="Times New Roman" w:hAnsi="Times New Roman" w:cs="Times New Roman"/>
          <w:sz w:val="18"/>
        </w:rPr>
        <w:t> </w:t>
      </w:r>
    </w:p>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 xml:space="preserve">Indicate by check mark whether the registrant has submitted electronically </w:t>
      </w:r>
      <w:r>
        <w:rPr>
          <w:rFonts w:ascii="Times New Roman" w:eastAsia="Times New Roman" w:hAnsi="Times New Roman" w:cs="Times New Roman"/>
          <w:sz w:val="18"/>
        </w:rPr>
        <w:t xml:space="preserve">every Interactive Data File required to be submitted </w:t>
      </w:r>
      <w:r>
        <w:rPr>
          <w:rFonts w:ascii="Times New Roman" w:eastAsia="Times New Roman" w:hAnsi="Times New Roman" w:cs="Times New Roman"/>
          <w:sz w:val="18"/>
        </w:rPr>
        <w:t xml:space="preserve">pursuant to Rule 405 of Regulation S-T during the preceding 12 months (or for such shorter period that the registrant was required to submit </w:t>
      </w:r>
      <w:r>
        <w:rPr>
          <w:rFonts w:ascii="Times New Roman" w:eastAsia="Times New Roman" w:hAnsi="Times New Roman" w:cs="Times New Roman"/>
          <w:sz w:val="18"/>
        </w:rPr>
        <w:t>such files).  </w:t>
      </w:r>
      <w:r>
        <w:rPr>
          <w:rFonts w:ascii="Times New Roman" w:eastAsia="Times New Roman" w:hAnsi="Times New Roman" w:cs="Times New Roman"/>
          <w:sz w:val="18"/>
        </w:rPr>
        <w:t>Yes</w:t>
      </w:r>
      <w:r>
        <w:rPr>
          <w:rFonts w:ascii="Times New Roman" w:eastAsia="Times New Roman" w:hAnsi="Times New Roman" w:cs="Times New Roman"/>
          <w:sz w:val="18"/>
        </w:rPr>
        <w:t> </w:t>
      </w:r>
      <w:r>
        <w:rPr>
          <w:rFonts w:ascii="Times New Roman" w:eastAsia="Times New Roman" w:hAnsi="Times New Roman" w:cs="Times New Roman"/>
          <w:sz w:val="18"/>
        </w:rPr>
        <w:t xml:space="preserve"> </w:t>
      </w:r>
      <w:r>
        <w:rPr>
          <w:rFonts w:ascii="Wingdings" w:eastAsia="Wingdings" w:hAnsi="Wingdings" w:cs="Wingdings"/>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No  </w:t>
      </w:r>
      <w:r>
        <w:rPr>
          <w:rFonts w:ascii="Wingdings" w:eastAsia="Wingdings" w:hAnsi="Wingdings" w:cs="Wingdings"/>
          <w:sz w:val="18"/>
        </w:rPr>
        <w:t>o</w:t>
      </w:r>
    </w:p>
    <w:p w:rsidR="00A77B3E">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18"/>
        </w:rPr>
      </w:pPr>
      <w:r>
        <w:rPr>
          <w:rFonts w:ascii="Times New Roman" w:eastAsia="Times New Roman" w:hAnsi="Times New Roman" w:cs="Times New Roman"/>
          <w:sz w:val="18"/>
        </w:rPr>
        <w:t> </w:t>
      </w:r>
    </w:p>
    <w:p w:rsidR="00A77B3E">
      <w:pPr>
        <w:keepNext w:val="0"/>
        <w:keepLines w:val="0"/>
        <w:pageBreakBefore w:val="0"/>
        <w:widowControl/>
        <w:numPr>
          <w:ilvl w:val="0"/>
          <w:numId w:val="0"/>
        </w:numPr>
        <w:spacing w:before="0" w:after="100" w:line="28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W w:w="99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5"/>
        <w:gridCol w:w="405"/>
        <w:gridCol w:w="4440"/>
        <w:gridCol w:w="2460"/>
        <w:gridCol w:w="405"/>
      </w:tblGrid>
      <w:tr>
        <w:tblPrEx>
          <w:tblW w:w="99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20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Large accelerated filer </w:t>
            </w:r>
          </w:p>
        </w:tc>
        <w:tc>
          <w:tcPr>
            <w:tcW w:w="4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w:t>
            </w:r>
          </w:p>
        </w:tc>
        <w:tc>
          <w:tcPr>
            <w:tcW w:w="44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Accelerated filer</w:t>
            </w:r>
          </w:p>
        </w:tc>
        <w:tc>
          <w:tcPr>
            <w:tcW w:w="4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w:t>
            </w:r>
          </w:p>
        </w:tc>
      </w:tr>
      <w:tr>
        <w:tblPrEx>
          <w:tblW w:w="9930" w:type="dxa"/>
          <w:jc w:val="left"/>
          <w:tblInd w:w="0" w:type="dxa"/>
          <w:tblCellMar>
            <w:left w:w="108" w:type="dxa"/>
            <w:right w:w="108" w:type="dxa"/>
          </w:tblCellMar>
        </w:tblPrEx>
        <w:trPr>
          <w:cantSplit/>
          <w:trHeight w:hRule="exact" w:val="285"/>
          <w:jc w:val="left"/>
        </w:trPr>
        <w:tc>
          <w:tcPr>
            <w:tcW w:w="20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Non-Accelerated Filer</w:t>
            </w:r>
          </w:p>
        </w:tc>
        <w:tc>
          <w:tcPr>
            <w:tcW w:w="405" w:type="dxa"/>
            <w:tcBorders>
              <w:top w:val="nil"/>
              <w:left w:val="nil"/>
              <w:bottom w:val="nil"/>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 xml:space="preserve"> </w:t>
            </w:r>
            <w:r>
              <w:rPr>
                <w:rFonts w:ascii="Wingdings" w:eastAsia="Wingdings" w:hAnsi="Wingdings" w:cs="Wingdings"/>
                <w:sz w:val="18"/>
              </w:rPr>
              <w:t>☒</w:t>
            </w:r>
          </w:p>
        </w:tc>
        <w:tc>
          <w:tcPr>
            <w:tcW w:w="44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6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 xml:space="preserve">Smaller reporting company </w:t>
            </w:r>
          </w:p>
        </w:tc>
        <w:tc>
          <w:tcPr>
            <w:tcW w:w="4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w:t>
            </w:r>
          </w:p>
        </w:tc>
      </w:tr>
      <w:tr>
        <w:tblPrEx>
          <w:tblW w:w="9930" w:type="dxa"/>
          <w:jc w:val="left"/>
          <w:tblInd w:w="0" w:type="dxa"/>
          <w:tblCellMar>
            <w:left w:w="108" w:type="dxa"/>
            <w:right w:w="108" w:type="dxa"/>
          </w:tblCellMar>
        </w:tblPrEx>
        <w:trPr>
          <w:cantSplit/>
          <w:trHeight w:hRule="exact" w:val="285"/>
          <w:jc w:val="left"/>
        </w:trPr>
        <w:tc>
          <w:tcPr>
            <w:tcW w:w="20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44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460"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18"/>
              </w:rPr>
              <w:t xml:space="preserve">Emerging growth company </w:t>
            </w:r>
          </w:p>
        </w:tc>
        <w:tc>
          <w:tcPr>
            <w:tcW w:w="405"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18"/>
              </w:rPr>
              <w:t>☐</w:t>
            </w:r>
          </w:p>
        </w:tc>
      </w:tr>
    </w:tbl>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 </w:t>
      </w:r>
    </w:p>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eastAsia="Wingdings" w:hAnsi="Wingdings" w:cs="Wingdings"/>
          <w:sz w:val="18"/>
        </w:rPr>
        <w:t>o</w:t>
      </w:r>
      <w:r>
        <w:rPr>
          <w:rFonts w:ascii="Times New Roman" w:eastAsia="Times New Roman" w:hAnsi="Times New Roman" w:cs="Times New Roman"/>
          <w:sz w:val="18"/>
        </w:rPr>
        <w:t xml:space="preserve"> </w:t>
      </w:r>
    </w:p>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8"/>
        </w:rPr>
      </w:pPr>
    </w:p>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 xml:space="preserve">Indicate by check mark whether the registrant </w:t>
      </w:r>
      <w:r>
        <w:rPr>
          <w:rFonts w:ascii="Times New Roman" w:eastAsia="Times New Roman" w:hAnsi="Times New Roman" w:cs="Times New Roman"/>
          <w:sz w:val="18"/>
        </w:rPr>
        <w:t>has filed a report on and attestation to its management</w:t>
      </w:r>
      <w:r>
        <w:rPr>
          <w:rFonts w:ascii="Times New Roman" w:eastAsia="Times New Roman" w:hAnsi="Times New Roman" w:cs="Times New Roman"/>
          <w:sz w:val="18"/>
        </w:rPr>
        <w:t>’</w:t>
      </w:r>
      <w:r>
        <w:rPr>
          <w:rFonts w:ascii="Times New Roman" w:eastAsia="Times New Roman" w:hAnsi="Times New Roman" w:cs="Times New Roman"/>
          <w:sz w:val="18"/>
        </w:rPr>
        <w:t>s assessment of the effectiveness of its i</w:t>
      </w:r>
      <w:r>
        <w:rPr>
          <w:rFonts w:ascii="Times New Roman" w:eastAsia="Times New Roman" w:hAnsi="Times New Roman" w:cs="Times New Roman"/>
          <w:sz w:val="18"/>
        </w:rPr>
        <w:t>nt</w:t>
      </w:r>
      <w:r>
        <w:rPr>
          <w:rFonts w:ascii="Times New Roman" w:eastAsia="Times New Roman" w:hAnsi="Times New Roman" w:cs="Times New Roman"/>
          <w:sz w:val="18"/>
        </w:rPr>
        <w:t xml:space="preserve">ernal </w:t>
      </w:r>
      <w:r>
        <w:rPr>
          <w:rFonts w:ascii="Times New Roman" w:eastAsia="Times New Roman" w:hAnsi="Times New Roman" w:cs="Times New Roman"/>
          <w:sz w:val="18"/>
        </w:rPr>
        <w:t>control over financial reporting under</w:t>
      </w:r>
      <w:r>
        <w:rPr>
          <w:rFonts w:ascii="Times New Roman" w:eastAsia="Times New Roman" w:hAnsi="Times New Roman" w:cs="Times New Roman"/>
          <w:sz w:val="18"/>
        </w:rPr>
        <w:t xml:space="preserve"> Section 404(b) of the Sarbanes-Oxley Act (15 U.S.C. 7262(b)) by the registered public accounting firm that prepared or issued its audit report</w:t>
      </w:r>
      <w:r>
        <w:rPr>
          <w:rFonts w:ascii="Times New Roman" w:eastAsia="Times New Roman" w:hAnsi="Times New Roman" w:cs="Times New Roman"/>
          <w:sz w:val="18"/>
        </w:rPr>
        <w:t xml:space="preserve">.  </w:t>
      </w:r>
      <w:r>
        <w:rPr>
          <w:rFonts w:ascii="Times New Roman" w:eastAsia="Times New Roman" w:hAnsi="Times New Roman" w:cs="Times New Roman"/>
          <w:sz w:val="18"/>
        </w:rPr>
        <w:t>☐</w:t>
      </w:r>
    </w:p>
    <w:p w:rsidR="00A77B3E">
      <w:pPr>
        <w:keepNext w:val="0"/>
        <w:keepLines w:val="0"/>
        <w:pageBreakBefore w:val="0"/>
        <w:widowControl/>
        <w:numPr>
          <w:ilvl w:val="0"/>
          <w:numId w:val="0"/>
        </w:numPr>
        <w:spacing w:before="0" w:after="0" w:line="288" w:lineRule="auto"/>
        <w:ind w:left="0" w:right="0" w:firstLine="0"/>
        <w:jc w:val="left"/>
        <w:outlineLvl w:val="9"/>
        <w:rPr>
          <w:rFonts w:ascii="Wingdings" w:eastAsia="Wingdings" w:hAnsi="Wingdings" w:cs="Wingdings"/>
          <w:sz w:val="18"/>
        </w:rPr>
      </w:pPr>
    </w:p>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Indicate by check mark whether the registrant is a shell company (as defined in Rule 12b-2 of the Exchange Act).  Yes  </w:t>
      </w:r>
      <w:r>
        <w:rPr>
          <w:rFonts w:ascii="Wingdings" w:eastAsia="Wingdings" w:hAnsi="Wingdings" w:cs="Wingdings"/>
          <w:sz w:val="18"/>
        </w:rPr>
        <w:t>o</w:t>
      </w:r>
      <w:r>
        <w:rPr>
          <w:rFonts w:ascii="Times New Roman" w:eastAsia="Times New Roman" w:hAnsi="Times New Roman" w:cs="Times New Roman"/>
          <w:sz w:val="18"/>
        </w:rPr>
        <w:t xml:space="preserve">   No  </w:t>
      </w:r>
      <w:r>
        <w:rPr>
          <w:rFonts w:ascii="Wingdings" w:eastAsia="Wingdings" w:hAnsi="Wingdings" w:cs="Wingdings"/>
          <w:sz w:val="18"/>
        </w:rPr>
        <w:t>x</w:t>
      </w:r>
    </w:p>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8"/>
        </w:rPr>
      </w:pPr>
    </w:p>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 xml:space="preserve">The aggregate market value of the voting and non-voting common equity held by non-affiliates as of June </w:t>
      </w:r>
      <w:r>
        <w:rPr>
          <w:rFonts w:ascii="Times New Roman" w:eastAsia="Times New Roman" w:hAnsi="Times New Roman" w:cs="Times New Roman"/>
          <w:sz w:val="18"/>
        </w:rPr>
        <w:t>30, 2020</w:t>
      </w:r>
      <w:r>
        <w:rPr>
          <w:rFonts w:ascii="Times New Roman" w:eastAsia="Times New Roman" w:hAnsi="Times New Roman" w:cs="Times New Roman"/>
          <w:sz w:val="18"/>
        </w:rPr>
        <w:t xml:space="preserve"> (the last business day of the registrant's most recently completed second fiscal quarter) was </w:t>
      </w:r>
      <w:r>
        <w:rPr>
          <w:rFonts w:ascii="Times New Roman" w:eastAsia="Times New Roman" w:hAnsi="Times New Roman" w:cs="Times New Roman"/>
          <w:sz w:val="18"/>
        </w:rPr>
        <w:t>$44,990,377</w:t>
      </w:r>
      <w:r>
        <w:rPr>
          <w:rFonts w:ascii="Times New Roman" w:eastAsia="Times New Roman" w:hAnsi="Times New Roman" w:cs="Times New Roman"/>
          <w:sz w:val="18"/>
        </w:rPr>
        <w:t xml:space="preserve"> based on the closing bid price of the registrant's common stock of </w:t>
      </w:r>
      <w:r>
        <w:rPr>
          <w:rFonts w:ascii="Times New Roman" w:eastAsia="Times New Roman" w:hAnsi="Times New Roman" w:cs="Times New Roman"/>
          <w:sz w:val="18"/>
        </w:rPr>
        <w:t>$1.14</w:t>
      </w:r>
      <w:r>
        <w:rPr>
          <w:rFonts w:ascii="Times New Roman" w:eastAsia="Times New Roman" w:hAnsi="Times New Roman" w:cs="Times New Roman"/>
          <w:sz w:val="18"/>
        </w:rPr>
        <w:t xml:space="preserve"> per share on June </w:t>
      </w:r>
      <w:r>
        <w:rPr>
          <w:rFonts w:ascii="Times New Roman" w:eastAsia="Times New Roman" w:hAnsi="Times New Roman" w:cs="Times New Roman"/>
          <w:sz w:val="18"/>
        </w:rPr>
        <w:t>30, 2020</w:t>
      </w:r>
      <w:r>
        <w:rPr>
          <w:rFonts w:ascii="Times New Roman" w:eastAsia="Times New Roman" w:hAnsi="Times New Roman" w:cs="Times New Roman"/>
          <w:sz w:val="18"/>
        </w:rPr>
        <w:t xml:space="preserve"> (the last trading day prior to the end of the registrant's most recently completed second fiscal quarter). All executive officers and directors of the registrant and all 10% or greater stockholders have been deemed, solely for the purpose of the foregoing calculation, to be “affiliates” of the registrant.</w:t>
      </w:r>
    </w:p>
    <w:p w:rsidR="00A77B3E">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18"/>
        </w:rPr>
      </w:pPr>
    </w:p>
    <w:p w:rsidR="00A77B3E">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18"/>
        </w:rPr>
      </w:pPr>
      <w:r>
        <w:rPr>
          <w:rFonts w:ascii="Times New Roman" w:eastAsia="Times New Roman" w:hAnsi="Times New Roman" w:cs="Times New Roman"/>
          <w:sz w:val="18"/>
        </w:rPr>
        <w:t xml:space="preserve"> As of </w:t>
      </w:r>
      <w:r>
        <w:rPr>
          <w:rFonts w:ascii="Times New Roman" w:eastAsia="Times New Roman" w:hAnsi="Times New Roman" w:cs="Times New Roman"/>
          <w:sz w:val="18"/>
        </w:rPr>
        <w:t>March 26, 2021</w:t>
      </w:r>
      <w:r>
        <w:rPr>
          <w:rFonts w:ascii="Times New Roman" w:eastAsia="Times New Roman" w:hAnsi="Times New Roman" w:cs="Times New Roman"/>
          <w:sz w:val="18"/>
        </w:rPr>
        <w:t xml:space="preserve">, there were </w:t>
      </w:r>
      <w:r>
        <w:rPr>
          <w:rFonts w:ascii="Times New Roman" w:eastAsia="Times New Roman" w:hAnsi="Times New Roman" w:cs="Times New Roman"/>
          <w:sz w:val="18"/>
        </w:rPr>
        <w:t>59,129,390</w:t>
      </w:r>
      <w:r>
        <w:rPr>
          <w:rFonts w:ascii="Times New Roman" w:eastAsia="Times New Roman" w:hAnsi="Times New Roman" w:cs="Times New Roman"/>
          <w:sz w:val="18"/>
        </w:rPr>
        <w:t xml:space="preserve"> shares of our common stock outstanding.</w:t>
      </w:r>
    </w:p>
    <w:p w:rsidR="00A77B3E">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18"/>
        </w:rPr>
      </w:pPr>
    </w:p>
    <w:p w:rsidR="00A77B3E">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18"/>
        </w:rPr>
      </w:pPr>
    </w:p>
    <w:p w:rsidR="00A77B3E">
      <w:pPr>
        <w:keepNext w:val="0"/>
        <w:keepLines w:val="0"/>
        <w:pageBreakBefore w:val="0"/>
        <w:widowControl/>
        <w:numPr>
          <w:ilvl w:val="0"/>
          <w:numId w:val="0"/>
        </w:numPr>
        <w:spacing w:before="0" w:after="0" w:line="288" w:lineRule="auto"/>
        <w:ind w:left="0" w:right="0" w:firstLine="72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DOCUMENTS INCORPORATED BY REFERENCE</w:t>
      </w:r>
    </w:p>
    <w:p w:rsidR="00A77B3E">
      <w:pPr>
        <w:keepNext w:val="0"/>
        <w:keepLines w:val="0"/>
        <w:pageBreakBefore w:val="0"/>
        <w:widowControl/>
        <w:numPr>
          <w:ilvl w:val="0"/>
          <w:numId w:val="0"/>
        </w:numPr>
        <w:spacing w:before="0" w:after="0" w:line="288" w:lineRule="auto"/>
        <w:ind w:left="0" w:right="0" w:firstLine="720"/>
        <w:jc w:val="center"/>
        <w:outlineLvl w:val="9"/>
        <w:rPr>
          <w:rFonts w:ascii="Times New Roman" w:eastAsia="Times New Roman" w:hAnsi="Times New Roman" w:cs="Times New Roman"/>
          <w:sz w:val="20"/>
        </w:rPr>
      </w:pPr>
    </w:p>
    <w:p w:rsidR="00A77B3E">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None</w:t>
      </w:r>
    </w:p>
    <w:p w:rsidR="00A77B3E">
      <w:pPr>
        <w:keepNext w:val="0"/>
        <w:keepLines w:val="0"/>
        <w:pageBreakBefore w:val="0"/>
        <w:widowControl/>
        <w:numPr>
          <w:ilvl w:val="0"/>
          <w:numId w:val="0"/>
        </w:numPr>
        <w:spacing w:before="0" w:after="0" w:line="288" w:lineRule="auto"/>
        <w:ind w:left="0" w:right="0" w:firstLine="720"/>
        <w:jc w:val="center"/>
        <w:outlineLvl w:val="9"/>
        <w:rPr>
          <w:rFonts w:ascii="Times New Roman" w:eastAsia="Times New Roman" w:hAnsi="Times New Roman" w:cs="Times New Roman"/>
          <w:b/>
          <w:sz w:val="20"/>
        </w:rPr>
      </w:pPr>
    </w:p>
    <w:p w:rsidR="00A77B3E">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18"/>
        </w:rPr>
      </w:pPr>
      <w:r>
        <w:rPr>
          <w:rFonts w:ascii="Times New Roman" w:eastAsia="Times New Roman" w:hAnsi="Times New Roman" w:cs="Times New Roman"/>
          <w:sz w:val="18"/>
        </w:rPr>
        <w:t> </w:t>
      </w:r>
    </w:p>
    <w:p w:rsidR="00A77B3E">
      <w:pPr>
        <w:keepNext w:val="0"/>
        <w:keepLines w:val="0"/>
        <w:pageBreakBefore w:val="0"/>
        <w:widowControl/>
        <w:numPr>
          <w:ilvl w:val="0"/>
          <w:numId w:val="0"/>
        </w:numPr>
        <w:spacing w:before="0" w:after="0" w:line="288" w:lineRule="auto"/>
        <w:ind w:left="0" w:right="0" w:firstLine="0"/>
        <w:jc w:val="both"/>
        <w:outlineLvl w:val="9"/>
        <w:sectPr>
          <w:headerReference w:type="default" r:id="rId4"/>
          <w:footerReference w:type="default" r:id="rId5"/>
          <w:type w:val="continuous"/>
          <w:pgSz w:w="12240" w:h="15840"/>
          <w:pgMar w:top="855" w:right="990" w:bottom="855" w:left="990" w:header="270" w:footer="270" w:gutter="0"/>
          <w:cols w:space="708"/>
          <w:docGrid w:linePitch="360"/>
        </w:sect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bookmarkStart w:id="1" w:name="Section2"/>
      <w:bookmarkEnd w:id="1"/>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6920"/>
          <w:tab w:val="left" w:pos="7200"/>
          <w:tab w:val="left" w:pos="7920"/>
          <w:tab w:val="left" w:pos="8640"/>
          <w:tab w:val="left" w:pos="9360"/>
          <w:tab w:val="left" w:pos="10080"/>
          <w:tab w:val="left" w:pos="10800"/>
          <w:tab w:val="left" w:pos="11520"/>
        </w:tabs>
        <w:spacing w:before="0" w:after="0" w:line="288" w:lineRule="auto"/>
        <w:ind w:left="0" w:right="0" w:firstLine="0"/>
        <w:jc w:val="center"/>
        <w:outlineLvl w:val="0"/>
        <w:rPr>
          <w:rFonts w:ascii="Times New Roman" w:eastAsia="Times New Roman" w:hAnsi="Times New Roman" w:cs="Times New Roman"/>
          <w:sz w:val="20"/>
        </w:rPr>
      </w:pPr>
      <w:r>
        <w:rPr>
          <w:rFonts w:ascii="Times New Roman" w:eastAsia="Times New Roman" w:hAnsi="Times New Roman" w:cs="Times New Roman"/>
          <w:sz w:val="20"/>
        </w:rPr>
        <w:t>Annual</w:t>
      </w:r>
      <w:r>
        <w:rPr>
          <w:rFonts w:ascii="Times New Roman" w:eastAsia="Times New Roman" w:hAnsi="Times New Roman" w:cs="Times New Roman"/>
          <w:sz w:val="20"/>
        </w:rPr>
        <w:t xml:space="preserve"> Report on Form 10-</w:t>
      </w:r>
      <w:r>
        <w:rPr>
          <w:rFonts w:ascii="Times New Roman" w:eastAsia="Times New Roman" w:hAnsi="Times New Roman" w:cs="Times New Roman"/>
          <w:sz w:val="20"/>
        </w:rPr>
        <w:t>K</w:t>
      </w:r>
      <w:r>
        <w:rPr>
          <w:rFonts w:ascii="Times New Roman" w:eastAsia="Times New Roman" w:hAnsi="Times New Roman" w:cs="Times New Roman"/>
          <w:sz w:val="20"/>
        </w:rPr>
        <w:t xml:space="preserve"> for the period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Table of Contents</w:t>
      </w:r>
    </w:p>
    <w:p>
      <w:pPr>
        <w:keepNext w:val="0"/>
        <w:keepLines w:val="0"/>
        <w:pageBreakBefore w:val="0"/>
        <w:widowControl/>
        <w:numPr>
          <w:ilvl w:val="0"/>
          <w:numId w:val="0"/>
        </w:numPr>
        <w:spacing w:before="0" w:after="10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525"/>
        <w:gridCol w:w="72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85"/>
          <w:jc w:val="left"/>
        </w:trPr>
        <w:tc>
          <w:tcPr>
            <w:tcW w:w="95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7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Page</w:t>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PART I</w:t>
            </w:r>
          </w:p>
        </w:tc>
        <w:tc>
          <w:tcPr>
            <w:tcW w:w="7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5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5" w:history="1">
              <w:r>
                <w:rPr>
                  <w:rFonts w:ascii="Times New Roman" w:eastAsia="Times New Roman" w:hAnsi="Times New Roman" w:cs="Times New Roman"/>
                  <w:color w:val="0000FF"/>
                  <w:sz w:val="20"/>
                  <w:u w:val="single"/>
                </w:rPr>
                <w:t>Item 1.     Business</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Section5</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2</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5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6" w:history="1">
              <w:r>
                <w:rPr>
                  <w:rFonts w:ascii="Times New Roman" w:eastAsia="Times New Roman" w:hAnsi="Times New Roman" w:cs="Times New Roman"/>
                  <w:color w:val="0000FF"/>
                  <w:sz w:val="20"/>
                  <w:u w:val="single"/>
                </w:rPr>
                <w:t>Item 1A.  Risk Factors</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Section6</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12</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5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7" w:history="1">
              <w:r>
                <w:rPr>
                  <w:rFonts w:ascii="Times New Roman" w:eastAsia="Times New Roman" w:hAnsi="Times New Roman" w:cs="Times New Roman"/>
                  <w:color w:val="0000FF"/>
                  <w:sz w:val="20"/>
                  <w:u w:val="single"/>
                </w:rPr>
                <w:t>Item 1B.  Unresolved Staff Comments</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Section7</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25</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5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8" w:history="1">
              <w:r>
                <w:rPr>
                  <w:rFonts w:ascii="Times New Roman" w:eastAsia="Times New Roman" w:hAnsi="Times New Roman" w:cs="Times New Roman"/>
                  <w:color w:val="0000FF"/>
                  <w:sz w:val="20"/>
                  <w:u w:val="single"/>
                </w:rPr>
                <w:t>Item 2.     Properties</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Section8</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25</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5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9" w:history="1">
              <w:r>
                <w:rPr>
                  <w:rFonts w:ascii="Times New Roman" w:eastAsia="Times New Roman" w:hAnsi="Times New Roman" w:cs="Times New Roman"/>
                  <w:color w:val="0000FF"/>
                  <w:sz w:val="20"/>
                  <w:u w:val="single"/>
                </w:rPr>
                <w:t>Item 3.     Legal Proceedings</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Section9</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25</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5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10" w:history="1">
              <w:r>
                <w:rPr>
                  <w:rFonts w:ascii="Times New Roman" w:eastAsia="Times New Roman" w:hAnsi="Times New Roman" w:cs="Times New Roman"/>
                  <w:color w:val="0000FF"/>
                  <w:sz w:val="20"/>
                  <w:u w:val="single"/>
                </w:rPr>
                <w:t>Item 4.     Mine Safety Disclosures</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Section10</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26</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xml:space="preserve">PART II </w:t>
            </w:r>
          </w:p>
        </w:tc>
        <w:tc>
          <w:tcPr>
            <w:tcW w:w="7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49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12" w:history="1">
              <w:r>
                <w:rPr>
                  <w:rFonts w:ascii="Times New Roman" w:eastAsia="Times New Roman" w:hAnsi="Times New Roman" w:cs="Times New Roman"/>
                  <w:color w:val="0000FF"/>
                  <w:sz w:val="20"/>
                  <w:u w:val="single"/>
                </w:rPr>
                <w:t>Item 5.     Market for Registrant's Common Equity, Related Stockholder Matters and Issuer Purchases of Equity</w:t>
              </w:r>
            </w:hyperlink>
            <w:hyperlink w:anchor="Section12" w:history="1">
              <w:r>
                <w:rPr>
                  <w:rFonts w:ascii="Times New Roman" w:eastAsia="Times New Roman" w:hAnsi="Times New Roman" w:cs="Times New Roman"/>
                  <w:color w:val="0000FF"/>
                  <w:sz w:val="20"/>
                  <w:u w:val="single"/>
                </w:rPr>
                <w:t xml:space="preserve"> </w:t>
              </w:r>
            </w:hyperlink>
            <w:hyperlink w:anchor="Section12" w:history="1">
              <w:r>
                <w:rPr>
                  <w:rFonts w:ascii="Times New Roman" w:eastAsia="Times New Roman" w:hAnsi="Times New Roman" w:cs="Times New Roman"/>
                  <w:color w:val="0000FF"/>
                  <w:sz w:val="20"/>
                  <w:u w:val="single"/>
                </w:rPr>
                <w:t>Securities</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Section12</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27</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13" w:history="1">
              <w:r>
                <w:rPr>
                  <w:rFonts w:ascii="Times New Roman" w:eastAsia="Times New Roman" w:hAnsi="Times New Roman" w:cs="Times New Roman"/>
                  <w:color w:val="0000FF"/>
                  <w:sz w:val="20"/>
                  <w:u w:val="single"/>
                </w:rPr>
                <w:t>Item 6.     Selected Financial Data</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Section13</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27</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5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14" w:history="1">
              <w:r>
                <w:rPr>
                  <w:rFonts w:ascii="Times New Roman" w:eastAsia="Times New Roman" w:hAnsi="Times New Roman" w:cs="Times New Roman"/>
                  <w:color w:val="0000FF"/>
                  <w:sz w:val="20"/>
                  <w:u w:val="single"/>
                </w:rPr>
                <w:t>Item 7.     Management’s Discussion and Analysis of Financial Condition and Results of Operations</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Section14</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28</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23" w:history="1">
              <w:r>
                <w:rPr>
                  <w:rFonts w:ascii="Times New Roman" w:eastAsia="Times New Roman" w:hAnsi="Times New Roman" w:cs="Times New Roman"/>
                  <w:color w:val="0000FF"/>
                  <w:sz w:val="20"/>
                  <w:u w:val="single"/>
                </w:rPr>
                <w:t>Item 7A.  Quantitative and Qualitative Disclosures About Market Risk</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Section23</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43</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24" w:history="1">
              <w:r>
                <w:rPr>
                  <w:rFonts w:ascii="Times New Roman" w:eastAsia="Times New Roman" w:hAnsi="Times New Roman" w:cs="Times New Roman"/>
                  <w:color w:val="0000FF"/>
                  <w:sz w:val="20"/>
                  <w:u w:val="single"/>
                </w:rPr>
                <w:t>Item 8.     Financial Statements and Supplementary Data</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720" w:right="0" w:firstLine="0"/>
              <w:jc w:val="left"/>
              <w:outlineLvl w:val="9"/>
              <w:rPr>
                <w:rFonts w:ascii="Times New Roman" w:eastAsia="Times New Roman" w:hAnsi="Times New Roman" w:cs="Times New Roman"/>
                <w:sz w:val="20"/>
              </w:rPr>
            </w:pPr>
            <w:hyperlink w:anchor="Section25" w:history="1">
              <w:r>
                <w:rPr>
                  <w:rFonts w:ascii="Times New Roman" w:eastAsia="Times New Roman" w:hAnsi="Times New Roman" w:cs="Times New Roman"/>
                  <w:color w:val="0000FF"/>
                  <w:sz w:val="20"/>
                  <w:u w:val="single"/>
                </w:rPr>
                <w:t>Report of Independent Registered Public Accounting Firm</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Section25</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44</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720" w:right="0" w:firstLine="0"/>
              <w:jc w:val="left"/>
              <w:outlineLvl w:val="9"/>
              <w:rPr>
                <w:rFonts w:ascii="Times New Roman" w:eastAsia="Times New Roman" w:hAnsi="Times New Roman" w:cs="Times New Roman"/>
                <w:sz w:val="20"/>
              </w:rPr>
            </w:pPr>
            <w:hyperlink w:anchor="Section26" w:history="1">
              <w:r>
                <w:rPr>
                  <w:rFonts w:ascii="Times New Roman" w:eastAsia="Times New Roman" w:hAnsi="Times New Roman" w:cs="Times New Roman"/>
                  <w:color w:val="0000FF"/>
                  <w:sz w:val="20"/>
                  <w:u w:val="single"/>
                </w:rPr>
                <w:t>Consolidated Balance Sheets as of December 31, 2020 and 2019</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Section26</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47</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49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720" w:right="0" w:firstLine="0"/>
              <w:jc w:val="left"/>
              <w:outlineLvl w:val="9"/>
              <w:rPr>
                <w:rFonts w:ascii="Times New Roman" w:eastAsia="Times New Roman" w:hAnsi="Times New Roman" w:cs="Times New Roman"/>
                <w:sz w:val="20"/>
              </w:rPr>
            </w:pPr>
            <w:hyperlink w:anchor="Section27" w:history="1">
              <w:r>
                <w:rPr>
                  <w:rFonts w:ascii="Times New Roman" w:eastAsia="Times New Roman" w:hAnsi="Times New Roman" w:cs="Times New Roman"/>
                  <w:color w:val="0000FF"/>
                  <w:sz w:val="20"/>
                  <w:u w:val="single"/>
                </w:rPr>
                <w:t>Consolidated Statements of Operations and Comprehensive Loss for the years ended December 31, 2020 and 2019</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Section27</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49</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720" w:right="0" w:firstLine="0"/>
              <w:jc w:val="left"/>
              <w:outlineLvl w:val="9"/>
              <w:rPr>
                <w:rFonts w:ascii="Times New Roman" w:eastAsia="Times New Roman" w:hAnsi="Times New Roman" w:cs="Times New Roman"/>
                <w:sz w:val="20"/>
              </w:rPr>
            </w:pPr>
            <w:hyperlink w:anchor="Section28" w:history="1">
              <w:r>
                <w:rPr>
                  <w:rFonts w:ascii="Times New Roman" w:eastAsia="Times New Roman" w:hAnsi="Times New Roman" w:cs="Times New Roman"/>
                  <w:color w:val="0000FF"/>
                  <w:sz w:val="20"/>
                  <w:u w:val="single"/>
                </w:rPr>
                <w:t>Consolidated Statements of Stockholders’ Equity for the years ended December 31, 2020 and 2019</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Section28</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51</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720" w:right="0" w:firstLine="0"/>
              <w:jc w:val="left"/>
              <w:outlineLvl w:val="9"/>
              <w:rPr>
                <w:rFonts w:ascii="Times New Roman" w:eastAsia="Times New Roman" w:hAnsi="Times New Roman" w:cs="Times New Roman"/>
                <w:sz w:val="20"/>
              </w:rPr>
            </w:pPr>
            <w:hyperlink w:anchor="Section29" w:history="1">
              <w:r>
                <w:rPr>
                  <w:rFonts w:ascii="Times New Roman" w:eastAsia="Times New Roman" w:hAnsi="Times New Roman" w:cs="Times New Roman"/>
                  <w:color w:val="0000FF"/>
                  <w:sz w:val="20"/>
                  <w:u w:val="single"/>
                </w:rPr>
                <w:t>Consolidated Statements of Cash Flows for the years ended December 31, 2020 and 2019</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Section29</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53</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720" w:right="0" w:firstLine="0"/>
              <w:jc w:val="left"/>
              <w:outlineLvl w:val="9"/>
              <w:rPr>
                <w:rFonts w:ascii="Times New Roman" w:eastAsia="Times New Roman" w:hAnsi="Times New Roman" w:cs="Times New Roman"/>
                <w:sz w:val="20"/>
              </w:rPr>
            </w:pPr>
            <w:hyperlink w:anchor="Section30" w:history="1">
              <w:r>
                <w:rPr>
                  <w:rFonts w:ascii="Times New Roman" w:eastAsia="Times New Roman" w:hAnsi="Times New Roman" w:cs="Times New Roman"/>
                  <w:color w:val="0000FF"/>
                  <w:sz w:val="20"/>
                  <w:u w:val="single"/>
                </w:rPr>
                <w:t>Notes to the Consolidated Financial Statements</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Section30</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54</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43" w:history="1">
              <w:r>
                <w:rPr>
                  <w:rFonts w:ascii="Times New Roman" w:eastAsia="Times New Roman" w:hAnsi="Times New Roman" w:cs="Times New Roman"/>
                  <w:color w:val="0000FF"/>
                  <w:sz w:val="20"/>
                  <w:u w:val="single"/>
                </w:rPr>
                <w:t>Item 9.     Changes in and Disagreements with Accountants on Accounting and Financial Disclosure</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Section43</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80</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44" w:history="1">
              <w:r>
                <w:rPr>
                  <w:rFonts w:ascii="Times New Roman" w:eastAsia="Times New Roman" w:hAnsi="Times New Roman" w:cs="Times New Roman"/>
                  <w:color w:val="0000FF"/>
                  <w:sz w:val="20"/>
                  <w:u w:val="single"/>
                </w:rPr>
                <w:t>Item 9A.  Controls and Procedures</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Section44</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80</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45" w:history="1">
              <w:r>
                <w:rPr>
                  <w:rFonts w:ascii="Times New Roman" w:eastAsia="Times New Roman" w:hAnsi="Times New Roman" w:cs="Times New Roman"/>
                  <w:color w:val="0000FF"/>
                  <w:sz w:val="20"/>
                  <w:u w:val="single"/>
                </w:rPr>
                <w:t>Item 9B.  Other Information</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Section45</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81</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7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PART III</w:t>
            </w:r>
          </w:p>
        </w:tc>
        <w:tc>
          <w:tcPr>
            <w:tcW w:w="7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47" w:history="1">
              <w:r>
                <w:rPr>
                  <w:rFonts w:ascii="Times New Roman" w:eastAsia="Times New Roman" w:hAnsi="Times New Roman" w:cs="Times New Roman"/>
                  <w:color w:val="0000FF"/>
                  <w:sz w:val="20"/>
                  <w:u w:val="single"/>
                </w:rPr>
                <w:t>Item 10.   Directors, Executive Officers and Corporate Governance</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Section47</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82</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48" w:history="1">
              <w:r>
                <w:rPr>
                  <w:rFonts w:ascii="Times New Roman" w:eastAsia="Times New Roman" w:hAnsi="Times New Roman" w:cs="Times New Roman"/>
                  <w:color w:val="0000FF"/>
                  <w:sz w:val="20"/>
                  <w:u w:val="single"/>
                </w:rPr>
                <w:t>Item 11.   Executive Compensation</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Section48</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87</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49" w:history="1">
              <w:r>
                <w:rPr>
                  <w:rFonts w:ascii="Times New Roman" w:eastAsia="Times New Roman" w:hAnsi="Times New Roman" w:cs="Times New Roman"/>
                  <w:color w:val="0000FF"/>
                  <w:sz w:val="20"/>
                  <w:u w:val="single"/>
                </w:rPr>
                <w:t>Item 12.   Security Ownership of Certain Beneficial Owners and Management and Related Stockholder Matters</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Section50</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95</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5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50" w:history="1">
              <w:r>
                <w:rPr>
                  <w:rFonts w:ascii="Times New Roman" w:eastAsia="Times New Roman" w:hAnsi="Times New Roman" w:cs="Times New Roman"/>
                  <w:color w:val="0000FF"/>
                  <w:sz w:val="20"/>
                  <w:u w:val="single"/>
                </w:rPr>
                <w:t>Item 13.   Certain Relationships and Related Transactions, and Director Independence</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Section50</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95</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5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51" w:history="1">
              <w:r>
                <w:rPr>
                  <w:rFonts w:ascii="Times New Roman" w:eastAsia="Times New Roman" w:hAnsi="Times New Roman" w:cs="Times New Roman"/>
                  <w:color w:val="0000FF"/>
                  <w:sz w:val="20"/>
                  <w:u w:val="single"/>
                </w:rPr>
                <w:t>Item 14.   Principal Accountant Fees and Services</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Section51</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96</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PART IV</w:t>
            </w:r>
          </w:p>
        </w:tc>
        <w:tc>
          <w:tcPr>
            <w:tcW w:w="7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53" w:history="1">
              <w:r>
                <w:rPr>
                  <w:rFonts w:ascii="Times New Roman" w:eastAsia="Times New Roman" w:hAnsi="Times New Roman" w:cs="Times New Roman"/>
                  <w:color w:val="0000FF"/>
                  <w:sz w:val="20"/>
                  <w:u w:val="single"/>
                </w:rPr>
                <w:t>Item 15.   Exhibits and Financial Statement Schedules</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Section53</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98</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360" w:right="0" w:firstLine="0"/>
              <w:jc w:val="left"/>
              <w:outlineLvl w:val="9"/>
              <w:rPr>
                <w:rFonts w:ascii="Times New Roman" w:eastAsia="Times New Roman" w:hAnsi="Times New Roman" w:cs="Times New Roman"/>
                <w:sz w:val="20"/>
              </w:rPr>
            </w:pPr>
            <w:hyperlink w:anchor="Section54" w:history="1">
              <w:r>
                <w:rPr>
                  <w:rFonts w:ascii="Times New Roman" w:eastAsia="Times New Roman" w:hAnsi="Times New Roman" w:cs="Times New Roman"/>
                  <w:color w:val="0000FF"/>
                  <w:sz w:val="20"/>
                  <w:u w:val="single"/>
                </w:rPr>
                <w:t>Item 16.   Form 10-K Summary</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Section54</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101</w:t>
            </w:r>
            <w:r>
              <w:rPr>
                <w:rFonts w:ascii="Times New Roman" w:eastAsia="Times New Roman" w:hAnsi="Times New Roman" w:cs="Times New Roman"/>
                <w:color w:val="0000FF"/>
                <w:sz w:val="20"/>
                <w:u w:val="single"/>
              </w:rPr>
              <w:fldChar w:fldCharType="end"/>
            </w: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w:anchor="Section55" w:history="1">
              <w:r>
                <w:rPr>
                  <w:rFonts w:ascii="Times New Roman" w:eastAsia="Times New Roman" w:hAnsi="Times New Roman" w:cs="Times New Roman"/>
                  <w:color w:val="0000FF"/>
                  <w:sz w:val="20"/>
                  <w:u w:val="single"/>
                </w:rPr>
                <w:t>Signatures</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Section55</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102</w:t>
            </w:r>
            <w:r>
              <w:rPr>
                <w:rFonts w:ascii="Times New Roman" w:eastAsia="Times New Roman" w:hAnsi="Times New Roman" w:cs="Times New Roman"/>
                <w:color w:val="0000FF"/>
                <w:sz w:val="20"/>
                <w:u w:val="single"/>
              </w:rPr>
              <w:fldChar w:fldCharType="end"/>
            </w:r>
          </w:p>
        </w:tc>
      </w:tr>
    </w:tbl>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sectPr>
          <w:footerReference w:type="default" r:id="rId6"/>
          <w:pgSz w:w="12240" w:h="15840"/>
          <w:pgMar w:top="855" w:right="990" w:bottom="855" w:left="990" w:header="270" w:footer="270"/>
          <w:pgNumType w:fmt="lowerRoman" w:start="1"/>
          <w:cols w:space="708"/>
        </w:sectPr>
      </w:pPr>
    </w:p>
    <w:p>
      <w:pPr>
        <w:keepNext w:val="0"/>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sz w:val="20"/>
        </w:rPr>
      </w:pPr>
      <w:bookmarkStart w:id="2" w:name="Section3"/>
      <w:bookmarkEnd w:id="2"/>
      <w:r>
        <w:rPr>
          <w:rFonts w:ascii="Times New Roman" w:eastAsia="Times New Roman" w:hAnsi="Times New Roman" w:cs="Times New Roman"/>
          <w:b/>
          <w:sz w:val="20"/>
        </w:rPr>
        <w:t xml:space="preserve">PART I </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sectPr>
          <w:pgSz w:w="12240" w:h="15840"/>
          <w:pgMar w:top="855" w:right="990" w:bottom="855" w:left="990" w:header="270" w:footer="270"/>
          <w:pgNumType w:start="1"/>
          <w:cols w:space="708"/>
        </w:sectPr>
      </w:pPr>
    </w:p>
    <w:p>
      <w:pPr>
        <w:keepNext w:val="0"/>
        <w:keepLines w:val="0"/>
        <w:pageBreakBefore w:val="0"/>
        <w:widowControl/>
        <w:numPr>
          <w:ilvl w:val="0"/>
          <w:numId w:val="0"/>
        </w:numPr>
        <w:spacing w:before="0" w:after="0" w:line="418" w:lineRule="auto"/>
        <w:ind w:left="0" w:right="0" w:firstLine="0"/>
        <w:jc w:val="both"/>
        <w:outlineLvl w:val="1"/>
        <w:rPr>
          <w:rFonts w:ascii="Times New Roman" w:eastAsia="Times New Roman" w:hAnsi="Times New Roman" w:cs="Times New Roman"/>
          <w:b/>
          <w:sz w:val="20"/>
        </w:rPr>
      </w:pPr>
      <w:bookmarkStart w:id="3" w:name="Section4"/>
      <w:bookmarkEnd w:id="3"/>
      <w:r>
        <w:rPr>
          <w:rFonts w:ascii="Times New Roman" w:eastAsia="Times New Roman" w:hAnsi="Times New Roman" w:cs="Times New Roman"/>
          <w:b/>
          <w:sz w:val="20"/>
        </w:rPr>
        <w:t>Cautionary Note Regarding Forward-Looking Information</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This </w:t>
      </w:r>
      <w:r>
        <w:rPr>
          <w:rFonts w:ascii="Times New Roman" w:eastAsia="Times New Roman" w:hAnsi="Times New Roman" w:cs="Times New Roman"/>
          <w:sz w:val="20"/>
        </w:rPr>
        <w:t>Annual Report on Form 10-K (this “Annual Report”)</w:t>
      </w:r>
      <w:r>
        <w:rPr>
          <w:rFonts w:ascii="Times New Roman" w:eastAsia="Times New Roman" w:hAnsi="Times New Roman" w:cs="Times New Roman"/>
          <w:sz w:val="20"/>
        </w:rPr>
        <w:t xml:space="preserve"> contains “forward-looking statements” intended to qualify for the safe harbor from liability established by the Private Securities Litigation Reform Act of 1995. The statements, which are not historical facts contained in this report, including those contained in Management’s Discussion and Analysis of Financial Condition and Results of Operations, and the notes to our consolidated financial statements, particularly those that utilize terminology such as “may,” “will,” “would,” “could,” “should,” “expects,” “anticipates,” “anticipates,” “estimates,” “believes,” “thinks,” “intends,” “likely,” “projects,” “plans,” “pursue,” “strategy” or “future,” or the negative of these words or other words or expressions of similar meaning, are forward-looking statements. Such statements are based on currently available operating, financial and competitive information, and are subject to inherent risks, uncertainties</w:t>
      </w:r>
      <w:r>
        <w:rPr>
          <w:rFonts w:ascii="Times New Roman" w:eastAsia="Times New Roman" w:hAnsi="Times New Roman" w:cs="Times New Roman"/>
          <w:sz w:val="20"/>
        </w:rPr>
        <w:t>,</w:t>
      </w:r>
      <w:r>
        <w:rPr>
          <w:rFonts w:ascii="Times New Roman" w:eastAsia="Times New Roman" w:hAnsi="Times New Roman" w:cs="Times New Roman"/>
          <w:sz w:val="20"/>
        </w:rPr>
        <w:t xml:space="preserve"> and changes in circumstances that are difficult to predict and many of which are outside of our control. Future events and our actual results and financial condition may differ materially from those reflected in these forward-looking statements. Therefore, you should not rely on any of these forward-looking statements. Important factors that could cause these differences include, but are not limited to, the following:</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impact of the COVID-19 pandemic on our operations, financial condition</w:t>
      </w:r>
      <w:r>
        <w:rPr>
          <w:rFonts w:ascii="Times New Roman" w:eastAsia="Times New Roman" w:hAnsi="Times New Roman" w:cs="Times New Roman"/>
          <w:sz w:val="20"/>
        </w:rPr>
        <w:t>,</w:t>
      </w:r>
      <w:r>
        <w:rPr>
          <w:rFonts w:ascii="Times New Roman" w:eastAsia="Times New Roman" w:hAnsi="Times New Roman" w:cs="Times New Roman"/>
          <w:sz w:val="20"/>
        </w:rPr>
        <w:t xml:space="preserve"> and the worldwide economy;</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customer cancellations; </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ability to raise additional funding needed to fund our business operation in the future;</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ability to satisfy the requirements for continued listing of our common stock on the Nasdaq Capital Market;</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ability to maintain effective disclosure controls and procedures and internal control over financial reporting;</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ability to protect our intellectual property; </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ability to maintain and grow our business; </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results of any future litigation;</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competition in the industry;</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variability of operating results; </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ability to maintain and enhance our brand;</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accuracy of tracking the number of user accounts; </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development and introduction of new products and services; </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successful integration of acquired companies, technologies and assets into our portfolio of software and services; </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marketing and other business development initiatives; </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general government regulation; </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economic conditions, including as a result of health and safety concerns; </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dependence on key personnel; </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ability to attract, hire</w:t>
      </w:r>
      <w:r>
        <w:rPr>
          <w:rFonts w:ascii="Times New Roman" w:eastAsia="Times New Roman" w:hAnsi="Times New Roman" w:cs="Times New Roman"/>
          <w:sz w:val="20"/>
        </w:rPr>
        <w:t>,</w:t>
      </w:r>
      <w:r>
        <w:rPr>
          <w:rFonts w:ascii="Times New Roman" w:eastAsia="Times New Roman" w:hAnsi="Times New Roman" w:cs="Times New Roman"/>
          <w:sz w:val="20"/>
        </w:rPr>
        <w:t xml:space="preserve"> and retain personnel who possess the technical skills and experience necessary to meet the service requirements of our customers; </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potential liability with respect to actions taken by our existing and past employees; </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risks associated with international sales; </w:t>
      </w:r>
      <w:r>
        <w:rPr>
          <w:rFonts w:ascii="Times New Roman" w:eastAsia="Times New Roman" w:hAnsi="Times New Roman" w:cs="Times New Roman"/>
          <w:sz w:val="20"/>
        </w:rPr>
        <w:t>and</w:t>
      </w:r>
    </w:p>
    <w:p>
      <w:pPr>
        <w:keepNext w:val="0"/>
        <w:keepLines w:val="0"/>
        <w:pageBreakBefore w:val="0"/>
        <w:widowControl/>
        <w:numPr>
          <w:ilvl w:val="0"/>
          <w:numId w:val="4"/>
        </w:numPr>
        <w:spacing w:before="0" w:after="0" w:line="28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other risks and uncertainties described in the Risk Factors section of this </w:t>
      </w:r>
      <w:r>
        <w:rPr>
          <w:rFonts w:ascii="Times New Roman" w:eastAsia="Times New Roman" w:hAnsi="Times New Roman" w:cs="Times New Roman"/>
          <w:sz w:val="20"/>
        </w:rPr>
        <w:t>Annual Report</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All forward-looking statements in this document are based on our current expectations, intentions</w:t>
      </w:r>
      <w:r>
        <w:rPr>
          <w:rFonts w:ascii="Times New Roman" w:eastAsia="Times New Roman" w:hAnsi="Times New Roman" w:cs="Times New Roman"/>
          <w:sz w:val="20"/>
        </w:rPr>
        <w:t>,</w:t>
      </w:r>
      <w:r>
        <w:rPr>
          <w:rFonts w:ascii="Times New Roman" w:eastAsia="Times New Roman" w:hAnsi="Times New Roman" w:cs="Times New Roman"/>
          <w:sz w:val="20"/>
        </w:rPr>
        <w:t xml:space="preserve"> and beliefs using information currently available to us as of the date of this Annual Report, and we assume no obligation to update any forward-looking statements, except as required by law.</w:t>
      </w:r>
      <w:r>
        <w:rPr>
          <w:rFonts w:ascii="Times New Roman" w:eastAsia="Times New Roman" w:hAnsi="Times New Roman" w:cs="Times New Roman"/>
          <w:sz w:val="20"/>
        </w:rPr>
        <w:t> Forward-looking statements involve known and unknown risks, uncertainties</w:t>
      </w:r>
      <w:r>
        <w:rPr>
          <w:rFonts w:ascii="Times New Roman" w:eastAsia="Times New Roman" w:hAnsi="Times New Roman" w:cs="Times New Roman"/>
          <w:sz w:val="20"/>
        </w:rPr>
        <w:t>,</w:t>
      </w:r>
      <w:r>
        <w:rPr>
          <w:rFonts w:ascii="Times New Roman" w:eastAsia="Times New Roman" w:hAnsi="Times New Roman" w:cs="Times New Roman"/>
          <w:sz w:val="20"/>
        </w:rPr>
        <w:t xml:space="preserve"> and other factors that may cause the actual results to differ materially from any future results, performance or achievements expressed or implied by such forward-looking statements.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both"/>
        <w:outlineLvl w:val="1"/>
        <w:rPr>
          <w:rFonts w:ascii="Times New Roman" w:eastAsia="Times New Roman" w:hAnsi="Times New Roman" w:cs="Times New Roman"/>
          <w:b/>
          <w:sz w:val="20"/>
        </w:rPr>
      </w:pPr>
      <w:bookmarkStart w:id="4" w:name="Section5"/>
      <w:bookmarkEnd w:id="4"/>
      <w:r>
        <w:rPr>
          <w:rFonts w:ascii="Times New Roman" w:eastAsia="Times New Roman" w:hAnsi="Times New Roman" w:cs="Times New Roman"/>
          <w:b/>
          <w:sz w:val="20"/>
        </w:rPr>
        <w:t>ITEM 1 – BUSINESS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Our Mission</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Our mission is to champion the world's creators by helping them monetize their content, creativity, and influence.</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Our Business</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IZEA Worldwide, Inc. (together with its wholly-owned subsidiaries, “we,” “us,” “our,” “IZEA” or the “Company”) is a Nevada corporation that was founded in February 2006 under the name PayPerPost, Inc. and became a public company in May 2011. In January 2015, IZEA purchased all of the outstanding shares of capital stock of Ebyline, Inc. (“Ebyline”). In July 2016, IZEA purchased all the outstanding shares of capital stock of ZenContent, Inc. (“ZenContent”). </w:t>
      </w:r>
      <w:r>
        <w:rPr>
          <w:rFonts w:ascii="Times New Roman" w:eastAsia="Times New Roman" w:hAnsi="Times New Roman" w:cs="Times New Roman"/>
          <w:sz w:val="20"/>
        </w:rPr>
        <w:t>In March 2016, we formed IZEA Canada, Inc., a wholly-owned subsidiary incorporated in Ontario, Canada, to operate as a sales and support office for IZEA's Canadian customers. On July 26, 2018, we</w:t>
      </w:r>
      <w:r>
        <w:rPr>
          <w:rFonts w:ascii="Times New Roman" w:eastAsia="Times New Roman" w:hAnsi="Times New Roman" w:cs="Times New Roman"/>
          <w:sz w:val="20"/>
        </w:rPr>
        <w:t xml:space="preserve"> purchased</w:t>
      </w:r>
      <w:r>
        <w:rPr>
          <w:rFonts w:ascii="Times New Roman" w:eastAsia="Times New Roman" w:hAnsi="Times New Roman" w:cs="Times New Roman"/>
          <w:sz w:val="20"/>
        </w:rPr>
        <w:t xml:space="preserve"> TapInfluence, Inc. (“TapInfluence”) pursuant to the terms of an Agreement and Plan of Merger dated as of July 11, 2018 and amended July 20, 2018. </w:t>
      </w:r>
      <w:r>
        <w:rPr>
          <w:rFonts w:ascii="Times New Roman" w:eastAsia="Times New Roman" w:hAnsi="Times New Roman" w:cs="Times New Roman"/>
          <w:sz w:val="20"/>
        </w:rPr>
        <w:t xml:space="preserve"> ZenContent</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Ebyline</w:t>
      </w:r>
      <w:r>
        <w:rPr>
          <w:rFonts w:ascii="Times New Roman" w:eastAsia="Times New Roman" w:hAnsi="Times New Roman" w:cs="Times New Roman"/>
          <w:sz w:val="20"/>
        </w:rPr>
        <w:t>,</w:t>
      </w:r>
      <w:r>
        <w:rPr>
          <w:rFonts w:ascii="Times New Roman" w:eastAsia="Times New Roman" w:hAnsi="Times New Roman" w:cs="Times New Roman"/>
          <w:sz w:val="20"/>
        </w:rPr>
        <w:t xml:space="preserve"> and TapInfluence </w:t>
      </w:r>
      <w:r>
        <w:rPr>
          <w:rFonts w:ascii="Times New Roman" w:eastAsia="Times New Roman" w:hAnsi="Times New Roman" w:cs="Times New Roman"/>
          <w:sz w:val="20"/>
        </w:rPr>
        <w:t>were mer</w:t>
      </w:r>
      <w:r>
        <w:rPr>
          <w:rFonts w:ascii="Times New Roman" w:eastAsia="Times New Roman" w:hAnsi="Times New Roman" w:cs="Times New Roman"/>
          <w:sz w:val="20"/>
        </w:rPr>
        <w:t xml:space="preserve">ged into IZEA in December 2017, December 2019 and </w:t>
      </w:r>
      <w:r>
        <w:rPr>
          <w:rFonts w:ascii="Times New Roman" w:eastAsia="Times New Roman" w:hAnsi="Times New Roman" w:cs="Times New Roman"/>
          <w:sz w:val="20"/>
        </w:rPr>
        <w:t>December 2020</w:t>
      </w:r>
      <w:r>
        <w:rPr>
          <w:rFonts w:ascii="Times New Roman" w:eastAsia="Times New Roman" w:hAnsi="Times New Roman" w:cs="Times New Roman"/>
          <w:sz w:val="20"/>
        </w:rPr>
        <w:t>, resp</w:t>
      </w:r>
      <w:r>
        <w:rPr>
          <w:rFonts w:ascii="Times New Roman" w:eastAsia="Times New Roman" w:hAnsi="Times New Roman" w:cs="Times New Roman"/>
          <w:sz w:val="20"/>
        </w:rPr>
        <w:t>ectively,</w:t>
      </w:r>
      <w:r>
        <w:rPr>
          <w:rFonts w:ascii="Times New Roman" w:eastAsia="Times New Roman" w:hAnsi="Times New Roman" w:cs="Times New Roman"/>
          <w:sz w:val="20"/>
        </w:rPr>
        <w:t xml:space="preserve"> after all assets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were transferred to IZEA.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Our Company is</w:t>
      </w:r>
      <w:r>
        <w:rPr>
          <w:rFonts w:ascii="Times New Roman" w:eastAsia="Times New Roman" w:hAnsi="Times New Roman" w:cs="Times New Roman"/>
          <w:sz w:val="20"/>
        </w:rPr>
        <w:t xml:space="preserve"> based</w:t>
      </w:r>
      <w:r>
        <w:rPr>
          <w:rFonts w:ascii="Times New Roman" w:eastAsia="Times New Roman" w:hAnsi="Times New Roman" w:cs="Times New Roman"/>
          <w:sz w:val="20"/>
        </w:rPr>
        <w:t xml:space="preserve"> near Orlando, Florida </w:t>
      </w:r>
      <w:r>
        <w:rPr>
          <w:rFonts w:ascii="Times New Roman" w:eastAsia="Times New Roman" w:hAnsi="Times New Roman" w:cs="Times New Roman"/>
          <w:sz w:val="20"/>
        </w:rPr>
        <w:t xml:space="preserve">with all of our employees working remotely </w:t>
      </w:r>
      <w:r>
        <w:rPr>
          <w:rFonts w:ascii="Times New Roman" w:eastAsia="Times New Roman" w:hAnsi="Times New Roman" w:cs="Times New Roman"/>
          <w:sz w:val="20"/>
        </w:rPr>
        <w:t>since March 16, 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create and operate online marketplaces that connect marketers, including brands, agencies, and publishers, with content creators such as </w:t>
      </w:r>
      <w:r>
        <w:rPr>
          <w:rFonts w:ascii="Times New Roman" w:eastAsia="Times New Roman" w:hAnsi="Times New Roman" w:cs="Times New Roman"/>
          <w:sz w:val="20"/>
        </w:rPr>
        <w:t xml:space="preserve">Instagram influencers, TikTok </w:t>
      </w:r>
      <w:r>
        <w:rPr>
          <w:rFonts w:ascii="Times New Roman" w:eastAsia="Times New Roman" w:hAnsi="Times New Roman" w:cs="Times New Roman"/>
          <w:sz w:val="20"/>
        </w:rPr>
        <w:t>i</w:t>
      </w:r>
      <w:r>
        <w:rPr>
          <w:rFonts w:ascii="Times New Roman" w:eastAsia="Times New Roman" w:hAnsi="Times New Roman" w:cs="Times New Roman"/>
          <w:sz w:val="20"/>
        </w:rPr>
        <w:t xml:space="preserve">nfluencers, YouTube </w:t>
      </w:r>
      <w:r>
        <w:rPr>
          <w:rFonts w:ascii="Times New Roman" w:eastAsia="Times New Roman" w:hAnsi="Times New Roman" w:cs="Times New Roman"/>
          <w:sz w:val="20"/>
        </w:rPr>
        <w:t>s</w:t>
      </w:r>
      <w:r>
        <w:rPr>
          <w:rFonts w:ascii="Times New Roman" w:eastAsia="Times New Roman" w:hAnsi="Times New Roman" w:cs="Times New Roman"/>
          <w:sz w:val="20"/>
        </w:rPr>
        <w:t xml:space="preserve">tars, </w:t>
      </w:r>
      <w:r>
        <w:rPr>
          <w:rFonts w:ascii="Times New Roman" w:eastAsia="Times New Roman" w:hAnsi="Times New Roman" w:cs="Times New Roman"/>
          <w:sz w:val="20"/>
        </w:rPr>
        <w:t>d</w:t>
      </w:r>
      <w:r>
        <w:rPr>
          <w:rFonts w:ascii="Times New Roman" w:eastAsia="Times New Roman" w:hAnsi="Times New Roman" w:cs="Times New Roman"/>
          <w:sz w:val="20"/>
        </w:rPr>
        <w:t xml:space="preserve">esigners, </w:t>
      </w:r>
      <w:r>
        <w:rPr>
          <w:rFonts w:ascii="Times New Roman" w:eastAsia="Times New Roman" w:hAnsi="Times New Roman" w:cs="Times New Roman"/>
          <w:sz w:val="20"/>
        </w:rPr>
        <w:t>p</w:t>
      </w:r>
      <w:r>
        <w:rPr>
          <w:rFonts w:ascii="Times New Roman" w:eastAsia="Times New Roman" w:hAnsi="Times New Roman" w:cs="Times New Roman"/>
          <w:sz w:val="20"/>
        </w:rPr>
        <w:t xml:space="preserve">hotographers, and </w:t>
      </w:r>
      <w:r>
        <w:rPr>
          <w:rFonts w:ascii="Times New Roman" w:eastAsia="Times New Roman" w:hAnsi="Times New Roman" w:cs="Times New Roman"/>
          <w:sz w:val="20"/>
        </w:rPr>
        <w:t>w</w:t>
      </w:r>
      <w:r>
        <w:rPr>
          <w:rFonts w:ascii="Times New Roman" w:eastAsia="Times New Roman" w:hAnsi="Times New Roman" w:cs="Times New Roman"/>
          <w:sz w:val="20"/>
        </w:rPr>
        <w:t xml:space="preserve">riters </w:t>
      </w:r>
      <w:r>
        <w:rPr>
          <w:rFonts w:ascii="Times New Roman" w:eastAsia="Times New Roman" w:hAnsi="Times New Roman" w:cs="Times New Roman"/>
          <w:sz w:val="20"/>
        </w:rPr>
        <w:t xml:space="preserve"> (“creators”). The creators are compensated by us for producing unique content such as long and short form text, videos, photos, status updates, and illustrations for marketers or distributing such content on behalf of marketers through their personal websites, blogs, and social media channels. Our technology brings the marketers and creators together, enabling their transactions to be completed at scale through the management of custom content workflow, creator search and targeting, bidding, analytics and payment processing.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Marketers engage us to gain access to our industry expertise, technology, data, analytics, and network of creators. The majority of the marketers engage us to perform these services on their behalf, but they also have the ability to use our marketplaces on a self-service basis by licensing our technology. Our technology is used for two primary purposes: the engagement of creators for influencer marketing campaigns and the engagement of creators to create stand-alone custom content for the marketers' own use and distribution.</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b/>
          <w:i/>
          <w:sz w:val="20"/>
        </w:rPr>
        <w:t xml:space="preserve">Influencer Marketing. </w:t>
      </w:r>
      <w:r>
        <w:rPr>
          <w:rFonts w:ascii="Times New Roman" w:eastAsia="Times New Roman" w:hAnsi="Times New Roman" w:cs="Times New Roman"/>
          <w:sz w:val="20"/>
        </w:rPr>
        <w:t xml:space="preserve">We work with marketers to enable influencer marketing campaigns at scale. A subset of influencer marketing known as “Sponsored Social” is when a company compensates creators to share sponsored content with the creators’ social network followings. This sponsored content is included within the body of the content stream. We believe that we pioneered the concept of a marketplace for sponsorships on the social web in 2006 with the launch of our first platform, </w:t>
      </w:r>
      <w:r>
        <w:rPr>
          <w:rFonts w:ascii="Times New Roman" w:eastAsia="Times New Roman" w:hAnsi="Times New Roman" w:cs="Times New Roman"/>
          <w:i/>
          <w:sz w:val="20"/>
        </w:rPr>
        <w:t xml:space="preserve">PayPerPost. </w:t>
      </w:r>
      <w:r>
        <w:rPr>
          <w:rFonts w:ascii="Times New Roman" w:eastAsia="Times New Roman" w:hAnsi="Times New Roman" w:cs="Times New Roman"/>
          <w:sz w:val="20"/>
        </w:rPr>
        <w:t xml:space="preserve">We have focused on scaling our product and service offerings ever since, including </w:t>
      </w:r>
      <w:r>
        <w:rPr>
          <w:rFonts w:ascii="Times New Roman" w:eastAsia="Times New Roman" w:hAnsi="Times New Roman" w:cs="Times New Roman"/>
          <w:sz w:val="20"/>
        </w:rPr>
        <w:t>acquiring TapInfluence in July 2018</w:t>
      </w:r>
      <w:r>
        <w:rPr>
          <w:rFonts w:ascii="Times New Roman" w:eastAsia="Times New Roman" w:hAnsi="Times New Roman" w:cs="Times New Roman"/>
          <w:sz w:val="20"/>
        </w:rPr>
        <w:t xml:space="preserve"> and launching Shake and BrandGraph in 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Custom Content.</w:t>
      </w:r>
      <w:r>
        <w:rPr>
          <w:rFonts w:ascii="Times New Roman" w:eastAsia="Times New Roman" w:hAnsi="Times New Roman" w:cs="Times New Roman"/>
          <w:b/>
          <w:sz w:val="20"/>
        </w:rPr>
        <w:t xml:space="preserve"> </w:t>
      </w:r>
      <w:r>
        <w:rPr>
          <w:rFonts w:ascii="Times New Roman" w:eastAsia="Times New Roman" w:hAnsi="Times New Roman" w:cs="Times New Roman"/>
          <w:sz w:val="20"/>
        </w:rPr>
        <w:t>We also work with marketers to augment or replace their content development efforts. Our network of creators produces editorial and marketing content that can be published both online and offline. Our network of creators includes professional journalists, subject matter experts, bloggers</w:t>
      </w:r>
      <w:r>
        <w:rPr>
          <w:rFonts w:ascii="Times New Roman" w:eastAsia="Times New Roman" w:hAnsi="Times New Roman" w:cs="Times New Roman"/>
          <w:sz w:val="20"/>
        </w:rPr>
        <w:t>,</w:t>
      </w:r>
      <w:r>
        <w:rPr>
          <w:rFonts w:ascii="Times New Roman" w:eastAsia="Times New Roman" w:hAnsi="Times New Roman" w:cs="Times New Roman"/>
          <w:sz w:val="20"/>
        </w:rPr>
        <w:t xml:space="preserve"> and everyday content creators, allowing our customers to produce content ranging from complex white papers to simple product descriptions. Many of our content customers use this service to create a steady stream of posts for their corporate blogs. We first began offering custom content services in 2015 after our acquisition of Ebyline, a leading marketplace in the editorial content space, and continued to expand this offering with our acquisition of ZenContent in July 2016, a company that predominantly focused on e-commerce-related asset creation.</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hanging="9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Our Platforms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b/>
          <w:i/>
          <w:sz w:val="20"/>
        </w:rPr>
        <w:t>The IZEA Exchange.</w:t>
      </w:r>
      <w:r>
        <w:rPr>
          <w:rFonts w:ascii="Times New Roman" w:eastAsia="Times New Roman" w:hAnsi="Times New Roman" w:cs="Times New Roman"/>
          <w:sz w:val="20"/>
        </w:rPr>
        <w:t xml:space="preserve"> The </w:t>
      </w:r>
      <w:r>
        <w:rPr>
          <w:rFonts w:ascii="Times New Roman" w:eastAsia="Times New Roman" w:hAnsi="Times New Roman" w:cs="Times New Roman"/>
          <w:i/>
          <w:sz w:val="20"/>
        </w:rPr>
        <w:t>IZEA Exchange</w:t>
      </w:r>
      <w:r>
        <w:rPr>
          <w:rFonts w:ascii="Times New Roman" w:eastAsia="Times New Roman" w:hAnsi="Times New Roman" w:cs="Times New Roman"/>
          <w:sz w:val="20"/>
        </w:rPr>
        <w:t xml:space="preserv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is designed to provide a unified ecosystem that enables the creation and publication of multiple types of custom content through our creators’ personal websites, blogs, and social media channels, including among others, Twitter, Facebook, </w:t>
      </w:r>
      <w:r>
        <w:rPr>
          <w:rFonts w:ascii="Times New Roman" w:eastAsia="Times New Roman" w:hAnsi="Times New Roman" w:cs="Times New Roman"/>
          <w:sz w:val="20"/>
        </w:rPr>
        <w:t>YouTube, Twitch</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Instagram. We extensively use this platform to manage influencer marketing campaigns on behalf of our marketers. This platform is also available directly to our marketers as a self-service tool and as a licensed white label product.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was engineered from the ground-up to replace all of our previous platforms with an integrated offering that is improved and more efficient.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Arial" w:eastAsia="Arial" w:hAnsi="Arial" w:cs="Arial"/>
          <w:sz w:val="24"/>
        </w:rPr>
      </w:pPr>
      <w:r>
        <w:rPr>
          <w:rFonts w:ascii="Times New Roman" w:eastAsia="Times New Roman" w:hAnsi="Times New Roman" w:cs="Times New Roman"/>
          <w:b/>
          <w:i/>
          <w:sz w:val="20"/>
        </w:rPr>
        <w:t>BrandGraph.</w:t>
      </w:r>
      <w:r>
        <w:rPr>
          <w:rFonts w:ascii="Times New Roman" w:eastAsia="Times New Roman" w:hAnsi="Times New Roman" w:cs="Times New Roman"/>
          <w:sz w:val="20"/>
        </w:rPr>
        <w:t xml:space="preserve"> In March 2020, we launched</w:t>
      </w:r>
      <w:r>
        <w:rPr>
          <w:rFonts w:ascii="Times New Roman" w:eastAsia="Times New Roman" w:hAnsi="Times New Roman" w:cs="Times New Roman"/>
          <w:i/>
          <w:sz w:val="20"/>
        </w:rPr>
        <w:t xml:space="preserve"> BrandGraph</w:t>
      </w:r>
      <w:r>
        <w:rPr>
          <w:rFonts w:ascii="Times New Roman" w:eastAsia="Times New Roman" w:hAnsi="Times New Roman" w:cs="Times New Roman"/>
          <w:sz w:val="20"/>
        </w:rPr>
        <w:t xml:space="preserve">, a social media intelligence platform. BrandGraph is heavily integrated with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both platforms rely heavily on data from each other, but </w:t>
      </w:r>
      <w:r>
        <w:rPr>
          <w:rFonts w:ascii="Times New Roman" w:eastAsia="Times New Roman" w:hAnsi="Times New Roman" w:cs="Times New Roman"/>
          <w:sz w:val="20"/>
        </w:rPr>
        <w:t xml:space="preserve">it </w:t>
      </w:r>
      <w:r>
        <w:rPr>
          <w:rFonts w:ascii="Times New Roman" w:eastAsia="Times New Roman" w:hAnsi="Times New Roman" w:cs="Times New Roman"/>
          <w:sz w:val="20"/>
        </w:rPr>
        <w:t xml:space="preserve">is also available as a stand-alone platform. </w:t>
      </w:r>
      <w:r>
        <w:rPr>
          <w:rFonts w:ascii="Times New Roman" w:eastAsia="Times New Roman" w:hAnsi="Times New Roman" w:cs="Times New Roman"/>
          <w:i/>
          <w:sz w:val="20"/>
        </w:rPr>
        <w:t>BrandGraph</w:t>
      </w:r>
      <w:r>
        <w:rPr>
          <w:rFonts w:ascii="Times New Roman" w:eastAsia="Times New Roman" w:hAnsi="Times New Roman" w:cs="Times New Roman"/>
          <w:sz w:val="20"/>
        </w:rPr>
        <w:t xml:space="preserve"> offers marketers an analysis of share-of-voice, engagement benchmarking, category spending estimates, influencer identification, and sentiment analysis. The platform maps and classifies the complex hierarchy of corporation-to-brand </w:t>
      </w:r>
      <w:r>
        <w:rPr>
          <w:rFonts w:ascii="Times New Roman" w:eastAsia="Times New Roman" w:hAnsi="Times New Roman" w:cs="Times New Roman"/>
          <w:sz w:val="20"/>
        </w:rPr>
        <w:t>r</w:t>
      </w:r>
      <w:r>
        <w:rPr>
          <w:rFonts w:ascii="Times New Roman" w:eastAsia="Times New Roman" w:hAnsi="Times New Roman" w:cs="Times New Roman"/>
          <w:sz w:val="20"/>
        </w:rPr>
        <w:t>elationships by category and associates social content with brands through a proprietary content analysis engine. It aggregates and analyzes content data to provide insights for marketers across their competitive landscapes that are particularly useful to influencer marketing professionals including our own managed services team</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Helvetica" w:eastAsia="Helvetica" w:hAnsi="Helvetica" w:cs="Helvetica"/>
          <w:sz w:val="24"/>
        </w:rPr>
      </w:pPr>
      <w:r>
        <w:rPr>
          <w:rFonts w:ascii="Times New Roman" w:eastAsia="Times New Roman" w:hAnsi="Times New Roman" w:cs="Times New Roman"/>
          <w:b/>
          <w:i/>
          <w:sz w:val="20"/>
        </w:rPr>
        <w:t>Shake</w:t>
      </w:r>
      <w:r>
        <w:rPr>
          <w:rFonts w:ascii="Times New Roman" w:eastAsia="Times New Roman" w:hAnsi="Times New Roman" w:cs="Times New Roman"/>
          <w:b/>
          <w:i/>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In November 2020, we launched</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Sha</w:t>
      </w:r>
      <w:r>
        <w:rPr>
          <w:rFonts w:ascii="Times New Roman" w:eastAsia="Times New Roman" w:hAnsi="Times New Roman" w:cs="Times New Roman"/>
          <w:i/>
          <w:sz w:val="20"/>
        </w:rPr>
        <w:t>ke</w:t>
      </w:r>
      <w:r>
        <w:rPr>
          <w:rFonts w:ascii="Times New Roman" w:eastAsia="Times New Roman" w:hAnsi="Times New Roman" w:cs="Times New Roman"/>
          <w:i/>
          <w:sz w:val="20"/>
        </w:rPr>
        <w:t>,</w:t>
      </w:r>
      <w:r>
        <w:rPr>
          <w:rFonts w:ascii="Times New Roman" w:eastAsia="Times New Roman" w:hAnsi="Times New Roman" w:cs="Times New Roman"/>
          <w:sz w:val="20"/>
        </w:rPr>
        <w:t xml:space="preserve"> w</w:t>
      </w:r>
      <w:r>
        <w:rPr>
          <w:rFonts w:ascii="Times New Roman" w:eastAsia="Times New Roman" w:hAnsi="Times New Roman" w:cs="Times New Roman"/>
          <w:sz w:val="20"/>
        </w:rPr>
        <w:t>hi</w:t>
      </w:r>
      <w:r>
        <w:rPr>
          <w:rFonts w:ascii="Times New Roman" w:eastAsia="Times New Roman" w:hAnsi="Times New Roman" w:cs="Times New Roman"/>
          <w:sz w:val="20"/>
        </w:rPr>
        <w:t>ch is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 new online marketplace where buyers can quickly and easily hire creators of all types for influencer marketing, photography, design, and other digital services. </w:t>
      </w:r>
      <w:r>
        <w:rPr>
          <w:rFonts w:ascii="Times New Roman" w:eastAsia="Times New Roman" w:hAnsi="Times New Roman" w:cs="Times New Roman"/>
          <w:sz w:val="20"/>
        </w:rPr>
        <w:t xml:space="preserve">The </w:t>
      </w:r>
      <w:r>
        <w:rPr>
          <w:rFonts w:ascii="Times New Roman" w:eastAsia="Times New Roman" w:hAnsi="Times New Roman" w:cs="Times New Roman"/>
          <w:i/>
          <w:sz w:val="20"/>
        </w:rPr>
        <w:t>Shake</w:t>
      </w:r>
      <w:r>
        <w:rPr>
          <w:rFonts w:ascii="Times New Roman" w:eastAsia="Times New Roman" w:hAnsi="Times New Roman" w:cs="Times New Roman"/>
          <w:sz w:val="20"/>
        </w:rPr>
        <w:t xml:space="preserve"> platform is aimed at digital creat</w:t>
      </w:r>
      <w:r>
        <w:rPr>
          <w:rFonts w:ascii="Times New Roman" w:eastAsia="Times New Roman" w:hAnsi="Times New Roman" w:cs="Times New Roman"/>
          <w:sz w:val="20"/>
        </w:rPr>
        <w:t>or</w:t>
      </w:r>
      <w:r>
        <w:rPr>
          <w:rFonts w:ascii="Times New Roman" w:eastAsia="Times New Roman" w:hAnsi="Times New Roman" w:cs="Times New Roman"/>
          <w:sz w:val="20"/>
        </w:rPr>
        <w:t>s seeking freelance “gig” work.</w:t>
      </w:r>
      <w:r>
        <w:rPr>
          <w:rFonts w:ascii="Times New Roman" w:eastAsia="Times New Roman" w:hAnsi="Times New Roman" w:cs="Times New Roman"/>
          <w:sz w:val="20"/>
        </w:rPr>
        <w:t xml:space="preserve"> </w:t>
      </w:r>
      <w:r>
        <w:rPr>
          <w:rFonts w:ascii="Times New Roman" w:eastAsia="Times New Roman" w:hAnsi="Times New Roman" w:cs="Times New Roman"/>
          <w:sz w:val="20"/>
        </w:rPr>
        <w:t>Creators list available “Shakes” on their accounts in the platform and marketers select and purchase creative packages from them through a streamlined chat experience, assisted by ShakeBot</w:t>
      </w:r>
      <w:r>
        <w:rPr>
          <w:rFonts w:ascii="Times New Roman" w:eastAsia="Times New Roman" w:hAnsi="Times New Roman" w:cs="Times New Roman"/>
          <w:sz w:val="20"/>
        </w:rPr>
        <w:t xml:space="preserve"> - a proprietary, artificial intelligence assistant.</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4"/>
        </w:rPr>
      </w:pPr>
      <w:r>
        <w:rPr>
          <w:rFonts w:ascii="Times New Roman" w:eastAsia="Times New Roman" w:hAnsi="Times New Roman" w:cs="Times New Roman"/>
          <w:b/>
          <w:i/>
          <w:sz w:val="20"/>
        </w:rPr>
        <w:t xml:space="preserve">Ebyline. </w:t>
      </w:r>
      <w:r>
        <w:rPr>
          <w:rFonts w:ascii="Times New Roman" w:eastAsia="Times New Roman" w:hAnsi="Times New Roman" w:cs="Times New Roman"/>
          <w:sz w:val="20"/>
        </w:rPr>
        <w:t xml:space="preserve">In January 2015, we acquired Ebyline and its technology platform that was created to source and compensate creators specifically for the creation and delivery of professional editorial content.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was originally designed as a self-service content marketplace to replace editorial newsrooms located in the news agencies with a “virtual newsroom” of creators to produce their content needs and to handle their content workflow. After the acquisition, we began to utilize the creators in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to produce professional custom content for brands, in addition to the self-service functionality used by newspapers. We have been incorporating certain functions of this platform into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in order to have one consolidated platform in the future and by December 2019, we migrated all remaining customers into our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platform and dissolved the Ebyline entity.</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ZenContent. </w:t>
      </w:r>
      <w:r>
        <w:rPr>
          <w:rFonts w:ascii="Times New Roman" w:eastAsia="Times New Roman" w:hAnsi="Times New Roman" w:cs="Times New Roman"/>
          <w:sz w:val="20"/>
        </w:rPr>
        <w:t>In July 2016, we acquired ZenContent including its custom content creation workflow technology and database of creators. ZenContent’s platform enable</w:t>
      </w:r>
      <w:r>
        <w:rPr>
          <w:rFonts w:ascii="Times New Roman" w:eastAsia="Times New Roman" w:hAnsi="Times New Roman" w:cs="Times New Roman"/>
          <w:sz w:val="20"/>
        </w:rPr>
        <w:t>d</w:t>
      </w:r>
      <w:r>
        <w:rPr>
          <w:rFonts w:ascii="Times New Roman" w:eastAsia="Times New Roman" w:hAnsi="Times New Roman" w:cs="Times New Roman"/>
          <w:sz w:val="20"/>
        </w:rPr>
        <w:t xml:space="preserve"> us to produce highly scalable, multi-part production of content for both e-commerce entities, as well as brand customers. The </w:t>
      </w:r>
      <w:r>
        <w:rPr>
          <w:rFonts w:ascii="Times New Roman" w:eastAsia="Times New Roman" w:hAnsi="Times New Roman" w:cs="Times New Roman"/>
          <w:i/>
          <w:sz w:val="20"/>
        </w:rPr>
        <w:t>ZenContent</w:t>
      </w:r>
      <w:r>
        <w:rPr>
          <w:rFonts w:ascii="Times New Roman" w:eastAsia="Times New Roman" w:hAnsi="Times New Roman" w:cs="Times New Roman"/>
          <w:sz w:val="20"/>
        </w:rPr>
        <w:t xml:space="preserve"> platform allow</w:t>
      </w:r>
      <w:r>
        <w:rPr>
          <w:rFonts w:ascii="Times New Roman" w:eastAsia="Times New Roman" w:hAnsi="Times New Roman" w:cs="Times New Roman"/>
          <w:sz w:val="20"/>
        </w:rPr>
        <w:t>ed</w:t>
      </w:r>
      <w:r>
        <w:rPr>
          <w:rFonts w:ascii="Times New Roman" w:eastAsia="Times New Roman" w:hAnsi="Times New Roman" w:cs="Times New Roman"/>
          <w:sz w:val="20"/>
        </w:rPr>
        <w:t xml:space="preserve"> us to parse work out to a wide array of qualified creators who together </w:t>
      </w:r>
      <w:r>
        <w:rPr>
          <w:rFonts w:ascii="Times New Roman" w:eastAsia="Times New Roman" w:hAnsi="Times New Roman" w:cs="Times New Roman"/>
          <w:sz w:val="20"/>
        </w:rPr>
        <w:t>could</w:t>
      </w:r>
      <w:r>
        <w:rPr>
          <w:rFonts w:ascii="Times New Roman" w:eastAsia="Times New Roman" w:hAnsi="Times New Roman" w:cs="Times New Roman"/>
          <w:sz w:val="20"/>
        </w:rPr>
        <w:t xml:space="preserve"> develop custom content assets with unmatched quality, speed, and price. This platform</w:t>
      </w:r>
      <w:r>
        <w:rPr>
          <w:rFonts w:ascii="Times New Roman" w:eastAsia="Times New Roman" w:hAnsi="Times New Roman" w:cs="Times New Roman"/>
          <w:sz w:val="20"/>
        </w:rPr>
        <w:t xml:space="preserve"> </w:t>
      </w:r>
      <w:r>
        <w:rPr>
          <w:rFonts w:ascii="Times New Roman" w:eastAsia="Times New Roman" w:hAnsi="Times New Roman" w:cs="Times New Roman"/>
          <w:sz w:val="20"/>
        </w:rPr>
        <w:t>was</w:t>
      </w:r>
      <w:r>
        <w:rPr>
          <w:rFonts w:ascii="Times New Roman" w:eastAsia="Times New Roman" w:hAnsi="Times New Roman" w:cs="Times New Roman"/>
          <w:sz w:val="20"/>
        </w:rPr>
        <w:t xml:space="preserve"> utilized by our campaign fulfillment team to service orders for custom content</w:t>
      </w:r>
      <w:r>
        <w:rPr>
          <w:rFonts w:ascii="Times New Roman" w:eastAsia="Times New Roman" w:hAnsi="Times New Roman" w:cs="Times New Roman"/>
          <w:sz w:val="20"/>
        </w:rPr>
        <w:t xml:space="preserve"> until December 2020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TapInfluence. </w:t>
      </w:r>
      <w:r>
        <w:rPr>
          <w:rFonts w:ascii="Times New Roman" w:eastAsia="Times New Roman" w:hAnsi="Times New Roman" w:cs="Times New Roman"/>
          <w:sz w:val="20"/>
        </w:rPr>
        <w:t>In July 2018, we acquired TapInfluence and its technology platform. TapInfluence market</w:t>
      </w:r>
      <w:r>
        <w:rPr>
          <w:rFonts w:ascii="Times New Roman" w:eastAsia="Times New Roman" w:hAnsi="Times New Roman" w:cs="Times New Roman"/>
          <w:sz w:val="20"/>
        </w:rPr>
        <w:t>ed</w:t>
      </w:r>
      <w:r>
        <w:rPr>
          <w:rFonts w:ascii="Times New Roman" w:eastAsia="Times New Roman" w:hAnsi="Times New Roman" w:cs="Times New Roman"/>
          <w:sz w:val="20"/>
        </w:rPr>
        <w:t xml:space="preserve"> and </w:t>
      </w:r>
      <w:r>
        <w:rPr>
          <w:rFonts w:ascii="Times New Roman" w:eastAsia="Times New Roman" w:hAnsi="Times New Roman" w:cs="Times New Roman"/>
          <w:sz w:val="20"/>
        </w:rPr>
        <w:t>sold</w:t>
      </w:r>
      <w:r>
        <w:rPr>
          <w:rFonts w:ascii="Times New Roman" w:eastAsia="Times New Roman" w:hAnsi="Times New Roman" w:cs="Times New Roman"/>
          <w:sz w:val="20"/>
        </w:rPr>
        <w:t xml:space="preserve"> software-as-a-service “SaaS” software that </w:t>
      </w:r>
      <w:r>
        <w:rPr>
          <w:rFonts w:ascii="Times New Roman" w:eastAsia="Times New Roman" w:hAnsi="Times New Roman" w:cs="Times New Roman"/>
          <w:sz w:val="20"/>
        </w:rPr>
        <w:t>was</w:t>
      </w:r>
      <w:r>
        <w:rPr>
          <w:rFonts w:ascii="Times New Roman" w:eastAsia="Times New Roman" w:hAnsi="Times New Roman" w:cs="Times New Roman"/>
          <w:sz w:val="20"/>
        </w:rPr>
        <w:t xml:space="preserve"> complementary to IZEA’s existing influencer marketing products and services. </w:t>
      </w:r>
      <w:r>
        <w:rPr>
          <w:rFonts w:ascii="Times New Roman" w:eastAsia="Times New Roman" w:hAnsi="Times New Roman" w:cs="Times New Roman"/>
          <w:sz w:val="20"/>
        </w:rPr>
        <w:t>W</w:t>
      </w:r>
      <w:r>
        <w:rPr>
          <w:rFonts w:ascii="Times New Roman" w:eastAsia="Times New Roman" w:hAnsi="Times New Roman" w:cs="Times New Roman"/>
          <w:sz w:val="20"/>
        </w:rPr>
        <w:t xml:space="preserve">e </w:t>
      </w:r>
      <w:r>
        <w:rPr>
          <w:rFonts w:ascii="Times New Roman" w:eastAsia="Times New Roman" w:hAnsi="Times New Roman" w:cs="Times New Roman"/>
          <w:sz w:val="20"/>
        </w:rPr>
        <w:t>incorporat</w:t>
      </w:r>
      <w:r>
        <w:rPr>
          <w:rFonts w:ascii="Times New Roman" w:eastAsia="Times New Roman" w:hAnsi="Times New Roman" w:cs="Times New Roman"/>
          <w:sz w:val="20"/>
        </w:rPr>
        <w:t>ed</w:t>
      </w:r>
      <w:r>
        <w:rPr>
          <w:rFonts w:ascii="Times New Roman" w:eastAsia="Times New Roman" w:hAnsi="Times New Roman" w:cs="Times New Roman"/>
          <w:sz w:val="20"/>
        </w:rPr>
        <w:t xml:space="preserve"> certain functions of this platform into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improved influencer discovery and content workflow in order to have one consolidated platform</w:t>
      </w:r>
      <w:r>
        <w:rPr>
          <w:rFonts w:ascii="Times New Roman" w:eastAsia="Times New Roman" w:hAnsi="Times New Roman" w:cs="Times New Roman"/>
          <w:sz w:val="20"/>
        </w:rPr>
        <w:t>. Throughout 2019, we migrated the users of this platform over to IZEAx and we</w:t>
      </w:r>
      <w:r>
        <w:rPr>
          <w:rFonts w:ascii="Times New Roman" w:eastAsia="Times New Roman" w:hAnsi="Times New Roman" w:cs="Times New Roman"/>
          <w:sz w:val="20"/>
        </w:rPr>
        <w:t xml:space="preserve"> discontinued use of this platform in March 2020.</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IZEAx, </w:t>
      </w:r>
      <w:r>
        <w:rPr>
          <w:rFonts w:ascii="Times New Roman" w:eastAsia="Times New Roman" w:hAnsi="Times New Roman" w:cs="Times New Roman"/>
          <w:i/>
          <w:sz w:val="20"/>
        </w:rPr>
        <w:t>S</w:t>
      </w:r>
      <w:r>
        <w:rPr>
          <w:rFonts w:ascii="Times New Roman" w:eastAsia="Times New Roman" w:hAnsi="Times New Roman" w:cs="Times New Roman"/>
          <w:i/>
          <w:sz w:val="20"/>
        </w:rPr>
        <w:t>hake</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w:t>
      </w:r>
      <w:r>
        <w:rPr>
          <w:rFonts w:ascii="Times New Roman" w:eastAsia="Times New Roman" w:hAnsi="Times New Roman" w:cs="Times New Roman"/>
          <w:i/>
          <w:sz w:val="20"/>
        </w:rPr>
        <w:t>ZenContent</w:t>
      </w:r>
      <w:r>
        <w:rPr>
          <w:rFonts w:ascii="Times New Roman" w:eastAsia="Times New Roman" w:hAnsi="Times New Roman" w:cs="Times New Roman"/>
          <w:i/>
          <w:sz w:val="20"/>
        </w:rPr>
        <w:t>,</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 xml:space="preserve">TapInfluence </w:t>
      </w:r>
      <w:r>
        <w:rPr>
          <w:rFonts w:ascii="Times New Roman" w:eastAsia="Times New Roman" w:hAnsi="Times New Roman" w:cs="Times New Roman"/>
          <w:sz w:val="20"/>
        </w:rPr>
        <w:t>were designed with the same purpose: to streamline transactions between our internal campaign fulfillment team, marketers</w:t>
      </w:r>
      <w:r>
        <w:rPr>
          <w:rFonts w:ascii="Times New Roman" w:eastAsia="Times New Roman" w:hAnsi="Times New Roman" w:cs="Times New Roman"/>
          <w:sz w:val="20"/>
        </w:rPr>
        <w:t>,</w:t>
      </w:r>
      <w:r>
        <w:rPr>
          <w:rFonts w:ascii="Times New Roman" w:eastAsia="Times New Roman" w:hAnsi="Times New Roman" w:cs="Times New Roman"/>
          <w:sz w:val="20"/>
        </w:rPr>
        <w:t xml:space="preserve"> and creators. We utilized these proprietary technologies to create efficiencies and economies of scale for all parties. The knowledge base and technology from these platforms provide marketers with access to a large network of creators along with complete workflow management, content control, payment processing</w:t>
      </w:r>
      <w:r>
        <w:rPr>
          <w:rFonts w:ascii="Times New Roman" w:eastAsia="Times New Roman" w:hAnsi="Times New Roman" w:cs="Times New Roman"/>
          <w:sz w:val="20"/>
        </w:rPr>
        <w:t>,</w:t>
      </w:r>
      <w:r>
        <w:rPr>
          <w:rFonts w:ascii="Times New Roman" w:eastAsia="Times New Roman" w:hAnsi="Times New Roman" w:cs="Times New Roman"/>
          <w:sz w:val="20"/>
        </w:rPr>
        <w:t xml:space="preserve"> and related performance tracking.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believe that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should improve our ability to more efficiently match marketplace participants as the number of marketers and creators using the platform increases. To date, we have completed over</w:t>
      </w:r>
      <w:r>
        <w:rPr>
          <w:rFonts w:ascii="Times New Roman" w:eastAsia="Times New Roman" w:hAnsi="Times New Roman" w:cs="Times New Roman"/>
          <w:sz w:val="20"/>
        </w:rPr>
        <w:t xml:space="preserve"> </w:t>
      </w:r>
      <w:r>
        <w:rPr>
          <w:rFonts w:ascii="Times New Roman" w:eastAsia="Times New Roman" w:hAnsi="Times New Roman" w:cs="Times New Roman"/>
          <w:sz w:val="20"/>
        </w:rPr>
        <w:t>3.8 million</w:t>
      </w:r>
      <w:r>
        <w:rPr>
          <w:rFonts w:ascii="Times New Roman" w:eastAsia="Times New Roman" w:hAnsi="Times New Roman" w:cs="Times New Roman"/>
          <w:sz w:val="20"/>
        </w:rPr>
        <w:t xml:space="preserve"> influencer and content marketing transactions for customers ranging from small local businesses to Fortune 500 companies. We consider each individual piece of custom content, sponsored post or other update as an individual transaction so long as the creator of that content is being compensated for the transaction.</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Industry Background and Trends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When IZEA first launched PayPerPost in 2006, the concept of a brand paying bloggers to create sponsored content on their blogs was highly controversial among both marketers and content creators. The idea was introduced at a time when there were no ads on Facebook, YouTube or Twitter, and social media was largely void of corporate marketing messages. Over the past f</w:t>
      </w:r>
      <w:r>
        <w:rPr>
          <w:rFonts w:ascii="Times New Roman" w:eastAsia="Times New Roman" w:hAnsi="Times New Roman" w:cs="Times New Roman"/>
          <w:sz w:val="20"/>
        </w:rPr>
        <w:t>if</w:t>
      </w:r>
      <w:r>
        <w:rPr>
          <w:rFonts w:ascii="Times New Roman" w:eastAsia="Times New Roman" w:hAnsi="Times New Roman" w:cs="Times New Roman"/>
          <w:sz w:val="20"/>
        </w:rPr>
        <w:t xml:space="preserve">teen years, the landscape has dramatically changed. Today, strategic engagement </w:t>
      </w:r>
      <w:r>
        <w:rPr>
          <w:rFonts w:ascii="Times New Roman" w:eastAsia="Times New Roman" w:hAnsi="Times New Roman" w:cs="Times New Roman"/>
          <w:sz w:val="20"/>
        </w:rPr>
        <w:t>of online influencers</w:t>
      </w:r>
      <w:r>
        <w:rPr>
          <w:rFonts w:ascii="Times New Roman" w:eastAsia="Times New Roman" w:hAnsi="Times New Roman" w:cs="Times New Roman"/>
          <w:sz w:val="20"/>
        </w:rPr>
        <w:t xml:space="preserve"> are the table stakes for modern brands - largely in part to changes in consumer behavior and the large-scale adoption of social media platforms. Similarly, those same companies are now producing custom marketing content for their social channels and embracing influencer marketing as a means to reach their customers.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While industry research indicates that brand spending on influencer and content marketing has grown dramatically in the last several years, the business processes and practices have not evolved in a meaningful way for the majority of buyers and sellers. The markets that we operate in are highly fragmented, highly competitive, and </w:t>
      </w:r>
      <w:r>
        <w:rPr>
          <w:rFonts w:ascii="Times New Roman" w:eastAsia="Times New Roman" w:hAnsi="Times New Roman" w:cs="Times New Roman"/>
          <w:sz w:val="20"/>
        </w:rPr>
        <w:t xml:space="preserve">largely limited by the current inefficiencies inherent in our space. Most marketers have been forced to utilize a variety of execution partners and manual processes to navigate the complicated landscape, often resulting in low returns on their time investment or worse-yet, questionable results. We believe this is largely due to marketers and creators lacking an efficient way to identify and engage each other in a marketplace of scale.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At the same time, influencers and content creators seeking to monetize their communities and work product are faced with significant challenges in making marketers aware of their services and in finding quality brands who are motivated to sponsor them. In addition, those creators with smaller followings simply lack the individual influence and audience needed to warrant the processing of a micro-transaction. In many cases, it costs a marketer more money to issue a traditional check to a </w:t>
      </w:r>
      <w:r>
        <w:rPr>
          <w:rFonts w:ascii="Times New Roman" w:eastAsia="Times New Roman" w:hAnsi="Times New Roman" w:cs="Times New Roman"/>
          <w:sz w:val="20"/>
        </w:rPr>
        <w:t>nano influencer</w:t>
      </w:r>
      <w:r>
        <w:rPr>
          <w:rFonts w:ascii="Times New Roman" w:eastAsia="Times New Roman" w:hAnsi="Times New Roman" w:cs="Times New Roman"/>
          <w:sz w:val="20"/>
        </w:rPr>
        <w:t xml:space="preserve"> than the value of the sponsorship payment itself. Further complicating the sponsorship process for both parties are federal regulations around social media endorsements, tax reporting generally applicable to anyone receiving income for services, and the associated campaign tracking required to provide compliance. While many marketers would prefer to be “part of the conversation,” we believe the complexity and cost of individual sponsorship often deters them from doing so.</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believe that addressing the current challenges in efficiency and measurable success via technology represents a significant opportunity for us. IZEA ultimately solves these challenges with targeted, scalable marketplaces that aggregate content creators and marketers. In doing so, we offer an efficient, innovative way for creators and marketers of all sizes to find each other and form a compensated relationship.</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Our Business Model</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Since our inception in 2006, we have worked diligently to establish and leverage key strengths in our business model, including:</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A culture of innovation and creativity</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We believe the only way to survive and thrive in our rapidly changing world is to change ahead of it. We are in a state of constant evolution and re-invention; this is “The IZEA Way.” We have created a culture committed to innovation and creativity that challenges convention, takes calculated risks, and breaks new ground. IZEA team members are protective and proud of our culture by applying its “humble, yet hungry” attitude to all facets of our business. Our people and their innovations ultimately provide us with what we see as our largest competitive advantage.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First-mover advantage</w:t>
      </w:r>
      <w:r>
        <w:rPr>
          <w:rFonts w:ascii="Times New Roman" w:eastAsia="Times New Roman" w:hAnsi="Times New Roman" w:cs="Times New Roman"/>
          <w:b/>
          <w:sz w:val="20"/>
        </w:rPr>
        <w:t xml:space="preserve">. </w:t>
      </w:r>
      <w:r>
        <w:rPr>
          <w:rFonts w:ascii="Times New Roman" w:eastAsia="Times New Roman" w:hAnsi="Times New Roman" w:cs="Times New Roman"/>
          <w:sz w:val="20"/>
        </w:rPr>
        <w:t>We believe that by pioneering the modern influencer marketing industry and investing heavily in innovation, acquisitions</w:t>
      </w:r>
      <w:r>
        <w:rPr>
          <w:rFonts w:ascii="Times New Roman" w:eastAsia="Times New Roman" w:hAnsi="Times New Roman" w:cs="Times New Roman"/>
          <w:sz w:val="20"/>
        </w:rPr>
        <w:t>,</w:t>
      </w:r>
      <w:r>
        <w:rPr>
          <w:rFonts w:ascii="Times New Roman" w:eastAsia="Times New Roman" w:hAnsi="Times New Roman" w:cs="Times New Roman"/>
          <w:sz w:val="20"/>
        </w:rPr>
        <w:t xml:space="preserve"> and marketing, we have been able to acquire a vast amount of industry knowledge, market insights and technology. The software foundation we have built over time is expansive with the amount of actionable data we have accumulated from our network of creators and the execution of customer programs. Those new to the space face a significant technology investment requirement and steep learning curve in order to compete in a complex and rapidly evolving industry.</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Best in class technology. </w:t>
      </w:r>
      <w:r>
        <w:rPr>
          <w:rFonts w:ascii="Times New Roman" w:eastAsia="Times New Roman" w:hAnsi="Times New Roman" w:cs="Times New Roman"/>
          <w:sz w:val="20"/>
        </w:rPr>
        <w:t>W</w:t>
      </w:r>
      <w:r>
        <w:rPr>
          <w:rFonts w:ascii="Times New Roman" w:eastAsia="Times New Roman" w:hAnsi="Times New Roman" w:cs="Times New Roman"/>
          <w:sz w:val="20"/>
        </w:rPr>
        <w:t>e believe that the feature set</w:t>
      </w:r>
      <w:r>
        <w:rPr>
          <w:rFonts w:ascii="Times New Roman" w:eastAsia="Times New Roman" w:hAnsi="Times New Roman" w:cs="Times New Roman"/>
          <w:sz w:val="20"/>
        </w:rPr>
        <w:t>s</w:t>
      </w:r>
      <w:r>
        <w:rPr>
          <w:rFonts w:ascii="Times New Roman" w:eastAsia="Times New Roman" w:hAnsi="Times New Roman" w:cs="Times New Roman"/>
          <w:sz w:val="20"/>
        </w:rPr>
        <w:t xml:space="preserve"> in</w:t>
      </w:r>
      <w:r>
        <w:rPr>
          <w:rFonts w:ascii="Times New Roman" w:eastAsia="Times New Roman" w:hAnsi="Times New Roman" w:cs="Times New Roman"/>
          <w:sz w:val="20"/>
        </w:rPr>
        <w:t xml:space="preserve"> </w:t>
      </w:r>
      <w:r>
        <w:rPr>
          <w:rFonts w:ascii="Times New Roman" w:eastAsia="Times New Roman" w:hAnsi="Times New Roman" w:cs="Times New Roman"/>
          <w:sz w:val="20"/>
        </w:rPr>
        <w:t>our platforms are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among the most comprehensive </w:t>
      </w:r>
      <w:r>
        <w:rPr>
          <w:rFonts w:ascii="Times New Roman" w:eastAsia="Times New Roman" w:hAnsi="Times New Roman" w:cs="Times New Roman"/>
          <w:sz w:val="20"/>
        </w:rPr>
        <w:t>for those se</w:t>
      </w:r>
      <w:r>
        <w:rPr>
          <w:rFonts w:ascii="Times New Roman" w:eastAsia="Times New Roman" w:hAnsi="Times New Roman" w:cs="Times New Roman"/>
          <w:sz w:val="20"/>
        </w:rPr>
        <w:t>eking to e</w:t>
      </w:r>
      <w:r>
        <w:rPr>
          <w:rFonts w:ascii="Times New Roman" w:eastAsia="Times New Roman" w:hAnsi="Times New Roman" w:cs="Times New Roman"/>
          <w:sz w:val="20"/>
        </w:rPr>
        <w:t>xe</w:t>
      </w:r>
      <w:r>
        <w:rPr>
          <w:rFonts w:ascii="Times New Roman" w:eastAsia="Times New Roman" w:hAnsi="Times New Roman" w:cs="Times New Roman"/>
          <w:sz w:val="20"/>
        </w:rPr>
        <w:t xml:space="preserve">cute </w:t>
      </w:r>
      <w:r>
        <w:rPr>
          <w:rFonts w:ascii="Times New Roman" w:eastAsia="Times New Roman" w:hAnsi="Times New Roman" w:cs="Times New Roman"/>
          <w:sz w:val="20"/>
        </w:rPr>
        <w:t xml:space="preserve">influencer marketing </w:t>
      </w:r>
      <w:r>
        <w:rPr>
          <w:rFonts w:ascii="Times New Roman" w:eastAsia="Times New Roman" w:hAnsi="Times New Roman" w:cs="Times New Roman"/>
          <w:sz w:val="20"/>
        </w:rPr>
        <w:t>campaigns</w:t>
      </w:r>
      <w:r>
        <w:rPr>
          <w:rFonts w:ascii="Times New Roman" w:eastAsia="Times New Roman" w:hAnsi="Times New Roman" w:cs="Times New Roman"/>
          <w:sz w:val="20"/>
        </w:rPr>
        <w:t xml:space="preserve">. While our industry </w:t>
      </w:r>
      <w:r>
        <w:rPr>
          <w:rFonts w:ascii="Times New Roman" w:eastAsia="Times New Roman" w:hAnsi="Times New Roman" w:cs="Times New Roman"/>
          <w:sz w:val="20"/>
        </w:rPr>
        <w:t>has a broad and f</w:t>
      </w:r>
      <w:r>
        <w:rPr>
          <w:rFonts w:ascii="Times New Roman" w:eastAsia="Times New Roman" w:hAnsi="Times New Roman" w:cs="Times New Roman"/>
          <w:sz w:val="20"/>
        </w:rPr>
        <w:t>ragmented set of comp</w:t>
      </w:r>
      <w:r>
        <w:rPr>
          <w:rFonts w:ascii="Times New Roman" w:eastAsia="Times New Roman" w:hAnsi="Times New Roman" w:cs="Times New Roman"/>
          <w:sz w:val="20"/>
        </w:rPr>
        <w:t>eti</w:t>
      </w:r>
      <w:r>
        <w:rPr>
          <w:rFonts w:ascii="Times New Roman" w:eastAsia="Times New Roman" w:hAnsi="Times New Roman" w:cs="Times New Roman"/>
          <w:sz w:val="20"/>
        </w:rPr>
        <w:t>t</w:t>
      </w:r>
      <w:r>
        <w:rPr>
          <w:rFonts w:ascii="Times New Roman" w:eastAsia="Times New Roman" w:hAnsi="Times New Roman" w:cs="Times New Roman"/>
          <w:sz w:val="20"/>
        </w:rPr>
        <w:t>ors offering various types of technology solutions</w:t>
      </w:r>
      <w:r>
        <w:rPr>
          <w:rFonts w:ascii="Times New Roman" w:eastAsia="Times New Roman" w:hAnsi="Times New Roman" w:cs="Times New Roman"/>
          <w:sz w:val="20"/>
        </w:rPr>
        <w:t>,</w:t>
      </w:r>
      <w:r>
        <w:rPr>
          <w:rFonts w:ascii="Times New Roman" w:eastAsia="Times New Roman" w:hAnsi="Times New Roman" w:cs="Times New Roman"/>
          <w:sz w:val="20"/>
        </w:rPr>
        <w:t xml:space="preserve"> we have developed a complete, enterprise-grade solution for those seeking to execute large scale influencer marketing campaigns from beginning to end.</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Experienced management team, board of directors, and strategic advisors</w:t>
      </w:r>
      <w:r>
        <w:rPr>
          <w:rFonts w:ascii="Times New Roman" w:eastAsia="Times New Roman" w:hAnsi="Times New Roman" w:cs="Times New Roman"/>
          <w:b/>
          <w:sz w:val="20"/>
        </w:rPr>
        <w:t xml:space="preserve">. </w:t>
      </w:r>
      <w:r>
        <w:rPr>
          <w:rFonts w:ascii="Times New Roman" w:eastAsia="Times New Roman" w:hAnsi="Times New Roman" w:cs="Times New Roman"/>
          <w:sz w:val="20"/>
        </w:rPr>
        <w:t>Our management team includes not only a highly experienced team of entrepreneurs and executives from the digital media, technology</w:t>
      </w:r>
      <w:r>
        <w:rPr>
          <w:rFonts w:ascii="Times New Roman" w:eastAsia="Times New Roman" w:hAnsi="Times New Roman" w:cs="Times New Roman"/>
          <w:sz w:val="20"/>
        </w:rPr>
        <w:t>,</w:t>
      </w:r>
      <w:r>
        <w:rPr>
          <w:rFonts w:ascii="Times New Roman" w:eastAsia="Times New Roman" w:hAnsi="Times New Roman" w:cs="Times New Roman"/>
          <w:sz w:val="20"/>
        </w:rPr>
        <w:t xml:space="preserve"> and entertainment industries, but also outstanding board members who are experts in their respective fields. See Item 10 under Part III of this Annual Report for details.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 xml:space="preserve">Our Growth Strategy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After nearly f</w:t>
      </w:r>
      <w:r>
        <w:rPr>
          <w:rFonts w:ascii="Times New Roman" w:eastAsia="Times New Roman" w:hAnsi="Times New Roman" w:cs="Times New Roman"/>
          <w:sz w:val="20"/>
        </w:rPr>
        <w:t>if</w:t>
      </w:r>
      <w:r>
        <w:rPr>
          <w:rFonts w:ascii="Times New Roman" w:eastAsia="Times New Roman" w:hAnsi="Times New Roman" w:cs="Times New Roman"/>
          <w:sz w:val="20"/>
        </w:rPr>
        <w:t>teen years of working in and developing the influencer and content marketing categories, we believe our business model is market-tested and our industry is established. Our development efforts have included assembling a diverse and experienced senior management team and engineering team, launching and optimizing our proprietary marketplaces, developing a cross-platform sales force</w:t>
      </w:r>
      <w:r>
        <w:rPr>
          <w:rFonts w:ascii="Times New Roman" w:eastAsia="Times New Roman" w:hAnsi="Times New Roman" w:cs="Times New Roman"/>
          <w:sz w:val="20"/>
        </w:rPr>
        <w:t>,</w:t>
      </w:r>
      <w:r>
        <w:rPr>
          <w:rFonts w:ascii="Times New Roman" w:eastAsia="Times New Roman" w:hAnsi="Times New Roman" w:cs="Times New Roman"/>
          <w:sz w:val="20"/>
        </w:rPr>
        <w:t xml:space="preserve"> and refining our message to the market. Key elements of our strategy to accelerate revenue growth and continue product development include: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Software + Service. </w:t>
      </w:r>
      <w:r>
        <w:rPr>
          <w:rFonts w:ascii="Times New Roman" w:eastAsia="Times New Roman" w:hAnsi="Times New Roman" w:cs="Times New Roman"/>
          <w:sz w:val="20"/>
        </w:rPr>
        <w:t>IZEA’s flexible client engagement model is designed to appeal to both agency and brand customers with various need states. We are able to structure content and influencer marketing programs that align with the goals, resources, and profile of our customers. IZEA clients are able to license our software to run their own programs, hire our team for fully outsourced managed services, or engage us in a hybrid model which combines access to our software with collaborative execution.</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Product development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Since 2009, we have invested over </w:t>
      </w:r>
      <w:r>
        <w:rPr>
          <w:rFonts w:ascii="Times New Roman" w:eastAsia="Times New Roman" w:hAnsi="Times New Roman" w:cs="Times New Roman"/>
          <w:sz w:val="20"/>
        </w:rPr>
        <w:t>$28.2 million</w:t>
      </w:r>
      <w:r>
        <w:rPr>
          <w:rFonts w:ascii="Times New Roman" w:eastAsia="Times New Roman" w:hAnsi="Times New Roman" w:cs="Times New Roman"/>
          <w:sz w:val="20"/>
        </w:rPr>
        <w:t xml:space="preserve"> in engineering resources and product development, creating a meaningful competitive moat of features and functionality in our platform. We continue to recruit additional engineering and product innovation team members to enhance </w:t>
      </w:r>
      <w:r>
        <w:rPr>
          <w:rFonts w:ascii="Times New Roman" w:eastAsia="Times New Roman" w:hAnsi="Times New Roman" w:cs="Times New Roman"/>
          <w:i/>
          <w:sz w:val="20"/>
        </w:rPr>
        <w:t>IZEAx</w:t>
      </w:r>
      <w:r>
        <w:rPr>
          <w:rFonts w:ascii="Times New Roman" w:eastAsia="Times New Roman" w:hAnsi="Times New Roman" w:cs="Times New Roman"/>
          <w:i/>
          <w:sz w:val="20"/>
        </w:rPr>
        <w:t>, Sh</w:t>
      </w:r>
      <w:r>
        <w:rPr>
          <w:rFonts w:ascii="Times New Roman" w:eastAsia="Times New Roman" w:hAnsi="Times New Roman" w:cs="Times New Roman"/>
          <w:i/>
          <w:sz w:val="20"/>
        </w:rPr>
        <w:t>ake</w:t>
      </w:r>
      <w:r>
        <w:rPr>
          <w:rFonts w:ascii="Times New Roman" w:eastAsia="Times New Roman" w:hAnsi="Times New Roman" w:cs="Times New Roman"/>
          <w:i/>
          <w:sz w:val="20"/>
        </w:rPr>
        <w:t>,</w:t>
      </w:r>
      <w:r>
        <w:rPr>
          <w:rFonts w:ascii="Times New Roman" w:eastAsia="Times New Roman" w:hAnsi="Times New Roman" w:cs="Times New Roman"/>
          <w:i/>
          <w:sz w:val="20"/>
        </w:rPr>
        <w:t xml:space="preserve"> and Brand</w:t>
      </w:r>
      <w:r>
        <w:rPr>
          <w:rFonts w:ascii="Times New Roman" w:eastAsia="Times New Roman" w:hAnsi="Times New Roman" w:cs="Times New Roman"/>
          <w:i/>
          <w:sz w:val="20"/>
        </w:rPr>
        <w:t>Graph,</w:t>
      </w:r>
      <w:r>
        <w:rPr>
          <w:rFonts w:ascii="Times New Roman" w:eastAsia="Times New Roman" w:hAnsi="Times New Roman" w:cs="Times New Roman"/>
          <w:sz w:val="20"/>
        </w:rPr>
        <w:t xml:space="preserve"> and to develop new technology ideas within th</w:t>
      </w:r>
      <w:r>
        <w:rPr>
          <w:rFonts w:ascii="Times New Roman" w:eastAsia="Times New Roman" w:hAnsi="Times New Roman" w:cs="Times New Roman"/>
          <w:sz w:val="20"/>
        </w:rPr>
        <w:t>ese</w:t>
      </w:r>
      <w:r>
        <w:rPr>
          <w:rFonts w:ascii="Times New Roman" w:eastAsia="Times New Roman" w:hAnsi="Times New Roman" w:cs="Times New Roman"/>
          <w:sz w:val="20"/>
        </w:rPr>
        <w:t xml:space="preserve"> platform</w:t>
      </w:r>
      <w:r>
        <w:rPr>
          <w:rFonts w:ascii="Times New Roman" w:eastAsia="Times New Roman" w:hAnsi="Times New Roman" w:cs="Times New Roman"/>
          <w:sz w:val="20"/>
        </w:rPr>
        <w:t>s</w:t>
      </w:r>
      <w:r>
        <w:rPr>
          <w:rFonts w:ascii="Times New Roman" w:eastAsia="Times New Roman" w:hAnsi="Times New Roman" w:cs="Times New Roman"/>
          <w:sz w:val="20"/>
        </w:rPr>
        <w:t xml:space="preserve"> that complement our mission as a company.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Large network of users. </w:t>
      </w:r>
      <w:r>
        <w:rPr>
          <w:rFonts w:ascii="Times New Roman" w:eastAsia="Times New Roman" w:hAnsi="Times New Roman" w:cs="Times New Roman"/>
          <w:sz w:val="20"/>
        </w:rPr>
        <w:t xml:space="preserve">IZEA is a driving force in the broader “creator economy,” allowing everyone from college students and stay-at-home individuals to celebrities and accredited journalists the opportunity to monetize their content, creativity and influence through our platform.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we had more than </w:t>
      </w:r>
      <w:r>
        <w:rPr>
          <w:rFonts w:ascii="Times New Roman" w:eastAsia="Times New Roman" w:hAnsi="Times New Roman" w:cs="Times New Roman"/>
          <w:sz w:val="20"/>
        </w:rPr>
        <w:t>937,000</w:t>
      </w:r>
      <w:r>
        <w:rPr>
          <w:rFonts w:ascii="Times New Roman" w:eastAsia="Times New Roman" w:hAnsi="Times New Roman" w:cs="Times New Roman"/>
          <w:sz w:val="20"/>
        </w:rPr>
        <w:t xml:space="preserve"> user accounts in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These accounts have connections to over </w:t>
      </w:r>
      <w:r>
        <w:rPr>
          <w:rFonts w:ascii="Times New Roman" w:eastAsia="Times New Roman" w:hAnsi="Times New Roman" w:cs="Times New Roman"/>
          <w:sz w:val="20"/>
        </w:rPr>
        <w:t>1,040,000</w:t>
      </w:r>
      <w:r>
        <w:rPr>
          <w:rFonts w:ascii="Times New Roman" w:eastAsia="Times New Roman" w:hAnsi="Times New Roman" w:cs="Times New Roman"/>
          <w:sz w:val="20"/>
        </w:rPr>
        <w:t xml:space="preserve"> social media accounts with an approximate aggregate reach to </w:t>
      </w:r>
      <w:r>
        <w:rPr>
          <w:rFonts w:ascii="Times New Roman" w:eastAsia="Times New Roman" w:hAnsi="Times New Roman" w:cs="Times New Roman"/>
          <w:sz w:val="20"/>
        </w:rPr>
        <w:t>9.6 billion</w:t>
      </w:r>
      <w:r>
        <w:rPr>
          <w:rFonts w:ascii="Times New Roman" w:eastAsia="Times New Roman" w:hAnsi="Times New Roman" w:cs="Times New Roman"/>
          <w:sz w:val="20"/>
        </w:rPr>
        <w:t xml:space="preserve"> non-unique fans and followers of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creators.</w:t>
      </w:r>
      <w:r>
        <w:rPr>
          <w:rFonts w:ascii="Times New Roman" w:eastAsia="Times New Roman" w:hAnsi="Times New Roman" w:cs="Times New Roman"/>
          <w:sz w:val="20"/>
        </w:rPr>
        <w:t xml:space="preserve"> Our total number of user accounts may be higher than the number of our actual individual creators because some creators may have created multiple user accounts.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Creators are able to join our platforms for free, but they may also choose to pay to upgrade their accounts to enable additional services and benefits. These individuals are compensated by us for producing content for our market clients or distributing such content on behalf of brands through their personal websites, blogs, and social media channels. We continually seek for ways to increase the ability for our creators to generate revenue. </w:t>
      </w:r>
      <w:r>
        <w:rPr>
          <w:rFonts w:ascii="Times New Roman" w:eastAsia="Times New Roman" w:hAnsi="Times New Roman" w:cs="Times New Roman"/>
          <w:i/>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By continually developing our creator network, we make our marketplace more attractive to our customers who seek a wide variety of creators to fulfill their content and advertising needs. As marketers utilize our marketplace to a greater extent, we expect to increase the monetization opportunities for creators, which should, in turn, attract even more creators and further enhance value for our marketers.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Sales and Marketing</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primarily sell influencer marketing and custom content campaigns through our sales team and our platforms. We target regional, national and global brands</w:t>
      </w:r>
      <w:r>
        <w:rPr>
          <w:rFonts w:ascii="Times New Roman" w:eastAsia="Times New Roman" w:hAnsi="Times New Roman" w:cs="Times New Roman"/>
          <w:sz w:val="20"/>
        </w:rPr>
        <w:t>,</w:t>
      </w:r>
      <w:r>
        <w:rPr>
          <w:rFonts w:ascii="Times New Roman" w:eastAsia="Times New Roman" w:hAnsi="Times New Roman" w:cs="Times New Roman"/>
          <w:sz w:val="20"/>
        </w:rPr>
        <w:t xml:space="preserve"> and advertising agencies in the following ways: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Client Development Team.</w:t>
      </w:r>
      <w:r>
        <w:rPr>
          <w:rFonts w:ascii="Times New Roman" w:eastAsia="Times New Roman" w:hAnsi="Times New Roman" w:cs="Times New Roman"/>
          <w:b/>
          <w:sz w:val="20"/>
        </w:rPr>
        <w:t> </w:t>
      </w:r>
      <w:r>
        <w:rPr>
          <w:rFonts w:ascii="Times New Roman" w:eastAsia="Times New Roman" w:hAnsi="Times New Roman" w:cs="Times New Roman"/>
          <w:sz w:val="20"/>
        </w:rPr>
        <w:t xml:space="preserve"> We have a client development team each of whom is assigned a geographic region or specific markets, primarily within the United States and Canada. The team members are responsible for identifying and managing sales opportunities to brands and agencies who are seeking to outsource some or all of the planning and production of their content and advertising needs.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SaaS Sales</w:t>
      </w:r>
      <w:r>
        <w:rPr>
          <w:rFonts w:ascii="Times New Roman" w:eastAsia="Times New Roman" w:hAnsi="Times New Roman" w:cs="Times New Roman"/>
          <w:b/>
          <w:i/>
          <w:sz w:val="20"/>
        </w:rPr>
        <w:t xml:space="preserve"> Team. </w:t>
      </w:r>
      <w:r>
        <w:rPr>
          <w:rFonts w:ascii="Times New Roman" w:eastAsia="Times New Roman" w:hAnsi="Times New Roman" w:cs="Times New Roman"/>
          <w:sz w:val="20"/>
        </w:rPr>
        <w:t xml:space="preserve"> The </w:t>
      </w:r>
      <w:r>
        <w:rPr>
          <w:rFonts w:ascii="Times New Roman" w:eastAsia="Times New Roman" w:hAnsi="Times New Roman" w:cs="Times New Roman"/>
          <w:sz w:val="20"/>
        </w:rPr>
        <w:t>SaaS Sales</w:t>
      </w:r>
      <w:r>
        <w:rPr>
          <w:rFonts w:ascii="Times New Roman" w:eastAsia="Times New Roman" w:hAnsi="Times New Roman" w:cs="Times New Roman"/>
          <w:sz w:val="20"/>
        </w:rPr>
        <w:t xml:space="preserve"> team initiates SaaS license opportunities with brands and agencies who seek to utilize additional functionality on our platforms on a self-service basis to facilitate custom content and influencer marketing campaigns.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b/>
          <w:i/>
          <w:sz w:val="20"/>
        </w:rPr>
        <w:t>Self-Service. </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IZEA offers a version of </w:t>
      </w:r>
      <w:r>
        <w:rPr>
          <w:rFonts w:ascii="Times New Roman" w:eastAsia="Times New Roman" w:hAnsi="Times New Roman" w:cs="Times New Roman"/>
          <w:i/>
          <w:sz w:val="20"/>
        </w:rPr>
        <w:t>IZEAx</w:t>
      </w:r>
      <w:r>
        <w:rPr>
          <w:rFonts w:ascii="Times New Roman" w:eastAsia="Times New Roman" w:hAnsi="Times New Roman" w:cs="Times New Roman"/>
          <w:i/>
          <w:sz w:val="20"/>
        </w:rPr>
        <w:t>,</w:t>
      </w:r>
      <w:r>
        <w:rPr>
          <w:rFonts w:ascii="Times New Roman" w:eastAsia="Times New Roman" w:hAnsi="Times New Roman" w:cs="Times New Roman"/>
          <w:sz w:val="20"/>
        </w:rPr>
        <w:t xml:space="preserve"> called </w:t>
      </w:r>
      <w:r>
        <w:rPr>
          <w:rFonts w:ascii="Times New Roman" w:eastAsia="Times New Roman" w:hAnsi="Times New Roman" w:cs="Times New Roman"/>
          <w:i/>
          <w:sz w:val="20"/>
        </w:rPr>
        <w:t>IZEAx Discovery</w:t>
      </w:r>
      <w:r>
        <w:rPr>
          <w:rFonts w:ascii="Times New Roman" w:eastAsia="Times New Roman" w:hAnsi="Times New Roman" w:cs="Times New Roman"/>
          <w:sz w:val="20"/>
        </w:rPr>
        <w:t>,</w:t>
      </w:r>
      <w:r>
        <w:rPr>
          <w:rFonts w:ascii="Times New Roman" w:eastAsia="Times New Roman" w:hAnsi="Times New Roman" w:cs="Times New Roman"/>
          <w:sz w:val="20"/>
        </w:rPr>
        <w:t xml:space="preserve"> that is tailored to customers who are focused only on the identification of influencers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Customers in need of influencer discovery software can license </w:t>
      </w:r>
      <w:r>
        <w:rPr>
          <w:rFonts w:ascii="Times New Roman" w:eastAsia="Times New Roman" w:hAnsi="Times New Roman" w:cs="Times New Roman"/>
          <w:sz w:val="20"/>
        </w:rPr>
        <w:t>this</w:t>
      </w:r>
      <w:r>
        <w:rPr>
          <w:rFonts w:ascii="Times New Roman" w:eastAsia="Times New Roman" w:hAnsi="Times New Roman" w:cs="Times New Roman"/>
          <w:sz w:val="20"/>
        </w:rPr>
        <w:t xml:space="preserve"> technology by signing up directly with a credit card on the IZEA website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without </w:t>
      </w:r>
      <w:r>
        <w:rPr>
          <w:rFonts w:ascii="Times New Roman" w:eastAsia="Times New Roman" w:hAnsi="Times New Roman" w:cs="Times New Roman"/>
          <w:sz w:val="20"/>
        </w:rPr>
        <w:t>the need to speak to</w:t>
      </w:r>
      <w:r>
        <w:rPr>
          <w:rFonts w:ascii="Times New Roman" w:eastAsia="Times New Roman" w:hAnsi="Times New Roman" w:cs="Times New Roman"/>
          <w:sz w:val="20"/>
        </w:rPr>
        <w:t xml:space="preserve"> a sales representative. </w:t>
      </w:r>
      <w:r>
        <w:rPr>
          <w:rFonts w:ascii="Times New Roman" w:eastAsia="Times New Roman" w:hAnsi="Times New Roman" w:cs="Times New Roman"/>
          <w:sz w:val="20"/>
        </w:rPr>
        <w:t>Additionally, o</w:t>
      </w:r>
      <w:r>
        <w:rPr>
          <w:rFonts w:ascii="Times New Roman" w:eastAsia="Times New Roman" w:hAnsi="Times New Roman" w:cs="Times New Roman"/>
          <w:sz w:val="20"/>
        </w:rPr>
        <w:t>ur Shake platform</w:t>
      </w:r>
      <w:r>
        <w:rPr>
          <w:rFonts w:ascii="Times New Roman" w:eastAsia="Times New Roman" w:hAnsi="Times New Roman" w:cs="Times New Roman"/>
          <w:sz w:val="20"/>
        </w:rPr>
        <w:t xml:space="preserve"> is 100% self-service and has no sales team. Marketers that would like to hire creators do so by entering in their credit card information on the Shake website to purchases a “Shake” from a creator</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b/>
          <w:i/>
          <w:sz w:val="20"/>
        </w:rPr>
        <w:t xml:space="preserve">Industry Acumen. </w:t>
      </w:r>
      <w:r>
        <w:rPr>
          <w:rFonts w:ascii="Times New Roman" w:eastAsia="Times New Roman" w:hAnsi="Times New Roman" w:cs="Times New Roman"/>
          <w:sz w:val="20"/>
        </w:rPr>
        <w:t>Our team possesses a strong marketing and advertising background. We focus our corporate marketing efforts on increasing brand awareness, communicating each of our platform advantages, generating qualified leads for our sales team and growing our creator network</w:t>
      </w:r>
      <w:r>
        <w:rPr>
          <w:rFonts w:ascii="Times New Roman" w:eastAsia="Times New Roman" w:hAnsi="Times New Roman" w:cs="Times New Roman"/>
          <w:sz w:val="20"/>
        </w:rPr>
        <w:t>, and driving self-service signups to our platforms</w:t>
      </w:r>
      <w:r>
        <w:rPr>
          <w:rFonts w:ascii="Times New Roman" w:eastAsia="Times New Roman" w:hAnsi="Times New Roman" w:cs="Times New Roman"/>
          <w:sz w:val="20"/>
        </w:rPr>
        <w:t xml:space="preserve">. Our corporate marketing plan is designed to continually elevate awareness of our brand and generate demand for </w:t>
      </w:r>
      <w:r>
        <w:rPr>
          <w:rFonts w:ascii="Times New Roman" w:eastAsia="Times New Roman" w:hAnsi="Times New Roman" w:cs="Times New Roman"/>
          <w:sz w:val="20"/>
        </w:rPr>
        <w:t>our software and services</w:t>
      </w:r>
      <w:r>
        <w:rPr>
          <w:rFonts w:ascii="Times New Roman" w:eastAsia="Times New Roman" w:hAnsi="Times New Roman" w:cs="Times New Roman"/>
          <w:sz w:val="20"/>
        </w:rPr>
        <w:t xml:space="preserve">. We rely on a number of channels in this area, including </w:t>
      </w:r>
      <w:r>
        <w:rPr>
          <w:rFonts w:ascii="Times New Roman" w:eastAsia="Times New Roman" w:hAnsi="Times New Roman" w:cs="Times New Roman"/>
          <w:sz w:val="20"/>
        </w:rPr>
        <w:t xml:space="preserve">third-party social media platforms (e.g., Facebook and </w:t>
      </w:r>
      <w:r>
        <w:rPr>
          <w:rFonts w:ascii="Times New Roman" w:eastAsia="Times New Roman" w:hAnsi="Times New Roman" w:cs="Times New Roman"/>
          <w:sz w:val="20"/>
        </w:rPr>
        <w:t>YouTube</w:t>
      </w:r>
      <w:r>
        <w:rPr>
          <w:rFonts w:ascii="Times New Roman" w:eastAsia="Times New Roman" w:hAnsi="Times New Roman" w:cs="Times New Roman"/>
          <w:sz w:val="20"/>
        </w:rPr>
        <w:t xml:space="preserve">), </w:t>
      </w:r>
      <w:r>
        <w:rPr>
          <w:rFonts w:ascii="Times New Roman" w:eastAsia="Times New Roman" w:hAnsi="Times New Roman" w:cs="Times New Roman"/>
          <w:sz w:val="20"/>
        </w:rPr>
        <w:t>paid search</w:t>
      </w:r>
      <w:r>
        <w:rPr>
          <w:rFonts w:ascii="Times New Roman" w:eastAsia="Times New Roman" w:hAnsi="Times New Roman" w:cs="Times New Roman"/>
          <w:sz w:val="20"/>
        </w:rPr>
        <w:t xml:space="preserve"> engine marketing</w:t>
      </w:r>
      <w:r>
        <w:rPr>
          <w:rFonts w:ascii="Times New Roman" w:eastAsia="Times New Roman" w:hAnsi="Times New Roman" w:cs="Times New Roman"/>
          <w:sz w:val="20"/>
        </w:rPr>
        <w:t>, content marketing, influencer marketing</w:t>
      </w:r>
      <w:r>
        <w:rPr>
          <w:rFonts w:ascii="Times New Roman" w:eastAsia="Times New Roman" w:hAnsi="Times New Roman" w:cs="Times New Roman"/>
          <w:sz w:val="20"/>
        </w:rPr>
        <w:t>,</w:t>
      </w:r>
      <w:r>
        <w:rPr>
          <w:rFonts w:ascii="Times New Roman" w:eastAsia="Times New Roman" w:hAnsi="Times New Roman" w:cs="Times New Roman"/>
          <w:sz w:val="20"/>
        </w:rPr>
        <w:t xml:space="preserve"> and </w:t>
      </w:r>
      <w:r>
        <w:rPr>
          <w:rFonts w:ascii="Times New Roman" w:eastAsia="Times New Roman" w:hAnsi="Times New Roman" w:cs="Times New Roman"/>
          <w:sz w:val="20"/>
        </w:rPr>
        <w:t>virtual events</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Customers and Revenue</w:t>
      </w:r>
    </w:p>
    <w:p>
      <w:pPr>
        <w:keepNext/>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historically generated revenue from five primary sources: (1) revenue from our managed services when a marketer (typically a brand, agency or partner) pays us to provide custom content, influencer marketing, amplification or other campaign management services (“Managed Services”); (2) revenue from fees charged to software customers on their marketplace spend within our </w:t>
      </w:r>
      <w:r>
        <w:rPr>
          <w:rFonts w:ascii="Times New Roman" w:eastAsia="Times New Roman" w:hAnsi="Times New Roman" w:cs="Times New Roman"/>
          <w:i/>
          <w:sz w:val="20"/>
        </w:rPr>
        <w:t>IZEAx</w:t>
      </w:r>
      <w:r>
        <w:rPr>
          <w:rFonts w:ascii="Times New Roman" w:eastAsia="Times New Roman" w:hAnsi="Times New Roman" w:cs="Times New Roman"/>
          <w:i/>
          <w:sz w:val="20"/>
        </w:rPr>
        <w:t>, Shake</w:t>
      </w:r>
      <w:r>
        <w:rPr>
          <w:rFonts w:ascii="Times New Roman" w:eastAsia="Times New Roman" w:hAnsi="Times New Roman" w:cs="Times New Roman"/>
          <w:i/>
          <w:sz w:val="20"/>
        </w:rPr>
        <w:t>,</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platforms (“Marketplace Spend Fees”); (3) revenue from fees charged to access the </w:t>
      </w:r>
      <w:r>
        <w:rPr>
          <w:rFonts w:ascii="Times New Roman" w:eastAsia="Times New Roman" w:hAnsi="Times New Roman" w:cs="Times New Roman"/>
          <w:i/>
          <w:sz w:val="20"/>
        </w:rPr>
        <w:t xml:space="preserve">IZEAx, </w:t>
      </w:r>
      <w:r>
        <w:rPr>
          <w:rFonts w:ascii="Times New Roman" w:eastAsia="Times New Roman" w:hAnsi="Times New Roman" w:cs="Times New Roman"/>
          <w:i/>
          <w:sz w:val="20"/>
        </w:rPr>
        <w:t>BrandGraph</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platforms (“License Fees”); (4) revenue from transactions generated by the self-service use of our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for professional custom content workflow (“Legacy Workflow Fees”); and (5) revenue derived from other fees such as inactivity fees, early cash-out fees, and subscription plan fees charged to users of our platforms (“Other Fees”). After the migration of the last customers from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in December 2019, there is no longer any revenue generated from Legacy Workflow Fees and all such revenue is reported as Marketplace Spend Fees under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platform.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discussed in more detail within “Critical Accounting Policies and Use of Estimates” under Part II, Item 7 and in “Note 1. Company and Summary of Significant Accounting Policies,” under Part II, Item 8 of this Annual Report, </w:t>
      </w:r>
      <w:r>
        <w:rPr>
          <w:rFonts w:ascii="Times New Roman" w:eastAsia="Times New Roman" w:hAnsi="Times New Roman" w:cs="Times New Roman"/>
          <w:sz w:val="20"/>
        </w:rPr>
        <w:t>revenue from Marketplace Spend Fees and Legacy Workflow Fees is reported on a net basis and revenue from all other sources, including Managed Services, License Fees</w:t>
      </w:r>
      <w:r>
        <w:rPr>
          <w:rFonts w:ascii="Times New Roman" w:eastAsia="Times New Roman" w:hAnsi="Times New Roman" w:cs="Times New Roman"/>
          <w:sz w:val="20"/>
        </w:rPr>
        <w:t>,</w:t>
      </w:r>
      <w:r>
        <w:rPr>
          <w:rFonts w:ascii="Times New Roman" w:eastAsia="Times New Roman" w:hAnsi="Times New Roman" w:cs="Times New Roman"/>
          <w:sz w:val="20"/>
        </w:rPr>
        <w:t xml:space="preserve"> and Other Fees are reported on a gross basis. We further categorize these sources into two primary groups: (1) Managed Services and (2) SaaS Services, which includes revenue from Marketplace Spend Fees, License Fees and Legacy Workflow Fees, and Other Fees.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provide services to customers in multiple industry segments, including consumer products, retail/e-tail, lifestyle, technology, and travel. Our business serves advertising and public relations agencies, as well as brands and businesses directly. In many cases, influencer marketing dollars flow through the advertising or public relations agency, even when we have a direct relationship with the brand.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generate the majority of our revenue from our Managed Services customers. Managed Services accounted for approximately </w:t>
      </w:r>
      <w:r>
        <w:rPr>
          <w:rFonts w:ascii="Times New Roman" w:eastAsia="Times New Roman" w:hAnsi="Times New Roman" w:cs="Times New Roman"/>
          <w:sz w:val="20"/>
        </w:rPr>
        <w:t>87%</w:t>
      </w:r>
      <w:r>
        <w:rPr>
          <w:rFonts w:ascii="Times New Roman" w:eastAsia="Times New Roman" w:hAnsi="Times New Roman" w:cs="Times New Roman"/>
          <w:sz w:val="20"/>
        </w:rPr>
        <w:t xml:space="preserve"> and </w:t>
      </w:r>
      <w:r>
        <w:rPr>
          <w:rFonts w:ascii="Times New Roman" w:eastAsia="Times New Roman" w:hAnsi="Times New Roman" w:cs="Times New Roman"/>
          <w:sz w:val="20"/>
        </w:rPr>
        <w:t>81%</w:t>
      </w:r>
      <w:r>
        <w:rPr>
          <w:rFonts w:ascii="Times New Roman" w:eastAsia="Times New Roman" w:hAnsi="Times New Roman" w:cs="Times New Roman"/>
          <w:sz w:val="20"/>
        </w:rPr>
        <w:t xml:space="preserve"> of our revenue during the</w:t>
      </w:r>
      <w:r>
        <w:rPr>
          <w:rFonts w:ascii="Times New Roman" w:eastAsia="Times New Roman" w:hAnsi="Times New Roman" w:cs="Times New Roman"/>
          <w:sz w:val="20"/>
        </w:rPr>
        <w:t xml:space="preserv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SaaS Services accounted for approximately </w:t>
      </w:r>
      <w:r>
        <w:rPr>
          <w:rFonts w:ascii="Times New Roman" w:eastAsia="Times New Roman" w:hAnsi="Times New Roman" w:cs="Times New Roman"/>
          <w:sz w:val="20"/>
        </w:rPr>
        <w:t>13%</w:t>
      </w:r>
      <w:r>
        <w:rPr>
          <w:rFonts w:ascii="Times New Roman" w:eastAsia="Times New Roman" w:hAnsi="Times New Roman" w:cs="Times New Roman"/>
          <w:sz w:val="20"/>
        </w:rPr>
        <w:t xml:space="preserve"> and </w:t>
      </w:r>
      <w:r>
        <w:rPr>
          <w:rFonts w:ascii="Times New Roman" w:eastAsia="Times New Roman" w:hAnsi="Times New Roman" w:cs="Times New Roman"/>
          <w:sz w:val="20"/>
        </w:rPr>
        <w:t>19%</w:t>
      </w:r>
      <w:r>
        <w:rPr>
          <w:rFonts w:ascii="Times New Roman" w:eastAsia="Times New Roman" w:hAnsi="Times New Roman" w:cs="Times New Roman"/>
          <w:sz w:val="20"/>
        </w:rPr>
        <w:t xml:space="preserve"> of our revenue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Changes in how we control and manage our platforms, our contractual terms, our business practices, or other changes in accounting standards or interpretations, may change the reporting of our revenue. See “Note 1. Summary of Significant Accounting Policies,” under Part II, Item 8 of this Annual Report for more information as it relates to our revenue recognition policies.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customers are predominantly located in the United States and Canada. We had </w:t>
      </w:r>
      <w:r>
        <w:rPr>
          <w:rFonts w:ascii="Times New Roman" w:eastAsia="Times New Roman" w:hAnsi="Times New Roman" w:cs="Times New Roman"/>
          <w:sz w:val="20"/>
        </w:rPr>
        <w:t>one</w:t>
      </w:r>
      <w:r>
        <w:rPr>
          <w:rFonts w:ascii="Times New Roman" w:eastAsia="Times New Roman" w:hAnsi="Times New Roman" w:cs="Times New Roman"/>
          <w:sz w:val="20"/>
        </w:rPr>
        <w:t xml:space="preserve"> customer that accounted for </w:t>
      </w:r>
      <w:r>
        <w:rPr>
          <w:rFonts w:ascii="Times New Roman" w:eastAsia="Times New Roman" w:hAnsi="Times New Roman" w:cs="Times New Roman"/>
          <w:sz w:val="20"/>
        </w:rPr>
        <w:t>12%</w:t>
      </w:r>
      <w:r>
        <w:rPr>
          <w:rFonts w:ascii="Times New Roman" w:eastAsia="Times New Roman" w:hAnsi="Times New Roman" w:cs="Times New Roman"/>
          <w:sz w:val="20"/>
        </w:rPr>
        <w:t xml:space="preserve"> </w:t>
      </w:r>
      <w:r>
        <w:rPr>
          <w:rFonts w:ascii="Times New Roman" w:eastAsia="Times New Roman" w:hAnsi="Times New Roman" w:cs="Times New Roman"/>
          <w:sz w:val="20"/>
        </w:rPr>
        <w:t>of our revenue during the</w:t>
      </w:r>
      <w:r>
        <w:rPr>
          <w:rFonts w:ascii="Times New Roman" w:eastAsia="Times New Roman" w:hAnsi="Times New Roman" w:cs="Times New Roman"/>
          <w:sz w:val="20"/>
        </w:rPr>
        <w:t xml:space="preserv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no</w:t>
      </w:r>
      <w:r>
        <w:rPr>
          <w:rFonts w:ascii="Times New Roman" w:eastAsia="Times New Roman" w:hAnsi="Times New Roman" w:cs="Times New Roman"/>
          <w:sz w:val="20"/>
        </w:rPr>
        <w:t xml:space="preserve"> customer</w:t>
      </w:r>
      <w:r>
        <w:rPr>
          <w:rFonts w:ascii="Times New Roman" w:eastAsia="Times New Roman" w:hAnsi="Times New Roman" w:cs="Times New Roman"/>
          <w:sz w:val="20"/>
        </w:rPr>
        <w:t xml:space="preserve"> tha</w:t>
      </w:r>
      <w:r>
        <w:rPr>
          <w:rFonts w:ascii="Times New Roman" w:eastAsia="Times New Roman" w:hAnsi="Times New Roman" w:cs="Times New Roman"/>
          <w:sz w:val="20"/>
        </w:rPr>
        <w:t>t accounted for</w:t>
      </w:r>
      <w:r>
        <w:rPr>
          <w:rFonts w:ascii="Times New Roman" w:eastAsia="Times New Roman" w:hAnsi="Times New Roman" w:cs="Times New Roman"/>
          <w:sz w:val="20"/>
        </w:rPr>
        <w:t xml:space="preserve"> </w:t>
      </w:r>
      <w:r>
        <w:rPr>
          <w:rFonts w:ascii="Times New Roman" w:eastAsia="Times New Roman" w:hAnsi="Times New Roman" w:cs="Times New Roman"/>
          <w:sz w:val="20"/>
        </w:rPr>
        <w:t>more than 10%</w:t>
      </w:r>
      <w:r>
        <w:rPr>
          <w:rFonts w:ascii="Times New Roman" w:eastAsia="Times New Roman" w:hAnsi="Times New Roman" w:cs="Times New Roman"/>
          <w:sz w:val="20"/>
        </w:rPr>
        <w:t xml:space="preserve"> of our revenue during the</w:t>
      </w:r>
      <w:r>
        <w:rPr>
          <w:rFonts w:ascii="Times New Roman" w:eastAsia="Times New Roman" w:hAnsi="Times New Roman" w:cs="Times New Roman"/>
          <w:sz w:val="20"/>
        </w:rPr>
        <w:t xml:space="preserv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Revenue from our Canadian customers accounted for approximately </w:t>
      </w:r>
      <w:r>
        <w:rPr>
          <w:rFonts w:ascii="Times New Roman" w:eastAsia="Times New Roman" w:hAnsi="Times New Roman" w:cs="Times New Roman"/>
          <w:sz w:val="20"/>
        </w:rPr>
        <w:t>$1.1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6%</w:t>
      </w:r>
      <w:r>
        <w:rPr>
          <w:rFonts w:ascii="Times New Roman" w:eastAsia="Times New Roman" w:hAnsi="Times New Roman" w:cs="Times New Roman"/>
          <w:sz w:val="20"/>
        </w:rPr>
        <w:t xml:space="preserve">) and </w:t>
      </w:r>
      <w:r>
        <w:rPr>
          <w:rFonts w:ascii="Times New Roman" w:eastAsia="Times New Roman" w:hAnsi="Times New Roman" w:cs="Times New Roman"/>
          <w:sz w:val="20"/>
        </w:rPr>
        <w:t>$1.6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8%</w:t>
      </w:r>
      <w:r>
        <w:rPr>
          <w:rFonts w:ascii="Times New Roman" w:eastAsia="Times New Roman" w:hAnsi="Times New Roman" w:cs="Times New Roman"/>
          <w:sz w:val="20"/>
        </w:rPr>
        <w:t>) of our revenues during the</w:t>
      </w:r>
      <w:r>
        <w:rPr>
          <w:rFonts w:ascii="Times New Roman" w:eastAsia="Times New Roman" w:hAnsi="Times New Roman" w:cs="Times New Roman"/>
          <w:sz w:val="20"/>
        </w:rPr>
        <w:t xml:space="preserv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 xml:space="preserve">Technology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S</w:t>
      </w:r>
      <w:r>
        <w:rPr>
          <w:rFonts w:ascii="Times New Roman" w:eastAsia="Times New Roman" w:hAnsi="Times New Roman" w:cs="Times New Roman"/>
          <w:i/>
          <w:sz w:val="20"/>
        </w:rPr>
        <w:t>hake</w:t>
      </w:r>
      <w:r>
        <w:rPr>
          <w:rFonts w:ascii="Times New Roman" w:eastAsia="Times New Roman" w:hAnsi="Times New Roman" w:cs="Times New Roman"/>
          <w:sz w:val="20"/>
        </w:rPr>
        <w:t xml:space="preserve"> spans multiple social networks and </w:t>
      </w:r>
      <w:r>
        <w:rPr>
          <w:rFonts w:ascii="Times New Roman" w:eastAsia="Times New Roman" w:hAnsi="Times New Roman" w:cs="Times New Roman"/>
          <w:sz w:val="20"/>
        </w:rPr>
        <w:t xml:space="preserve">digital </w:t>
      </w:r>
      <w:r>
        <w:rPr>
          <w:rFonts w:ascii="Times New Roman" w:eastAsia="Times New Roman" w:hAnsi="Times New Roman" w:cs="Times New Roman"/>
          <w:sz w:val="20"/>
        </w:rPr>
        <w:t>cr</w:t>
      </w:r>
      <w:r>
        <w:rPr>
          <w:rFonts w:ascii="Times New Roman" w:eastAsia="Times New Roman" w:hAnsi="Times New Roman" w:cs="Times New Roman"/>
          <w:sz w:val="20"/>
        </w:rPr>
        <w:t>eative serv</w:t>
      </w:r>
      <w:r>
        <w:rPr>
          <w:rFonts w:ascii="Times New Roman" w:eastAsia="Times New Roman" w:hAnsi="Times New Roman" w:cs="Times New Roman"/>
          <w:sz w:val="20"/>
        </w:rPr>
        <w:t>ice</w:t>
      </w:r>
      <w:r>
        <w:rPr>
          <w:rFonts w:ascii="Times New Roman" w:eastAsia="Times New Roman" w:hAnsi="Times New Roman" w:cs="Times New Roman"/>
          <w:sz w:val="20"/>
        </w:rPr>
        <w:t>s. We aggregate creators in</w:t>
      </w:r>
      <w:r>
        <w:rPr>
          <w:rFonts w:ascii="Times New Roman" w:eastAsia="Times New Roman" w:hAnsi="Times New Roman" w:cs="Times New Roman"/>
          <w:sz w:val="20"/>
        </w:rPr>
        <w:t xml:space="preserve"> our </w:t>
      </w:r>
      <w:r>
        <w:rPr>
          <w:rFonts w:ascii="Times New Roman" w:eastAsia="Times New Roman" w:hAnsi="Times New Roman" w:cs="Times New Roman"/>
          <w:sz w:val="20"/>
        </w:rPr>
        <w:t>platforms</w:t>
      </w:r>
      <w:r>
        <w:rPr>
          <w:rFonts w:ascii="Times New Roman" w:eastAsia="Times New Roman" w:hAnsi="Times New Roman" w:cs="Times New Roman"/>
          <w:i/>
          <w:sz w:val="20"/>
        </w:rPr>
        <w:t>,</w:t>
      </w:r>
      <w:r>
        <w:rPr>
          <w:rFonts w:ascii="Times New Roman" w:eastAsia="Times New Roman" w:hAnsi="Times New Roman" w:cs="Times New Roman"/>
          <w:sz w:val="20"/>
        </w:rPr>
        <w:t xml:space="preserve"> which allows us to create scale and </w:t>
      </w:r>
      <w:r>
        <w:rPr>
          <w:rFonts w:ascii="Times New Roman" w:eastAsia="Times New Roman" w:hAnsi="Times New Roman" w:cs="Times New Roman"/>
          <w:sz w:val="20"/>
        </w:rPr>
        <w:t>choice</w:t>
      </w:r>
      <w:r>
        <w:rPr>
          <w:rFonts w:ascii="Times New Roman" w:eastAsia="Times New Roman" w:hAnsi="Times New Roman" w:cs="Times New Roman"/>
          <w:sz w:val="20"/>
        </w:rPr>
        <w:t xml:space="preserve"> for marketers. We provide the ability to </w:t>
      </w:r>
      <w:r>
        <w:rPr>
          <w:rFonts w:ascii="Times New Roman" w:eastAsia="Times New Roman" w:hAnsi="Times New Roman" w:cs="Times New Roman"/>
          <w:sz w:val="20"/>
        </w:rPr>
        <w:t xml:space="preserve">find and </w:t>
      </w:r>
      <w:r>
        <w:rPr>
          <w:rFonts w:ascii="Times New Roman" w:eastAsia="Times New Roman" w:hAnsi="Times New Roman" w:cs="Times New Roman"/>
          <w:sz w:val="20"/>
        </w:rPr>
        <w:t>collaborate with</w:t>
      </w:r>
      <w:r>
        <w:rPr>
          <w:rFonts w:ascii="Times New Roman" w:eastAsia="Times New Roman" w:hAnsi="Times New Roman" w:cs="Times New Roman"/>
          <w:sz w:val="20"/>
        </w:rPr>
        <w:t xml:space="preserve"> our creators based on a variety of software rules</w:t>
      </w:r>
      <w:r>
        <w:rPr>
          <w:rFonts w:ascii="Times New Roman" w:eastAsia="Times New Roman" w:hAnsi="Times New Roman" w:cs="Times New Roman"/>
          <w:sz w:val="20"/>
        </w:rPr>
        <w:t>,</w:t>
      </w:r>
      <w:r>
        <w:rPr>
          <w:rFonts w:ascii="Times New Roman" w:eastAsia="Times New Roman" w:hAnsi="Times New Roman" w:cs="Times New Roman"/>
          <w:sz w:val="20"/>
        </w:rPr>
        <w:t xml:space="preserve"> filters</w:t>
      </w:r>
      <w:r>
        <w:rPr>
          <w:rFonts w:ascii="Times New Roman" w:eastAsia="Times New Roman" w:hAnsi="Times New Roman" w:cs="Times New Roman"/>
          <w:sz w:val="20"/>
        </w:rPr>
        <w:t>, and data enrichment</w:t>
      </w:r>
      <w:r>
        <w:rPr>
          <w:rFonts w:ascii="Times New Roman" w:eastAsia="Times New Roman" w:hAnsi="Times New Roman" w:cs="Times New Roman"/>
          <w:sz w:val="20"/>
        </w:rPr>
        <w:t xml:space="preserve">. </w:t>
      </w:r>
      <w:r>
        <w:rPr>
          <w:rFonts w:ascii="Times New Roman" w:eastAsia="Times New Roman" w:hAnsi="Times New Roman" w:cs="Times New Roman"/>
          <w:sz w:val="20"/>
        </w:rPr>
        <w:t>Our</w:t>
      </w:r>
      <w:r>
        <w:rPr>
          <w:rFonts w:ascii="Times New Roman" w:eastAsia="Times New Roman" w:hAnsi="Times New Roman" w:cs="Times New Roman"/>
          <w:sz w:val="20"/>
        </w:rPr>
        <w:t xml:space="preserve"> self-service platforms that service all business types and sizes</w:t>
      </w:r>
      <w:r>
        <w:rPr>
          <w:rFonts w:ascii="Times New Roman" w:eastAsia="Times New Roman" w:hAnsi="Times New Roman" w:cs="Times New Roman"/>
          <w:sz w:val="20"/>
        </w:rPr>
        <w:t>, ranging from Fortune 500 customers to small agencies and brands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We provide trackable results </w:t>
      </w:r>
      <w:r>
        <w:rPr>
          <w:rFonts w:ascii="Times New Roman" w:eastAsia="Times New Roman" w:hAnsi="Times New Roman" w:cs="Times New Roman"/>
          <w:sz w:val="20"/>
        </w:rPr>
        <w:t xml:space="preserve">for influencer marketing campaigns </w:t>
      </w:r>
      <w:r>
        <w:rPr>
          <w:rFonts w:ascii="Times New Roman" w:eastAsia="Times New Roman" w:hAnsi="Times New Roman" w:cs="Times New Roman"/>
          <w:sz w:val="20"/>
        </w:rPr>
        <w:t xml:space="preserve">by automatically embedding tracking links and pixels, as well as support, for third-party tracking. </w:t>
      </w:r>
      <w:r>
        <w:rPr>
          <w:rFonts w:ascii="Times New Roman" w:eastAsia="Times New Roman" w:hAnsi="Times New Roman" w:cs="Times New Roman"/>
          <w:sz w:val="20"/>
        </w:rPr>
        <w:t xml:space="preserve">IZEA </w:t>
      </w:r>
      <w:r>
        <w:rPr>
          <w:rFonts w:ascii="Times New Roman" w:eastAsia="Times New Roman" w:hAnsi="Times New Roman" w:cs="Times New Roman"/>
          <w:sz w:val="20"/>
        </w:rPr>
        <w:t>technology</w:t>
      </w:r>
      <w:r>
        <w:rPr>
          <w:rFonts w:ascii="Times New Roman" w:eastAsia="Times New Roman" w:hAnsi="Times New Roman" w:cs="Times New Roman"/>
          <w:sz w:val="20"/>
        </w:rPr>
        <w:t xml:space="preserve"> also provide</w:t>
      </w:r>
      <w:r>
        <w:rPr>
          <w:rFonts w:ascii="Times New Roman" w:eastAsia="Times New Roman" w:hAnsi="Times New Roman" w:cs="Times New Roman"/>
          <w:sz w:val="20"/>
        </w:rPr>
        <w:t>s content review and approval</w:t>
      </w:r>
      <w:r>
        <w:rPr>
          <w:rFonts w:ascii="Times New Roman" w:eastAsia="Times New Roman" w:hAnsi="Times New Roman" w:cs="Times New Roman"/>
          <w:sz w:val="20"/>
        </w:rPr>
        <w:t>,</w:t>
      </w:r>
      <w:r>
        <w:rPr>
          <w:rFonts w:ascii="Times New Roman" w:eastAsia="Times New Roman" w:hAnsi="Times New Roman" w:cs="Times New Roman"/>
          <w:sz w:val="20"/>
        </w:rPr>
        <w:t xml:space="preserve"> das</w:t>
      </w:r>
      <w:r>
        <w:rPr>
          <w:rFonts w:ascii="Times New Roman" w:eastAsia="Times New Roman" w:hAnsi="Times New Roman" w:cs="Times New Roman"/>
          <w:sz w:val="20"/>
        </w:rPr>
        <w:t xml:space="preserve">hboards for real-time reporting and </w:t>
      </w:r>
      <w:r>
        <w:rPr>
          <w:rFonts w:ascii="Times New Roman" w:eastAsia="Times New Roman" w:hAnsi="Times New Roman" w:cs="Times New Roman"/>
          <w:sz w:val="20"/>
        </w:rPr>
        <w:t>digital asset management</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Privacy and Security</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are committed to protecting the personal privacy of our marketers and creators. Any personal information that we collect is processed in accordance with our Privacy</w:t>
      </w:r>
      <w:r>
        <w:rPr>
          <w:rFonts w:ascii="Times New Roman" w:eastAsia="Times New Roman" w:hAnsi="Times New Roman" w:cs="Times New Roman"/>
          <w:sz w:val="20"/>
        </w:rPr>
        <w:t xml:space="preserve"> </w:t>
      </w:r>
      <w:r>
        <w:rPr>
          <w:rFonts w:ascii="Times New Roman" w:eastAsia="Times New Roman" w:hAnsi="Times New Roman" w:cs="Times New Roman"/>
          <w:sz w:val="20"/>
        </w:rPr>
        <w:t>Notice</w:t>
      </w:r>
      <w:r>
        <w:rPr>
          <w:rFonts w:ascii="Times New Roman" w:eastAsia="Times New Roman" w:hAnsi="Times New Roman" w:cs="Times New Roman"/>
          <w:sz w:val="20"/>
        </w:rPr>
        <w:t xml:space="preserve">, and we employ reasonable and appropriate administrative, physical, and technical safeguards to protect the personal information.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b/>
          <w:sz w:val="20"/>
        </w:rPr>
        <w:t>Product Development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product development team is responsible for platform and infrastructure development, application development, user interface and application design, enterprise connectivity, Internet applications and design, quality assurance, documentation</w:t>
      </w:r>
      <w:r>
        <w:rPr>
          <w:rFonts w:ascii="Times New Roman" w:eastAsia="Times New Roman" w:hAnsi="Times New Roman" w:cs="Times New Roman"/>
          <w:sz w:val="20"/>
        </w:rPr>
        <w:t>,</w:t>
      </w:r>
      <w:r>
        <w:rPr>
          <w:rFonts w:ascii="Times New Roman" w:eastAsia="Times New Roman" w:hAnsi="Times New Roman" w:cs="Times New Roman"/>
          <w:sz w:val="20"/>
        </w:rPr>
        <w:t xml:space="preserve"> and release management. One of our core strengths is our knowledge of and experience in launching and operating scalable content and influencer marketing marketplaces. Our product development expenses include salaries, bonuses, commissions, stock</w:t>
      </w:r>
      <w:r>
        <w:rPr>
          <w:rFonts w:ascii="Times New Roman" w:eastAsia="Times New Roman" w:hAnsi="Times New Roman" w:cs="Times New Roman"/>
          <w:sz w:val="20"/>
        </w:rPr>
        <w:t xml:space="preserve">-based compensation, employee benefit costs, and miscellaneous departmental costs related to our development team along with hosting and software subscription costs. These costs were approximately </w:t>
      </w:r>
      <w:r>
        <w:rPr>
          <w:rFonts w:ascii="Times New Roman" w:eastAsia="Times New Roman" w:hAnsi="Times New Roman" w:cs="Times New Roman"/>
          <w:sz w:val="20"/>
        </w:rPr>
        <w:t>$3.8 million</w:t>
      </w:r>
      <w:r>
        <w:rPr>
          <w:rFonts w:ascii="Times New Roman" w:eastAsia="Times New Roman" w:hAnsi="Times New Roman" w:cs="Times New Roman"/>
          <w:sz w:val="20"/>
        </w:rPr>
        <w:t xml:space="preserve"> and </w:t>
      </w:r>
      <w:r>
        <w:rPr>
          <w:rFonts w:ascii="Times New Roman" w:eastAsia="Times New Roman" w:hAnsi="Times New Roman" w:cs="Times New Roman"/>
          <w:sz w:val="20"/>
        </w:rPr>
        <w:t>$4.2 million</w:t>
      </w:r>
      <w:r>
        <w:rPr>
          <w:rFonts w:ascii="Times New Roman" w:eastAsia="Times New Roman" w:hAnsi="Times New Roman" w:cs="Times New Roman"/>
          <w:sz w:val="20"/>
        </w:rPr>
        <w:t xml:space="preserve">, for the years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and are included in general and administrative expense.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launched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in March 2014 and unveiled our latest version 3.0 of the platform in April 2019. We continue to add new features and additional functionality to this platform each year. These new features </w:t>
      </w:r>
      <w:r>
        <w:rPr>
          <w:rFonts w:ascii="Times New Roman" w:eastAsia="Times New Roman" w:hAnsi="Times New Roman" w:cs="Times New Roman"/>
          <w:sz w:val="20"/>
        </w:rPr>
        <w:t xml:space="preserve">enable our platform to facilitate the contracting, workflow, and delivery of direct content as well as provide for invoicing, collaborating and direct payments for our SaaS customers. We incurred and capitalized software development costs of </w:t>
      </w:r>
      <w:r>
        <w:rPr>
          <w:rFonts w:ascii="Times New Roman" w:eastAsia="Times New Roman" w:hAnsi="Times New Roman" w:cs="Times New Roman"/>
          <w:sz w:val="20"/>
        </w:rPr>
        <w:t>$363,793</w:t>
      </w:r>
      <w:r>
        <w:rPr>
          <w:rFonts w:ascii="Times New Roman" w:eastAsia="Times New Roman" w:hAnsi="Times New Roman" w:cs="Times New Roman"/>
          <w:sz w:val="20"/>
        </w:rPr>
        <w:t xml:space="preserve"> and </w:t>
      </w:r>
      <w:r>
        <w:rPr>
          <w:rFonts w:ascii="Times New Roman" w:eastAsia="Times New Roman" w:hAnsi="Times New Roman" w:cs="Times New Roman"/>
          <w:sz w:val="20"/>
        </w:rPr>
        <w:t>$590,549</w:t>
      </w:r>
      <w:r>
        <w:rPr>
          <w:rFonts w:ascii="Times New Roman" w:eastAsia="Times New Roman" w:hAnsi="Times New Roman" w:cs="Times New Roman"/>
          <w:sz w:val="20"/>
        </w:rPr>
        <w:t xml:space="preserve"> in our balance sheet during the years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team believes that</w:t>
      </w:r>
      <w:r>
        <w:rPr>
          <w:rFonts w:ascii="Times New Roman" w:eastAsia="Times New Roman" w:hAnsi="Times New Roman" w:cs="Times New Roman"/>
          <w:sz w:val="20"/>
        </w:rPr>
        <w:t xml:space="preserve"> relentless</w:t>
      </w:r>
      <w:r>
        <w:rPr>
          <w:rFonts w:ascii="Times New Roman" w:eastAsia="Times New Roman" w:hAnsi="Times New Roman" w:cs="Times New Roman"/>
          <w:sz w:val="20"/>
        </w:rPr>
        <w:t xml:space="preserve"> innovation is the only way to achieve long-term growth and </w:t>
      </w:r>
      <w:r>
        <w:rPr>
          <w:rFonts w:ascii="Times New Roman" w:eastAsia="Times New Roman" w:hAnsi="Times New Roman" w:cs="Times New Roman"/>
          <w:sz w:val="20"/>
        </w:rPr>
        <w:t>we consistently invest in new technology both inside and outside o</w:t>
      </w:r>
      <w:r>
        <w:rPr>
          <w:rFonts w:ascii="Times New Roman" w:eastAsia="Times New Roman" w:hAnsi="Times New Roman" w:cs="Times New Roman"/>
          <w:sz w:val="20"/>
        </w:rPr>
        <w:t>f our</w:t>
      </w:r>
      <w:r>
        <w:rPr>
          <w:rFonts w:ascii="Times New Roman" w:eastAsia="Times New Roman" w:hAnsi="Times New Roman" w:cs="Times New Roman"/>
          <w:sz w:val="20"/>
        </w:rPr>
        <w:t xml:space="preserve"> current software platforms. The launch of </w:t>
      </w:r>
      <w:r>
        <w:rPr>
          <w:rFonts w:ascii="Times New Roman" w:eastAsia="Times New Roman" w:hAnsi="Times New Roman" w:cs="Times New Roman"/>
          <w:i/>
          <w:sz w:val="20"/>
        </w:rPr>
        <w:t>Shake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BrandGraph</w:t>
      </w:r>
      <w:r>
        <w:rPr>
          <w:rFonts w:ascii="Times New Roman" w:eastAsia="Times New Roman" w:hAnsi="Times New Roman" w:cs="Times New Roman"/>
          <w:sz w:val="20"/>
        </w:rPr>
        <w:t xml:space="preserve"> during the pandemic in 2020 underscores that commitment</w:t>
      </w:r>
      <w:r>
        <w:rPr>
          <w:rFonts w:ascii="Times New Roman" w:eastAsia="Times New Roman" w:hAnsi="Times New Roman" w:cs="Times New Roman"/>
          <w:sz w:val="20"/>
        </w:rPr>
        <w:t>,</w:t>
      </w:r>
      <w:r>
        <w:rPr>
          <w:rFonts w:ascii="Times New Roman" w:eastAsia="Times New Roman" w:hAnsi="Times New Roman" w:cs="Times New Roman"/>
          <w:sz w:val="20"/>
        </w:rPr>
        <w:t xml:space="preserve"> and we </w:t>
      </w:r>
      <w:r>
        <w:rPr>
          <w:rFonts w:ascii="Times New Roman" w:eastAsia="Times New Roman" w:hAnsi="Times New Roman" w:cs="Times New Roman"/>
          <w:sz w:val="20"/>
        </w:rPr>
        <w:t xml:space="preserve">intend to continue to invest in the creation of new technology additions that complement our core offerings.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 xml:space="preserve">Competition </w:t>
      </w:r>
    </w:p>
    <w:p>
      <w:pPr>
        <w:keepNext/>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face competition from multiple companies in the influencer and content marketing categories. Direct and indirect competitors in the influencer marketing space include Facebook, </w:t>
      </w:r>
      <w:r>
        <w:rPr>
          <w:rFonts w:ascii="Times New Roman" w:eastAsia="Times New Roman" w:hAnsi="Times New Roman" w:cs="Times New Roman"/>
          <w:sz w:val="20"/>
        </w:rPr>
        <w:t xml:space="preserve">TikTok, </w:t>
      </w:r>
      <w:r>
        <w:rPr>
          <w:rFonts w:ascii="Times New Roman" w:eastAsia="Times New Roman" w:hAnsi="Times New Roman" w:cs="Times New Roman"/>
          <w:sz w:val="20"/>
        </w:rPr>
        <w:t xml:space="preserve">YouTube, Linqia and </w:t>
      </w:r>
      <w:r>
        <w:rPr>
          <w:rFonts w:ascii="Times New Roman" w:eastAsia="Times New Roman" w:hAnsi="Times New Roman" w:cs="Times New Roman"/>
          <w:sz w:val="20"/>
        </w:rPr>
        <w:t>Upfluence</w:t>
      </w:r>
      <w:r>
        <w:rPr>
          <w:rFonts w:ascii="Times New Roman" w:eastAsia="Times New Roman" w:hAnsi="Times New Roman" w:cs="Times New Roman"/>
          <w:sz w:val="20"/>
        </w:rPr>
        <w:t xml:space="preserve">. We also face competition in the </w:t>
      </w:r>
      <w:r>
        <w:rPr>
          <w:rFonts w:ascii="Times New Roman" w:eastAsia="Times New Roman" w:hAnsi="Times New Roman" w:cs="Times New Roman"/>
          <w:sz w:val="20"/>
        </w:rPr>
        <w:t>creator economy</w:t>
      </w:r>
      <w:r>
        <w:rPr>
          <w:rFonts w:ascii="Times New Roman" w:eastAsia="Times New Roman" w:hAnsi="Times New Roman" w:cs="Times New Roman"/>
          <w:sz w:val="20"/>
        </w:rPr>
        <w:t xml:space="preserve"> from companies such as </w:t>
      </w:r>
      <w:r>
        <w:rPr>
          <w:rFonts w:ascii="Times New Roman" w:eastAsia="Times New Roman" w:hAnsi="Times New Roman" w:cs="Times New Roman"/>
          <w:sz w:val="20"/>
        </w:rPr>
        <w:t>F</w:t>
      </w:r>
      <w:r>
        <w:rPr>
          <w:rFonts w:ascii="Times New Roman" w:eastAsia="Times New Roman" w:hAnsi="Times New Roman" w:cs="Times New Roman"/>
          <w:sz w:val="20"/>
        </w:rPr>
        <w:t>iverr and Upwork</w:t>
      </w:r>
      <w:r>
        <w:rPr>
          <w:rFonts w:ascii="Times New Roman" w:eastAsia="Times New Roman" w:hAnsi="Times New Roman" w:cs="Times New Roman"/>
          <w:sz w:val="20"/>
        </w:rPr>
        <w:t>. In addition, there are a number of traditional advertising agencies, public relations firms</w:t>
      </w:r>
      <w:r>
        <w:rPr>
          <w:rFonts w:ascii="Times New Roman" w:eastAsia="Times New Roman" w:hAnsi="Times New Roman" w:cs="Times New Roman"/>
          <w:sz w:val="20"/>
        </w:rPr>
        <w:t>,</w:t>
      </w:r>
      <w:r>
        <w:rPr>
          <w:rFonts w:ascii="Times New Roman" w:eastAsia="Times New Roman" w:hAnsi="Times New Roman" w:cs="Times New Roman"/>
          <w:sz w:val="20"/>
        </w:rPr>
        <w:t xml:space="preserve"> and niche consultancies that provide content development and conduct manual influencer outreach programs.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Competition could result in significant price </w:t>
      </w:r>
      <w:r>
        <w:rPr>
          <w:rFonts w:ascii="Times New Roman" w:eastAsia="Times New Roman" w:hAnsi="Times New Roman" w:cs="Times New Roman"/>
          <w:sz w:val="20"/>
        </w:rPr>
        <w:t>pressure</w:t>
      </w:r>
      <w:r>
        <w:rPr>
          <w:rFonts w:ascii="Times New Roman" w:eastAsia="Times New Roman" w:hAnsi="Times New Roman" w:cs="Times New Roman"/>
          <w:sz w:val="20"/>
        </w:rPr>
        <w:t>, declining margins</w:t>
      </w:r>
      <w:r>
        <w:rPr>
          <w:rFonts w:ascii="Times New Roman" w:eastAsia="Times New Roman" w:hAnsi="Times New Roman" w:cs="Times New Roman"/>
          <w:sz w:val="20"/>
        </w:rPr>
        <w:t>,</w:t>
      </w:r>
      <w:r>
        <w:rPr>
          <w:rFonts w:ascii="Times New Roman" w:eastAsia="Times New Roman" w:hAnsi="Times New Roman" w:cs="Times New Roman"/>
          <w:sz w:val="20"/>
        </w:rPr>
        <w:t xml:space="preserve"> and reductions in </w:t>
      </w:r>
      <w:r>
        <w:rPr>
          <w:rFonts w:ascii="Times New Roman" w:eastAsia="Times New Roman" w:hAnsi="Times New Roman" w:cs="Times New Roman"/>
          <w:sz w:val="20"/>
        </w:rPr>
        <w:t>our</w:t>
      </w:r>
      <w:r>
        <w:rPr>
          <w:rFonts w:ascii="Times New Roman" w:eastAsia="Times New Roman" w:hAnsi="Times New Roman" w:cs="Times New Roman"/>
          <w:sz w:val="20"/>
        </w:rPr>
        <w:t xml:space="preserve"> revenue. In addition, as we continue our efforts to expand the scope of our services with </w:t>
      </w:r>
      <w:r>
        <w:rPr>
          <w:rFonts w:ascii="Times New Roman" w:eastAsia="Times New Roman" w:hAnsi="Times New Roman" w:cs="Times New Roman"/>
          <w:i/>
          <w:sz w:val="20"/>
        </w:rPr>
        <w:t>IZEAx</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Shake</w:t>
      </w:r>
      <w:r>
        <w:rPr>
          <w:rFonts w:ascii="Times New Roman" w:eastAsia="Times New Roman" w:hAnsi="Times New Roman" w:cs="Times New Roman"/>
          <w:i/>
          <w:sz w:val="20"/>
        </w:rPr>
        <w:t>,</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BrandGraph</w:t>
      </w:r>
      <w:r>
        <w:rPr>
          <w:rFonts w:ascii="Times New Roman" w:eastAsia="Times New Roman" w:hAnsi="Times New Roman" w:cs="Times New Roman"/>
          <w:sz w:val="20"/>
        </w:rPr>
        <w:t>, we may compete with a greater number of other companies across an increasing range of different services, including in vertical markets where competitors may have advantages in expertise, brand recognition</w:t>
      </w:r>
      <w:r>
        <w:rPr>
          <w:rFonts w:ascii="Times New Roman" w:eastAsia="Times New Roman" w:hAnsi="Times New Roman" w:cs="Times New Roman"/>
          <w:sz w:val="20"/>
        </w:rPr>
        <w:t>,</w:t>
      </w:r>
      <w:r>
        <w:rPr>
          <w:rFonts w:ascii="Times New Roman" w:eastAsia="Times New Roman" w:hAnsi="Times New Roman" w:cs="Times New Roman"/>
          <w:sz w:val="20"/>
        </w:rPr>
        <w:t xml:space="preserve"> and other areas. If existing or future competitors develop or offer products or services that provide significant performance, price, creative or other advantages over those offered by us, our business, prospects, results of operations</w:t>
      </w:r>
      <w:r>
        <w:rPr>
          <w:rFonts w:ascii="Times New Roman" w:eastAsia="Times New Roman" w:hAnsi="Times New Roman" w:cs="Times New Roman"/>
          <w:sz w:val="20"/>
        </w:rPr>
        <w:t>,</w:t>
      </w:r>
      <w:r>
        <w:rPr>
          <w:rFonts w:ascii="Times New Roman" w:eastAsia="Times New Roman" w:hAnsi="Times New Roman" w:cs="Times New Roman"/>
          <w:sz w:val="20"/>
        </w:rPr>
        <w:t xml:space="preserve"> and financial condition could be negatively affected.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also compete with traditional advertising media such as direct mail, television, radio, cable</w:t>
      </w:r>
      <w:r>
        <w:rPr>
          <w:rFonts w:ascii="Times New Roman" w:eastAsia="Times New Roman" w:hAnsi="Times New Roman" w:cs="Times New Roman"/>
          <w:sz w:val="20"/>
        </w:rPr>
        <w:t>,</w:t>
      </w:r>
      <w:r>
        <w:rPr>
          <w:rFonts w:ascii="Times New Roman" w:eastAsia="Times New Roman" w:hAnsi="Times New Roman" w:cs="Times New Roman"/>
          <w:sz w:val="20"/>
        </w:rPr>
        <w:t xml:space="preserve"> and print for a share of marketers' total advertising budgets. Many current and potential competitors enjoy competitive advantages over us, such as longer operating histories, greater name recognition, larger customer bases, greater access to advertising space on high-traffic websites, and significantly greater financial, technical, sales</w:t>
      </w:r>
      <w:r>
        <w:rPr>
          <w:rFonts w:ascii="Times New Roman" w:eastAsia="Times New Roman" w:hAnsi="Times New Roman" w:cs="Times New Roman"/>
          <w:sz w:val="20"/>
        </w:rPr>
        <w:t>,</w:t>
      </w:r>
      <w:r>
        <w:rPr>
          <w:rFonts w:ascii="Times New Roman" w:eastAsia="Times New Roman" w:hAnsi="Times New Roman" w:cs="Times New Roman"/>
          <w:sz w:val="20"/>
        </w:rPr>
        <w:t xml:space="preserve"> and marketing resources.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Proprietary Rights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Proprietary rights are important to our success and our competitive position. To evolve and secure our proprietary rights, we rely on intellectual property and trade secret laws, confidentiality procedures</w:t>
      </w:r>
      <w:r>
        <w:rPr>
          <w:rFonts w:ascii="Times New Roman" w:eastAsia="Times New Roman" w:hAnsi="Times New Roman" w:cs="Times New Roman"/>
          <w:sz w:val="20"/>
        </w:rPr>
        <w:t>,</w:t>
      </w:r>
      <w:r>
        <w:rPr>
          <w:rFonts w:ascii="Times New Roman" w:eastAsia="Times New Roman" w:hAnsi="Times New Roman" w:cs="Times New Roman"/>
          <w:sz w:val="20"/>
        </w:rPr>
        <w:t xml:space="preserve"> and contractual provisions.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As of December 31, 20</w:t>
      </w:r>
      <w:r>
        <w:rPr>
          <w:rFonts w:ascii="Times New Roman" w:eastAsia="Times New Roman" w:hAnsi="Times New Roman" w:cs="Times New Roman"/>
          <w:sz w:val="20"/>
        </w:rPr>
        <w:t>20</w:t>
      </w:r>
      <w:r>
        <w:rPr>
          <w:rFonts w:ascii="Times New Roman" w:eastAsia="Times New Roman" w:hAnsi="Times New Roman" w:cs="Times New Roman"/>
          <w:sz w:val="20"/>
        </w:rPr>
        <w:t xml:space="preserve">, we owned </w:t>
      </w:r>
      <w:r>
        <w:rPr>
          <w:rFonts w:ascii="Times New Roman" w:eastAsia="Times New Roman" w:hAnsi="Times New Roman" w:cs="Times New Roman"/>
          <w:sz w:val="20"/>
        </w:rPr>
        <w:t>54 trademark</w:t>
      </w:r>
      <w:r>
        <w:rPr>
          <w:rFonts w:ascii="Times New Roman" w:eastAsia="Times New Roman" w:hAnsi="Times New Roman" w:cs="Times New Roman"/>
          <w:sz w:val="20"/>
        </w:rPr>
        <w:t>s (</w:t>
      </w:r>
      <w:r>
        <w:rPr>
          <w:rFonts w:ascii="Times New Roman" w:eastAsia="Times New Roman" w:hAnsi="Times New Roman" w:cs="Times New Roman"/>
          <w:sz w:val="20"/>
        </w:rPr>
        <w:t>3</w:t>
      </w:r>
      <w:r>
        <w:rPr>
          <w:rFonts w:ascii="Times New Roman" w:eastAsia="Times New Roman" w:hAnsi="Times New Roman" w:cs="Times New Roman"/>
          <w:sz w:val="20"/>
        </w:rPr>
        <w:t>7</w:t>
      </w:r>
      <w:r>
        <w:rPr>
          <w:rFonts w:ascii="Times New Roman" w:eastAsia="Times New Roman" w:hAnsi="Times New Roman" w:cs="Times New Roman"/>
          <w:sz w:val="20"/>
        </w:rPr>
        <w:t xml:space="preserve"> domestic trademark registrations in the United States</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1</w:t>
      </w:r>
      <w:r>
        <w:rPr>
          <w:rFonts w:ascii="Times New Roman" w:eastAsia="Times New Roman" w:hAnsi="Times New Roman" w:cs="Times New Roman"/>
          <w:sz w:val="20"/>
        </w:rPr>
        <w:t>7</w:t>
      </w:r>
      <w:r>
        <w:rPr>
          <w:rFonts w:ascii="Times New Roman" w:eastAsia="Times New Roman" w:hAnsi="Times New Roman" w:cs="Times New Roman"/>
          <w:sz w:val="20"/>
        </w:rPr>
        <w:t xml:space="preserve"> foreign registrations on the International Register</w:t>
      </w:r>
      <w:r>
        <w:rPr>
          <w:rFonts w:ascii="Times New Roman" w:eastAsia="Times New Roman" w:hAnsi="Times New Roman" w:cs="Times New Roman"/>
          <w:sz w:val="20"/>
        </w:rPr>
        <w:t>)</w:t>
      </w:r>
      <w:r>
        <w:rPr>
          <w:rFonts w:ascii="Times New Roman" w:eastAsia="Times New Roman" w:hAnsi="Times New Roman" w:cs="Times New Roman"/>
          <w:sz w:val="20"/>
        </w:rPr>
        <w:t>, and had 4 total pending applications</w:t>
      </w:r>
      <w:r>
        <w:rPr>
          <w:rFonts w:ascii="Times New Roman" w:eastAsia="Times New Roman" w:hAnsi="Times New Roman" w:cs="Times New Roman"/>
          <w:sz w:val="20"/>
        </w:rPr>
        <w:t xml:space="preserve"> </w:t>
      </w:r>
      <w:r>
        <w:rPr>
          <w:rFonts w:ascii="Times New Roman" w:eastAsia="Times New Roman" w:hAnsi="Times New Roman" w:cs="Times New Roman"/>
          <w:sz w:val="20"/>
        </w:rPr>
        <w:t>in the United States</w:t>
      </w:r>
      <w:r>
        <w:rPr>
          <w:rFonts w:ascii="Times New Roman" w:eastAsia="Times New Roman" w:hAnsi="Times New Roman" w:cs="Times New Roman"/>
          <w:sz w:val="20"/>
        </w:rPr>
        <w:t>.</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 xml:space="preserve">year </w:t>
      </w:r>
      <w:r>
        <w:rPr>
          <w:rFonts w:ascii="Times New Roman" w:eastAsia="Times New Roman" w:hAnsi="Times New Roman" w:cs="Times New Roman"/>
          <w:sz w:val="20"/>
        </w:rPr>
        <w:t>ended December 31, 20</w:t>
      </w:r>
      <w:r>
        <w:rPr>
          <w:rFonts w:ascii="Times New Roman" w:eastAsia="Times New Roman" w:hAnsi="Times New Roman" w:cs="Times New Roman"/>
          <w:sz w:val="20"/>
        </w:rPr>
        <w:t>20</w:t>
      </w:r>
      <w:r>
        <w:rPr>
          <w:rFonts w:ascii="Times New Roman" w:eastAsia="Times New Roman" w:hAnsi="Times New Roman" w:cs="Times New Roman"/>
          <w:sz w:val="20"/>
        </w:rPr>
        <w:t xml:space="preserve">, we abandoned </w:t>
      </w:r>
      <w:r>
        <w:rPr>
          <w:rFonts w:ascii="Times New Roman" w:eastAsia="Times New Roman" w:hAnsi="Times New Roman" w:cs="Times New Roman"/>
          <w:sz w:val="20"/>
        </w:rPr>
        <w:t>8</w:t>
      </w:r>
      <w:r>
        <w:rPr>
          <w:rFonts w:ascii="Times New Roman" w:eastAsia="Times New Roman" w:hAnsi="Times New Roman" w:cs="Times New Roman"/>
          <w:sz w:val="20"/>
        </w:rPr>
        <w:t xml:space="preserve"> inactive U.S. trademark</w:t>
      </w:r>
      <w:r>
        <w:rPr>
          <w:rFonts w:ascii="Times New Roman" w:eastAsia="Times New Roman" w:hAnsi="Times New Roman" w:cs="Times New Roman"/>
          <w:sz w:val="20"/>
        </w:rPr>
        <w:t>s</w:t>
      </w:r>
      <w:r>
        <w:rPr>
          <w:rFonts w:ascii="Times New Roman" w:eastAsia="Times New Roman" w:hAnsi="Times New Roman" w:cs="Times New Roman"/>
          <w:sz w:val="20"/>
        </w:rPr>
        <w:t>. As of December 31, 20</w:t>
      </w:r>
      <w:r>
        <w:rPr>
          <w:rFonts w:ascii="Times New Roman" w:eastAsia="Times New Roman" w:hAnsi="Times New Roman" w:cs="Times New Roman"/>
          <w:sz w:val="20"/>
        </w:rPr>
        <w:t>20</w:t>
      </w:r>
      <w:r>
        <w:rPr>
          <w:rFonts w:ascii="Times New Roman" w:eastAsia="Times New Roman" w:hAnsi="Times New Roman" w:cs="Times New Roman"/>
          <w:sz w:val="20"/>
        </w:rPr>
        <w:t>, we also owned approximately 3</w:t>
      </w:r>
      <w:r>
        <w:rPr>
          <w:rFonts w:ascii="Times New Roman" w:eastAsia="Times New Roman" w:hAnsi="Times New Roman" w:cs="Times New Roman"/>
          <w:sz w:val="20"/>
        </w:rPr>
        <w:t>39</w:t>
      </w:r>
      <w:r>
        <w:rPr>
          <w:rFonts w:ascii="Times New Roman" w:eastAsia="Times New Roman" w:hAnsi="Times New Roman" w:cs="Times New Roman"/>
          <w:sz w:val="20"/>
        </w:rPr>
        <w:t xml:space="preserve"> domain names related to the various aspects of IZEA’s products and services.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actively protect our intellectual property rights but have encountered challenges following the decisions in </w:t>
      </w:r>
      <w:r>
        <w:rPr>
          <w:rFonts w:ascii="Times New Roman" w:eastAsia="Times New Roman" w:hAnsi="Times New Roman" w:cs="Times New Roman"/>
          <w:i/>
          <w:sz w:val="20"/>
        </w:rPr>
        <w:t xml:space="preserve">Alice Corp. v. CLS Bank International, 573 U.S.208, 134 S. Ct. 2347 (2014) and Intellectual Ventures I LLC vs. Symantec Corp. (Fed. Cir. 2016), </w:t>
      </w:r>
      <w:r>
        <w:rPr>
          <w:rFonts w:ascii="Times New Roman" w:eastAsia="Times New Roman" w:hAnsi="Times New Roman" w:cs="Times New Roman"/>
          <w:sz w:val="20"/>
        </w:rPr>
        <w:t>which changed the patent environment for software-based applications. As a result, given the difficulty in overcoming U.S. Patent and Trademark Office rejections of certain of our pending patent applications, management has decided not to actively pursue, at this time, patent protection for our software-based applications. We met with similar resistance in seeking patent protection for our software-based applications internationally</w:t>
      </w:r>
      <w:r>
        <w:rPr>
          <w:rFonts w:ascii="Times New Roman" w:eastAsia="Times New Roman" w:hAnsi="Times New Roman" w:cs="Times New Roman"/>
          <w:sz w:val="20"/>
        </w:rPr>
        <w:t xml:space="preserve"> an</w:t>
      </w:r>
      <w:r>
        <w:rPr>
          <w:rFonts w:ascii="Times New Roman" w:eastAsia="Times New Roman" w:hAnsi="Times New Roman" w:cs="Times New Roman"/>
          <w:sz w:val="20"/>
        </w:rPr>
        <w:t>d have ab</w:t>
      </w:r>
      <w:r>
        <w:rPr>
          <w:rFonts w:ascii="Times New Roman" w:eastAsia="Times New Roman" w:hAnsi="Times New Roman" w:cs="Times New Roman"/>
          <w:sz w:val="20"/>
        </w:rPr>
        <w:t>and</w:t>
      </w:r>
      <w:r>
        <w:rPr>
          <w:rFonts w:ascii="Times New Roman" w:eastAsia="Times New Roman" w:hAnsi="Times New Roman" w:cs="Times New Roman"/>
          <w:sz w:val="20"/>
        </w:rPr>
        <w:t>oned</w:t>
      </w:r>
      <w:r>
        <w:rPr>
          <w:rFonts w:ascii="Times New Roman" w:eastAsia="Times New Roman" w:hAnsi="Times New Roman" w:cs="Times New Roman"/>
          <w:sz w:val="20"/>
        </w:rPr>
        <w:t xml:space="preserve"> our pending foreign patent application in Brazil.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 xml:space="preserve">Government Regulation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are subject to a number of foreign and domestic laws and regulations that affect companies conducting business on the Internet, many of which are still evolving and could be interpreted by regulators or in the courts in ways that could adversely affect our business model. In the United States and abroad, laws relating to the liability of providers of online services for activities of their users and other third parties are currently being tested by a number of claims. These regulations and laws may involve taxation, tariffs, privacy and data protection, consumer protection, content, copyrights, distribution, electronic contracts and other communications, and online payment services. In addition, governments may seek to censor content available on our platforms or may even attempt to completely block access to our platforms. Accordingly, adverse legal or regulatory developments could substantially harm our business.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are subject to a variety of federal, state</w:t>
      </w:r>
      <w:r>
        <w:rPr>
          <w:rFonts w:ascii="Times New Roman" w:eastAsia="Times New Roman" w:hAnsi="Times New Roman" w:cs="Times New Roman"/>
          <w:sz w:val="20"/>
        </w:rPr>
        <w:t>,</w:t>
      </w:r>
      <w:r>
        <w:rPr>
          <w:rFonts w:ascii="Times New Roman" w:eastAsia="Times New Roman" w:hAnsi="Times New Roman" w:cs="Times New Roman"/>
          <w:sz w:val="20"/>
        </w:rPr>
        <w:t xml:space="preserve"> and international laws and regulations governing privacy, information security</w:t>
      </w:r>
      <w:r>
        <w:rPr>
          <w:rFonts w:ascii="Times New Roman" w:eastAsia="Times New Roman" w:hAnsi="Times New Roman" w:cs="Times New Roman"/>
          <w:sz w:val="20"/>
        </w:rPr>
        <w:t>,</w:t>
      </w:r>
      <w:r>
        <w:rPr>
          <w:rFonts w:ascii="Times New Roman" w:eastAsia="Times New Roman" w:hAnsi="Times New Roman" w:cs="Times New Roman"/>
          <w:sz w:val="20"/>
        </w:rPr>
        <w:t xml:space="preserve"> and data protection laws (“Privacy Laws”). Legislators and/or regulators in countries in which we operate are increasingly adopting or revising Privacy Laws. All U.S. states have passed data breach notification laws and others have adopted or expanded laws and regulations that address the security of personal information and the collection and use of personal information through websites. In particular, California passed a broad-reaching consumer privacy law in June 2018</w:t>
      </w:r>
      <w:r>
        <w:rPr>
          <w:rFonts w:ascii="Times New Roman" w:eastAsia="Times New Roman" w:hAnsi="Times New Roman" w:cs="Times New Roman"/>
          <w:sz w:val="20"/>
        </w:rPr>
        <w:t xml:space="preserve"> </w:t>
      </w:r>
      <w:r>
        <w:rPr>
          <w:rFonts w:ascii="Times New Roman" w:eastAsia="Times New Roman" w:hAnsi="Times New Roman" w:cs="Times New Roman"/>
          <w:sz w:val="20"/>
        </w:rPr>
        <w:t>which went into effect January 1, 2020, called the California Consumer Privacy Act (“CCPA”). In response to the CCPA, IZEA posted an updated California Privacy Notice on its websites. Virginia’s Consumer Data Protection Act (“CDPA”) will come into effect January 1, 2023, which is also when the California Privacy Rights and Enforcement Act of 2020 (“CPRA”) will take effect.</w:t>
      </w:r>
      <w:r>
        <w:rPr>
          <w:rFonts w:ascii="Times New Roman" w:eastAsia="Times New Roman" w:hAnsi="Times New Roman" w:cs="Times New Roman"/>
          <w:sz w:val="24"/>
        </w:rPr>
        <w:t xml:space="preserve"> </w:t>
      </w:r>
      <w:r>
        <w:rPr>
          <w:rFonts w:ascii="Times New Roman" w:eastAsia="Times New Roman" w:hAnsi="Times New Roman" w:cs="Times New Roman"/>
          <w:sz w:val="20"/>
        </w:rPr>
        <w:t>The U.S. Congress also is considering implementation of a national Privacy Law. Outside the U.S., the EU’s General Data Protection Regulation (“GDPR”), which became effective May 25, 2018, has extra-territorial scope and substantial fines (up to 4% of global annual revenue or €20M, whichever is greater). In 2018, Brazil passed a law similar to GDPR and other countries are considering similar laws.</w:t>
      </w:r>
      <w:r>
        <w:rPr>
          <w:rFonts w:ascii="Times New Roman" w:eastAsia="Times New Roman" w:hAnsi="Times New Roman" w:cs="Times New Roman"/>
          <w:sz w:val="20"/>
        </w:rPr>
        <w:t xml:space="preserve"> </w:t>
      </w:r>
      <w:r>
        <w:rPr>
          <w:rFonts w:ascii="Times New Roman" w:eastAsia="Times New Roman" w:hAnsi="Times New Roman" w:cs="Times New Roman"/>
          <w:sz w:val="20"/>
        </w:rPr>
        <w:t>Enforcement of Privacy Laws also has increased over the past few years.</w:t>
      </w:r>
      <w:r>
        <w:rPr>
          <w:rFonts w:ascii="Times New Roman" w:eastAsia="Times New Roman" w:hAnsi="Times New Roman" w:cs="Times New Roman"/>
          <w:sz w:val="20"/>
        </w:rPr>
        <w:t xml:space="preserve"> </w:t>
      </w:r>
      <w:r>
        <w:rPr>
          <w:rFonts w:ascii="Times New Roman" w:eastAsia="Times New Roman" w:hAnsi="Times New Roman" w:cs="Times New Roman"/>
          <w:sz w:val="20"/>
        </w:rPr>
        <w:t>Accordingly, new and revised Privacy Laws, together with stepped-up enforcement of existing Privacy Laws, could significantly affect our current and planned privacy, data protection and information security-related practices, our collection, use, sharing, retention and safeguarding of consumer and/or employee information</w:t>
      </w:r>
      <w:r>
        <w:rPr>
          <w:rFonts w:ascii="Times New Roman" w:eastAsia="Times New Roman" w:hAnsi="Times New Roman" w:cs="Times New Roman"/>
          <w:sz w:val="20"/>
        </w:rPr>
        <w:t>,</w:t>
      </w:r>
      <w:r>
        <w:rPr>
          <w:rFonts w:ascii="Times New Roman" w:eastAsia="Times New Roman" w:hAnsi="Times New Roman" w:cs="Times New Roman"/>
          <w:sz w:val="20"/>
        </w:rPr>
        <w:t xml:space="preserve"> and some of our current or planned business activities.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Furthermore, the U.S. Digital Millennium Copyright Act has provisions that limit, but do not necessarily eliminate, our liability for linking to third-party websites that contain materials that infringe copyrights or other intellectual property rights of third parties, so long as we comply with the statutory requirements of this act. Complying with these various laws could cause us to incur substantial costs or require us to change our business practices in a manner adverse to our business.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as an e-commerce service provider, are subject to Section 5 of the Federal Trade Commission Act of 1914 (the “FTC Act”), which prohibits unfair or deceptive acts or practices, including advertising and marketing on the Internet. At the state level, a majority of states have consumer protection laws similar to the FTC Act that also prohibit unfair and deceptive business practices. In certain cases, we are retained by marketers to manage their advertising campaigns through our platforms, thereby increasing our exposure as not only the service provider but also the medium through which advertisements are broadcast. In addition to those requirements, the marketers, creators, and agencies that use our platforms are subject to specific guidance and regulations regarding online advertising, such as the </w:t>
      </w:r>
      <w:r>
        <w:rPr>
          <w:rFonts w:ascii="Times New Roman" w:eastAsia="Times New Roman" w:hAnsi="Times New Roman" w:cs="Times New Roman"/>
          <w:i/>
          <w:sz w:val="20"/>
        </w:rPr>
        <w:t>Dot Com Disclosures - Information about Online Advertising</w:t>
      </w:r>
      <w:r>
        <w:rPr>
          <w:rFonts w:ascii="Times New Roman" w:eastAsia="Times New Roman" w:hAnsi="Times New Roman" w:cs="Times New Roman"/>
          <w:sz w:val="20"/>
        </w:rPr>
        <w:t>, issued by the Federal Trade Commission (the “FTC”), the FTC’s Enforcement Policy Statement on Deceptively Formatted Advertisements, issued in 2015, and the FTC’s Guides Concerning the Use of Endorsements and Testimonials in Advertising (known as the Endorsement Guide) which were adopted in 2009, updated and reissued by the FTC in 2013, and further clarified in 2015 and are regularly enforced. The Endorsement Guide, for example, significantly extends the scope of potential liability associated with the use of testimonials and endorsements, including injecting endorsement requirements into advertising methods such as blogging, posting on Instagram, tweeting, and other online posting of sponsored advertisements by a creator. In particular, the Endorsement Guide provides that creators must always clearly and conspicuously disclose the material connection between the creator and the marketer, such as if they received consideration for blogging or posting about a particular product, service, brand or the like, whether the consideration comprises something tangible (i.e. cash, discounts, objects that are provided to them at no cost, even for testing purposes) or intangible (such as accolades and more prominent future blogging or posting opportunities). In addition, the creator must not make claims about the product or service he or she is discussing that go beyond what the marketer could say about the product or service. The Endorsement Guide further provides that the marketer should ensure that creators speaking on its behalf are provided guidance and training needed to ensure their claims, statements and representations are truthful, transparent and properly substantiated, and monitor the activities of creators speaking on its behalf. If a creator, blogger, agency or marketer should fail to comply with the Dot Com Disclosures, the Endorsement Guide or any other FTC rule, regulation or policy, which may be manifest by making deceptive, misleading or unsubstantiated claims and representations, failing to disclose a sponsorship relationship or otherwise, then various parties related to the advertising campaign (including the service provider of the platform over which the campaign is managed) may be subject to liability as a result of such non-compliance. In the event it was found that we (or one of our marketer customers) failed to comply with the FTC Act or state consumer protection laws, it could result in the potential imposition of equitable redress or penalties that could include monetary damages, a modification of certain business practices, or an order to cease certain aspects of our operations. Other countries, such as Canada and EU member states, also have laws, regulations and rules that mirror the FTC Endorsement Guide and similar consumer protection laws and guidance.</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More generally, if there is negative consumer perception and mistrust of the practice of compensating creators to endorse the marketers' specific products, then marketers may become less interested in using influencer marketing platforms like ours as a means for advertising which could, in turn, materially adversely affect our business and financial results.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are committed to promoting ethical social sponsorship practices and have established terms of service for users of our platforms, which refer to the Endorsement Guide and include one or more of the following:</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Mandatory Disclosure.</w:t>
      </w:r>
      <w:r>
        <w:rPr>
          <w:rFonts w:ascii="Times New Roman" w:eastAsia="Times New Roman" w:hAnsi="Times New Roman" w:cs="Times New Roman"/>
          <w:b/>
          <w:sz w:val="20"/>
        </w:rPr>
        <w:t xml:space="preserve"> </w:t>
      </w:r>
      <w:r>
        <w:rPr>
          <w:rFonts w:ascii="Times New Roman" w:eastAsia="Times New Roman" w:hAnsi="Times New Roman" w:cs="Times New Roman"/>
          <w:sz w:val="20"/>
        </w:rPr>
        <w:t>Our terms of servi</w:t>
      </w:r>
      <w:r>
        <w:rPr>
          <w:rFonts w:ascii="Times New Roman" w:eastAsia="Times New Roman" w:hAnsi="Times New Roman" w:cs="Times New Roman"/>
          <w:sz w:val="20"/>
        </w:rPr>
        <w:t>ce require t</w:t>
      </w:r>
      <w:r>
        <w:rPr>
          <w:rFonts w:ascii="Times New Roman" w:eastAsia="Times New Roman" w:hAnsi="Times New Roman" w:cs="Times New Roman"/>
          <w:sz w:val="20"/>
        </w:rPr>
        <w:t>he</w:t>
      </w:r>
      <w:r>
        <w:rPr>
          <w:rFonts w:ascii="Times New Roman" w:eastAsia="Times New Roman" w:hAnsi="Times New Roman" w:cs="Times New Roman"/>
          <w:sz w:val="20"/>
        </w:rPr>
        <w:t xml:space="preserve"> </w:t>
      </w:r>
      <w:r>
        <w:rPr>
          <w:rFonts w:ascii="Times New Roman" w:eastAsia="Times New Roman" w:hAnsi="Times New Roman" w:cs="Times New Roman"/>
          <w:sz w:val="20"/>
        </w:rPr>
        <w:t>disclosure of the sponsored relationship between the marketer and creator. By default, a sponsorship cannot be published through the platform unless a phrase or paragraph disclosing the sponsored relationship is included. For example, a creator is required to select one of a number of disclosure phrases such as “sponsored,” “advertisement” or “ad” prior to the publication of a tweet or a post. Other social sponsorship forms may be monitored through a Disclosure Audit tool that monitors posts on an ongoing basis to make sure they continue to include disclosure after the initial posts are approved. Failure to disclose the sponsored relationship is a violation of our terms of service, which may result in the withholding of payment for the sponsorship and the creator being removed from our network.</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Freedom of Choice.</w:t>
      </w:r>
      <w:r>
        <w:rPr>
          <w:rFonts w:ascii="Times New Roman" w:eastAsia="Times New Roman" w:hAnsi="Times New Roman" w:cs="Times New Roman"/>
          <w:b/>
          <w:sz w:val="20"/>
        </w:rPr>
        <w:t xml:space="preserve"> </w:t>
      </w:r>
      <w:r>
        <w:rPr>
          <w:rFonts w:ascii="Times New Roman" w:eastAsia="Times New Roman" w:hAnsi="Times New Roman" w:cs="Times New Roman"/>
          <w:sz w:val="20"/>
        </w:rPr>
        <w:t>Creators are free to choose which sponsorships to publish. Our platforms do not auto-inject a marketer's message into an influencer's social media network.</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Authentic Voice.</w:t>
      </w:r>
      <w:r>
        <w:rPr>
          <w:rFonts w:ascii="Times New Roman" w:eastAsia="Times New Roman" w:hAnsi="Times New Roman" w:cs="Times New Roman"/>
          <w:b/>
          <w:sz w:val="20"/>
        </w:rPr>
        <w:t xml:space="preserve"> </w:t>
      </w:r>
      <w:r>
        <w:rPr>
          <w:rFonts w:ascii="Times New Roman" w:eastAsia="Times New Roman" w:hAnsi="Times New Roman" w:cs="Times New Roman"/>
          <w:sz w:val="20"/>
        </w:rPr>
        <w:t>We encourage honesty of opinion in the selection of sponsorships by a creator and similarly we encourage marketers to create opportunities that allow the creator to write the sponsorship in their own words, provided that a creator always adheres to our terms of service and code of ethics which includes disclosing their sponsored relationships at all times while using any of the platforms.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Transparency of Identity.</w:t>
      </w:r>
      <w:r>
        <w:rPr>
          <w:rFonts w:ascii="Times New Roman" w:eastAsia="Times New Roman" w:hAnsi="Times New Roman" w:cs="Times New Roman"/>
          <w:b/>
          <w:sz w:val="20"/>
        </w:rPr>
        <w:t xml:space="preserve"> </w:t>
      </w:r>
      <w:r>
        <w:rPr>
          <w:rFonts w:ascii="Times New Roman" w:eastAsia="Times New Roman" w:hAnsi="Times New Roman" w:cs="Times New Roman"/>
          <w:sz w:val="20"/>
        </w:rPr>
        <w:t>Our platforms are designed to be open, safe environment for our marketers, creators</w:t>
      </w:r>
      <w:r>
        <w:rPr>
          <w:rFonts w:ascii="Times New Roman" w:eastAsia="Times New Roman" w:hAnsi="Times New Roman" w:cs="Times New Roman"/>
          <w:sz w:val="20"/>
        </w:rPr>
        <w:t>,</w:t>
      </w:r>
      <w:r>
        <w:rPr>
          <w:rFonts w:ascii="Times New Roman" w:eastAsia="Times New Roman" w:hAnsi="Times New Roman" w:cs="Times New Roman"/>
          <w:sz w:val="20"/>
        </w:rPr>
        <w:t xml:space="preserve"> and users. In fact, we do not cloak the identities of marketers or creators. Both parties involved in a potential transaction can see each other's profiles and make informed decisions before engaging with each other.</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Pre-Publication Marketer Review.</w:t>
      </w:r>
      <w:r>
        <w:rPr>
          <w:rFonts w:ascii="Times New Roman" w:eastAsia="Times New Roman" w:hAnsi="Times New Roman" w:cs="Times New Roman"/>
          <w:b/>
          <w:sz w:val="20"/>
        </w:rPr>
        <w:t xml:space="preserve"> </w:t>
      </w:r>
      <w:r>
        <w:rPr>
          <w:rFonts w:ascii="Times New Roman" w:eastAsia="Times New Roman" w:hAnsi="Times New Roman" w:cs="Times New Roman"/>
          <w:sz w:val="20"/>
        </w:rPr>
        <w:t>Marketers may choose to review their sponsored content before it is published and to request a change to the sponsored content prior to publication in the case of factual inaccuracies.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Reporting Violations.</w:t>
      </w:r>
      <w:r>
        <w:rPr>
          <w:rFonts w:ascii="Times New Roman" w:eastAsia="Times New Roman" w:hAnsi="Times New Roman" w:cs="Times New Roman"/>
          <w:b/>
          <w:sz w:val="20"/>
        </w:rPr>
        <w:t xml:space="preserve"> </w:t>
      </w:r>
      <w:r>
        <w:rPr>
          <w:rFonts w:ascii="Times New Roman" w:eastAsia="Times New Roman" w:hAnsi="Times New Roman" w:cs="Times New Roman"/>
          <w:sz w:val="20"/>
        </w:rPr>
        <w:t>We have zero tolerance for violations of our terms of service and encourage the reporting of violations directly to IZEA. If violations are reported, we promptly investigate them and in appropriate cases, marketers, creators</w:t>
      </w:r>
      <w:r>
        <w:rPr>
          <w:rFonts w:ascii="Times New Roman" w:eastAsia="Times New Roman" w:hAnsi="Times New Roman" w:cs="Times New Roman"/>
          <w:sz w:val="20"/>
        </w:rPr>
        <w:t>,</w:t>
      </w:r>
      <w:r>
        <w:rPr>
          <w:rFonts w:ascii="Times New Roman" w:eastAsia="Times New Roman" w:hAnsi="Times New Roman" w:cs="Times New Roman"/>
          <w:sz w:val="20"/>
        </w:rPr>
        <w:t xml:space="preserve"> and users are removed from our network and prohibited from using our sites.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also believe, and have</w:t>
      </w:r>
      <w:r>
        <w:rPr>
          <w:rFonts w:ascii="Times New Roman" w:eastAsia="Times New Roman" w:hAnsi="Times New Roman" w:cs="Times New Roman"/>
          <w:sz w:val="20"/>
        </w:rPr>
        <w:t xml:space="preserve"> subsequently</w:t>
      </w:r>
      <w:r>
        <w:rPr>
          <w:rFonts w:ascii="Times New Roman" w:eastAsia="Times New Roman" w:hAnsi="Times New Roman" w:cs="Times New Roman"/>
          <w:sz w:val="20"/>
        </w:rPr>
        <w:t xml:space="preserve"> included requirements within our terms of service, based on positions taken by certain federal courts and the FTC, that communications and messages disseminated </w:t>
      </w:r>
      <w:r>
        <w:rPr>
          <w:rFonts w:ascii="Times New Roman" w:eastAsia="Times New Roman" w:hAnsi="Times New Roman" w:cs="Times New Roman"/>
          <w:sz w:val="20"/>
        </w:rPr>
        <w:t xml:space="preserve">by </w:t>
      </w:r>
      <w:r>
        <w:rPr>
          <w:rFonts w:ascii="Times New Roman" w:eastAsia="Times New Roman" w:hAnsi="Times New Roman" w:cs="Times New Roman"/>
          <w:sz w:val="20"/>
        </w:rPr>
        <w:t>our platform users</w:t>
      </w:r>
      <w:r>
        <w:rPr>
          <w:rFonts w:ascii="Times New Roman" w:eastAsia="Times New Roman" w:hAnsi="Times New Roman" w:cs="Times New Roman"/>
          <w:sz w:val="20"/>
        </w:rPr>
        <w:t xml:space="preserve"> are subject to and must comply at all times with CAN-SPAM Act of 2003 (Controlling the Assault of Non-Solicited Pornography and Marketing Act) requirements.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To date, we have not been materially impacted by the rules governing messaging over social media networks and social sponsorship, including the CAN-SPAM Act and the Telephone Consumer Protection Act of 1991. However, we cannot predict the impact of future regulations on us and marketers and creators who use our platforms, nor can we predict the impact of attempts to circumvent our mechanisms that are designed to ensure compliance.</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Employees</w:t>
      </w:r>
    </w:p>
    <w:p>
      <w:pPr>
        <w:keepNext/>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December 31, 2020</w:t>
      </w:r>
      <w:r>
        <w:rPr>
          <w:rFonts w:ascii="Times New Roman" w:eastAsia="Times New Roman" w:hAnsi="Times New Roman" w:cs="Times New Roman"/>
          <w:sz w:val="20"/>
        </w:rPr>
        <w:t>, we had a total of 1</w:t>
      </w:r>
      <w:r>
        <w:rPr>
          <w:rFonts w:ascii="Times New Roman" w:eastAsia="Times New Roman" w:hAnsi="Times New Roman" w:cs="Times New Roman"/>
          <w:sz w:val="20"/>
        </w:rPr>
        <w:t>07</w:t>
      </w:r>
      <w:r>
        <w:rPr>
          <w:rFonts w:ascii="Times New Roman" w:eastAsia="Times New Roman" w:hAnsi="Times New Roman" w:cs="Times New Roman"/>
          <w:sz w:val="20"/>
        </w:rPr>
        <w:t xml:space="preserve"> employees, of which 1</w:t>
      </w:r>
      <w:r>
        <w:rPr>
          <w:rFonts w:ascii="Times New Roman" w:eastAsia="Times New Roman" w:hAnsi="Times New Roman" w:cs="Times New Roman"/>
          <w:sz w:val="20"/>
        </w:rPr>
        <w:t>04</w:t>
      </w:r>
      <w:r>
        <w:rPr>
          <w:rFonts w:ascii="Times New Roman" w:eastAsia="Times New Roman" w:hAnsi="Times New Roman" w:cs="Times New Roman"/>
          <w:sz w:val="20"/>
        </w:rPr>
        <w:t xml:space="preserve"> were full-time employees, including </w:t>
      </w:r>
      <w:r>
        <w:rPr>
          <w:rFonts w:ascii="Times New Roman" w:eastAsia="Times New Roman" w:hAnsi="Times New Roman" w:cs="Times New Roman"/>
          <w:sz w:val="20"/>
        </w:rPr>
        <w:t>4</w:t>
      </w:r>
      <w:r>
        <w:rPr>
          <w:rFonts w:ascii="Times New Roman" w:eastAsia="Times New Roman" w:hAnsi="Times New Roman" w:cs="Times New Roman"/>
          <w:sz w:val="20"/>
        </w:rPr>
        <w:t>6</w:t>
      </w:r>
      <w:r>
        <w:rPr>
          <w:rFonts w:ascii="Times New Roman" w:eastAsia="Times New Roman" w:hAnsi="Times New Roman" w:cs="Times New Roman"/>
          <w:sz w:val="20"/>
        </w:rPr>
        <w:t xml:space="preserve"> in sales and marketing, </w:t>
      </w:r>
      <w:r>
        <w:rPr>
          <w:rFonts w:ascii="Times New Roman" w:eastAsia="Times New Roman" w:hAnsi="Times New Roman" w:cs="Times New Roman"/>
          <w:sz w:val="20"/>
        </w:rPr>
        <w:t>19</w:t>
      </w:r>
      <w:r>
        <w:rPr>
          <w:rFonts w:ascii="Times New Roman" w:eastAsia="Times New Roman" w:hAnsi="Times New Roman" w:cs="Times New Roman"/>
          <w:sz w:val="20"/>
        </w:rPr>
        <w:t xml:space="preserve"> in campaign fulfillment, </w:t>
      </w:r>
      <w:r>
        <w:rPr>
          <w:rFonts w:ascii="Times New Roman" w:eastAsia="Times New Roman" w:hAnsi="Times New Roman" w:cs="Times New Roman"/>
          <w:sz w:val="20"/>
        </w:rPr>
        <w:t>29</w:t>
      </w:r>
      <w:r>
        <w:rPr>
          <w:rFonts w:ascii="Times New Roman" w:eastAsia="Times New Roman" w:hAnsi="Times New Roman" w:cs="Times New Roman"/>
          <w:sz w:val="20"/>
        </w:rPr>
        <w:t xml:space="preserve"> in technology and development</w:t>
      </w:r>
      <w:r>
        <w:rPr>
          <w:rFonts w:ascii="Times New Roman" w:eastAsia="Times New Roman" w:hAnsi="Times New Roman" w:cs="Times New Roman"/>
          <w:sz w:val="20"/>
        </w:rPr>
        <w:t>,</w:t>
      </w:r>
      <w:r>
        <w:rPr>
          <w:rFonts w:ascii="Times New Roman" w:eastAsia="Times New Roman" w:hAnsi="Times New Roman" w:cs="Times New Roman"/>
          <w:sz w:val="20"/>
        </w:rPr>
        <w:t xml:space="preserve"> and 1</w:t>
      </w:r>
      <w:r>
        <w:rPr>
          <w:rFonts w:ascii="Times New Roman" w:eastAsia="Times New Roman" w:hAnsi="Times New Roman" w:cs="Times New Roman"/>
          <w:sz w:val="20"/>
        </w:rPr>
        <w:t>0</w:t>
      </w:r>
      <w:r>
        <w:rPr>
          <w:rFonts w:ascii="Times New Roman" w:eastAsia="Times New Roman" w:hAnsi="Times New Roman" w:cs="Times New Roman"/>
          <w:sz w:val="20"/>
        </w:rPr>
        <w:t xml:space="preserve"> in administration and finance. None of our employees are represented by a collective bargaining agreement, nor have we experienced any work stoppage. We consider our relationship with our employees to be good. Our future success depends on our continuing ability to attract and retain highly qualified engineers, sales and marketing, account management, and senior management personnel.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b/>
          <w:sz w:val="20"/>
        </w:rPr>
        <w:t>Available Information</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IZEA was founded in February 2006 under the name PayPerPost, Inc. and became a public company incorporated in the state of Nevada in May 2011. Effective August 20, 2018, we changed our name from IZEA, Inc. to IZEA Worldwide, Inc.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r>
        <w:rPr>
          <w:rFonts w:ascii="Times New Roman" w:eastAsia="Times New Roman" w:hAnsi="Times New Roman" w:cs="Times New Roman"/>
          <w:sz w:val="20"/>
        </w:rPr>
        <w:tab/>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executive offices are located at </w:t>
      </w:r>
      <w:r>
        <w:rPr>
          <w:rFonts w:ascii="Times New Roman" w:eastAsia="Times New Roman" w:hAnsi="Times New Roman" w:cs="Times New Roman"/>
          <w:sz w:val="20"/>
        </w:rPr>
        <w:t>501</w:t>
      </w:r>
      <w:r>
        <w:rPr>
          <w:rFonts w:ascii="Times New Roman" w:eastAsia="Times New Roman" w:hAnsi="Times New Roman" w:cs="Times New Roman"/>
          <w:sz w:val="20"/>
        </w:rPr>
        <w:t xml:space="preserve"> N. Orlando Avenue, Suite </w:t>
      </w:r>
      <w:r>
        <w:rPr>
          <w:rFonts w:ascii="Times New Roman" w:eastAsia="Times New Roman" w:hAnsi="Times New Roman" w:cs="Times New Roman"/>
          <w:sz w:val="20"/>
        </w:rPr>
        <w:t>313</w:t>
      </w:r>
      <w:r>
        <w:rPr>
          <w:rFonts w:ascii="Times New Roman" w:eastAsia="Times New Roman" w:hAnsi="Times New Roman" w:cs="Times New Roman"/>
          <w:sz w:val="20"/>
        </w:rPr>
        <w:t>,</w:t>
      </w:r>
      <w:r>
        <w:rPr>
          <w:rFonts w:ascii="Times New Roman" w:eastAsia="Times New Roman" w:hAnsi="Times New Roman" w:cs="Times New Roman"/>
          <w:sz w:val="20"/>
        </w:rPr>
        <w:t xml:space="preserve"> PMB 247</w:t>
      </w:r>
      <w:r>
        <w:rPr>
          <w:rFonts w:ascii="Times New Roman" w:eastAsia="Times New Roman" w:hAnsi="Times New Roman" w:cs="Times New Roman"/>
          <w:sz w:val="20"/>
        </w:rPr>
        <w:t xml:space="preserve"> Winter Park, FL 32789 and our telephone number is (407) 674-6911. </w:t>
      </w:r>
      <w:r>
        <w:rPr>
          <w:rFonts w:ascii="Times New Roman" w:eastAsia="Times New Roman" w:hAnsi="Times New Roman" w:cs="Times New Roman"/>
          <w:sz w:val="20"/>
        </w:rPr>
        <w:t>We maintain a corporate website at https://izea.com.</w:t>
      </w:r>
      <w:r>
        <w:rPr>
          <w:rFonts w:ascii="Times New Roman" w:eastAsia="Times New Roman" w:hAnsi="Times New Roman" w:cs="Times New Roman"/>
          <w:sz w:val="20"/>
        </w:rPr>
        <w:t> Our Annual Report, Quarterly Reports on Form 10-Q, Current Reports on Form 8-K, including exhibits, and amendments to those reports filed or furnished pursuant to Sections 13 or 15(d) of the Securities Exchange Act of 1934 are available free of charge on our website, as soon as reasonably practicable after they have been filed with or furnished to the U.S. Securities and Exchange Commission (“SEC”). Our SEC reports and other filings can be accessed through the investors section of our website, or through https://</w:t>
      </w:r>
      <w:r>
        <w:rPr>
          <w:rFonts w:ascii="Times New Roman" w:eastAsia="Times New Roman" w:hAnsi="Times New Roman" w:cs="Times New Roman"/>
          <w:sz w:val="20"/>
          <w:u w:val="single"/>
        </w:rPr>
        <w:t>www.sec.gov</w:t>
      </w:r>
      <w:r>
        <w:rPr>
          <w:rFonts w:ascii="Times New Roman" w:eastAsia="Times New Roman" w:hAnsi="Times New Roman" w:cs="Times New Roman"/>
          <w:sz w:val="20"/>
        </w:rPr>
        <w:t xml:space="preserve">. Information on our website does not constitute part of this Annual Report or any other report we file or furnish with the SEC.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76"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Investors and others should note that we use social media to communicate with our subscribers and the public about our Company, our services, new product developments and other matters. Any information that we consider to be material to an investor's evaluation of our Company will be included in filings accessible through the SEC website, and may also be disseminated using our investor relations website (https://izea.com) and press releases. However, we encourage investors, the media, and others interested in our Company to also review our social media channels @izea on Twitter</w:t>
      </w:r>
      <w:r>
        <w:rPr>
          <w:rFonts w:ascii="Times New Roman" w:eastAsia="Times New Roman" w:hAnsi="Times New Roman" w:cs="Times New Roman"/>
          <w:sz w:val="20"/>
        </w:rPr>
        <w:t xml:space="preserve">, </w:t>
      </w:r>
      <w:r>
        <w:rPr>
          <w:rFonts w:ascii="Times New Roman" w:eastAsia="Times New Roman" w:hAnsi="Times New Roman" w:cs="Times New Roman"/>
          <w:sz w:val="20"/>
        </w:rPr>
        <w:t>@izea on</w:t>
      </w:r>
      <w:r>
        <w:rPr>
          <w:rFonts w:ascii="Times New Roman" w:eastAsia="Times New Roman" w:hAnsi="Times New Roman" w:cs="Times New Roman"/>
          <w:sz w:val="20"/>
        </w:rPr>
        <w:t xml:space="preserve"> Instagram, </w:t>
      </w:r>
      <w:r>
        <w:rPr>
          <w:rFonts w:ascii="Times New Roman" w:eastAsia="Times New Roman" w:hAnsi="Times New Roman" w:cs="Times New Roman"/>
          <w:sz w:val="20"/>
        </w:rPr>
        <w:t xml:space="preserve"> and </w:t>
      </w:r>
      <w:r>
        <w:rPr>
          <w:rFonts w:ascii="Times New Roman" w:eastAsia="Times New Roman" w:hAnsi="Times New Roman" w:cs="Times New Roman"/>
          <w:sz w:val="20"/>
        </w:rPr>
        <w:t>IZEA</w:t>
      </w:r>
      <w:r>
        <w:rPr>
          <w:rFonts w:ascii="Times New Roman" w:eastAsia="Times New Roman" w:hAnsi="Times New Roman" w:cs="Times New Roman"/>
          <w:sz w:val="20"/>
        </w:rPr>
        <w:t xml:space="preserve"> on Facebook</w:t>
      </w:r>
      <w:r>
        <w:rPr>
          <w:rFonts w:ascii="Times New Roman" w:eastAsia="Times New Roman" w:hAnsi="Times New Roman" w:cs="Times New Roman"/>
          <w:sz w:val="20"/>
        </w:rPr>
        <w:t>. The information contained in these social media channels is not part of, and is not incorporated into or included in, this Annual Report.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pgSz w:w="12240" w:h="15840"/>
          <w:pgMar w:top="855" w:right="990" w:bottom="855" w:left="990" w:header="270" w:footer="270"/>
          <w:cols w:space="708"/>
        </w:sectPr>
      </w:pP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sz w:val="20"/>
        </w:rPr>
      </w:pPr>
      <w:bookmarkStart w:id="5" w:name="Section6"/>
      <w:bookmarkEnd w:id="5"/>
    </w:p>
    <w:p>
      <w:pPr>
        <w:keepNext/>
        <w:keepLines/>
        <w:pageBreakBefore/>
        <w:widowControl w:val="0"/>
        <w:numPr>
          <w:ilvl w:val="0"/>
          <w:numId w:val="0"/>
        </w:numPr>
        <w:spacing w:before="0" w:after="0" w:line="288" w:lineRule="auto"/>
        <w:ind w:left="0" w:right="0" w:firstLine="0"/>
        <w:jc w:val="both"/>
        <w:outlineLvl w:val="1"/>
        <w:rPr>
          <w:rFonts w:ascii="Times New Roman" w:eastAsia="Times New Roman" w:hAnsi="Times New Roman" w:cs="Times New Roman"/>
          <w:sz w:val="20"/>
        </w:rPr>
      </w:pPr>
      <w:r>
        <w:rPr>
          <w:rFonts w:ascii="Times New Roman" w:eastAsia="Times New Roman" w:hAnsi="Times New Roman" w:cs="Times New Roman"/>
          <w:b/>
          <w:sz w:val="20"/>
        </w:rPr>
        <w:t xml:space="preserve">ITEM 1A – </w:t>
      </w:r>
      <w:r>
        <w:rPr>
          <w:rFonts w:ascii="Times New Roman" w:eastAsia="Times New Roman" w:hAnsi="Times New Roman" w:cs="Times New Roman"/>
          <w:b/>
          <w:sz w:val="20"/>
        </w:rPr>
        <w:t>RISK FACTORS</w:t>
      </w: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Y</w:t>
      </w:r>
      <w:r>
        <w:rPr>
          <w:rFonts w:ascii="Times New Roman" w:eastAsia="Times New Roman" w:hAnsi="Times New Roman" w:cs="Times New Roman"/>
          <w:sz w:val="20"/>
        </w:rPr>
        <w:t xml:space="preserve">ou should carefully consider the factors discussed under </w:t>
      </w:r>
      <w:r>
        <w:rPr>
          <w:rFonts w:ascii="Times New Roman" w:eastAsia="Times New Roman" w:hAnsi="Times New Roman" w:cs="Times New Roman"/>
          <w:sz w:val="20"/>
        </w:rPr>
        <w:t>this item</w:t>
      </w:r>
      <w:r>
        <w:rPr>
          <w:rFonts w:ascii="Times New Roman" w:eastAsia="Times New Roman" w:hAnsi="Times New Roman" w:cs="Times New Roman"/>
          <w:sz w:val="20"/>
        </w:rPr>
        <w:t xml:space="preserve"> regarding the numerous and varied risks, known and unknown, that may prevent us from achieving our goals. If any of these risks actually occur, our business, financial condition or results of operation may be materially and adversely affected. In such case, the trading price of our common stock could decline, and investors could lose all or part of their investment. These risk factors may not identify all risks that we face, and our operations could also be affected by factors that are not presently known to us or that we currently consider to be immaterial to our operations. </w:t>
      </w: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Risks Related to our Business and Industry</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We have a history of annual net losses, expect future losses and cannot assure you that we will achieve profitability.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have incurred significant net losses and negative cash flow from operations for most periods since our inception, which has resulted in a total accumulated deficit of </w:t>
      </w:r>
      <w:r>
        <w:rPr>
          <w:rFonts w:ascii="Times New Roman" w:eastAsia="Times New Roman" w:hAnsi="Times New Roman" w:cs="Times New Roman"/>
          <w:sz w:val="20"/>
        </w:rPr>
        <w:t>$70,634,776</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we had a net loss of </w:t>
      </w:r>
      <w:r>
        <w:rPr>
          <w:rFonts w:ascii="Times New Roman" w:eastAsia="Times New Roman" w:hAnsi="Times New Roman" w:cs="Times New Roman"/>
          <w:sz w:val="20"/>
        </w:rPr>
        <w:t>$10,250,007</w:t>
      </w:r>
      <w:r>
        <w:rPr>
          <w:rFonts w:ascii="Times New Roman" w:eastAsia="Times New Roman" w:hAnsi="Times New Roman" w:cs="Times New Roman"/>
          <w:sz w:val="20"/>
        </w:rPr>
        <w:t xml:space="preserve">, including a </w:t>
      </w:r>
      <w:r>
        <w:rPr>
          <w:rFonts w:ascii="Times New Roman" w:eastAsia="Times New Roman" w:hAnsi="Times New Roman" w:cs="Times New Roman"/>
          <w:sz w:val="20"/>
        </w:rPr>
        <w:t>$10,233,703</w:t>
      </w:r>
      <w:r>
        <w:rPr>
          <w:rFonts w:ascii="Times New Roman" w:eastAsia="Times New Roman" w:hAnsi="Times New Roman" w:cs="Times New Roman"/>
          <w:sz w:val="20"/>
        </w:rPr>
        <w:t xml:space="preserve"> loss from operations.</w:t>
      </w:r>
      <w:r>
        <w:rPr>
          <w:rFonts w:ascii="Times New Roman" w:eastAsia="Times New Roman" w:hAnsi="Times New Roman" w:cs="Times New Roman"/>
          <w:sz w:val="20"/>
        </w:rPr>
        <w:t> We have not achieved profitability and cannot be certain that we will be able to realize sufficient revenue to achieve profitability. If we achieve profitability, we may not be able to sustain it. Therefore,</w:t>
      </w:r>
      <w:r>
        <w:rPr>
          <w:rFonts w:ascii="Times New Roman" w:eastAsia="Times New Roman" w:hAnsi="Times New Roman" w:cs="Times New Roman"/>
          <w:sz w:val="20"/>
        </w:rPr>
        <w:t xml:space="preserve"> we may need to raise capital through new financings, which could include equity financing, such as additional issuances of common stock under our at the market offering program, which may be dilutive to stockholders, or debt financing, which would likely restrict our ability to borrow from other sources. In addition, securities we issue may contain rights, preferences or privileges senior to those of the rights of our current stockholders. There can be no assurance that additional funds will be available on terms attractive to us, or at all. If adequate funds are not available, we may be required to curtail or reduce our operations or forced to sell or dispose of our rights or assets. An inability to raise adequate funds on commercially reasonable terms would have a material adverse effect on our business, results of operation</w:t>
      </w:r>
      <w:r>
        <w:rPr>
          <w:rFonts w:ascii="Times New Roman" w:eastAsia="Times New Roman" w:hAnsi="Times New Roman" w:cs="Times New Roman"/>
          <w:sz w:val="20"/>
        </w:rPr>
        <w:t>,</w:t>
      </w:r>
      <w:r>
        <w:rPr>
          <w:rFonts w:ascii="Times New Roman" w:eastAsia="Times New Roman" w:hAnsi="Times New Roman" w:cs="Times New Roman"/>
          <w:sz w:val="20"/>
        </w:rPr>
        <w:t xml:space="preserve"> and financial condition, including the possibility that a lack of funds could cause our business to fail and liquidate with little or no return to investors.</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left"/>
        <w:outlineLvl w:val="9"/>
        <w:rPr>
          <w:rFonts w:ascii="Arial" w:eastAsia="Arial" w:hAnsi="Arial" w:cs="Arial"/>
          <w:sz w:val="24"/>
        </w:rPr>
      </w:pPr>
      <w:r>
        <w:rPr>
          <w:rFonts w:ascii="Times New Roman" w:eastAsia="Times New Roman" w:hAnsi="Times New Roman" w:cs="Times New Roman"/>
          <w:b/>
          <w:i/>
          <w:sz w:val="20"/>
        </w:rPr>
        <w:t>Our business has been affected by the COVID-19 pandemic, and the continuing impacts of COVID-19 are highly unpredictable and could have a significant adverse effect on our business, results of operations, financial condition</w:t>
      </w:r>
      <w:r>
        <w:rPr>
          <w:rFonts w:ascii="Times New Roman" w:eastAsia="Times New Roman" w:hAnsi="Times New Roman" w:cs="Times New Roman"/>
          <w:b/>
          <w:i/>
          <w:sz w:val="20"/>
        </w:rPr>
        <w:t>,</w:t>
      </w:r>
      <w:r>
        <w:rPr>
          <w:rFonts w:ascii="Times New Roman" w:eastAsia="Times New Roman" w:hAnsi="Times New Roman" w:cs="Times New Roman"/>
          <w:b/>
          <w:i/>
          <w:sz w:val="20"/>
        </w:rPr>
        <w:t xml:space="preserve"> and cash flows in the futur</w:t>
      </w:r>
      <w:r>
        <w:rPr>
          <w:rFonts w:ascii="Times New Roman" w:eastAsia="Times New Roman" w:hAnsi="Times New Roman" w:cs="Times New Roman"/>
          <w:b/>
          <w:i/>
          <w:sz w:val="20"/>
        </w:rPr>
        <w:t>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color w:val="1A1A1A"/>
          <w:sz w:val="20"/>
        </w:rPr>
        <w:t>I</w:t>
      </w:r>
      <w:r>
        <w:rPr>
          <w:rFonts w:ascii="Times New Roman" w:eastAsia="Times New Roman" w:hAnsi="Times New Roman" w:cs="Times New Roman"/>
          <w:color w:val="1A1A1A"/>
          <w:sz w:val="20"/>
        </w:rPr>
        <w:t>n March</w:t>
      </w:r>
      <w:r>
        <w:rPr>
          <w:rFonts w:ascii="Times New Roman" w:eastAsia="Times New Roman" w:hAnsi="Times New Roman" w:cs="Times New Roman"/>
          <w:color w:val="1A1A1A"/>
          <w:sz w:val="20"/>
        </w:rPr>
        <w:t xml:space="preserve"> 2020, the World Health Organization declared the outbreak of the novel coronavirus (COVID-19) as a global pandemic and recommended containment and mitigation measures worldwide. As the </w:t>
      </w:r>
      <w:r>
        <w:rPr>
          <w:rFonts w:ascii="Times New Roman" w:eastAsia="Times New Roman" w:hAnsi="Times New Roman" w:cs="Times New Roman"/>
          <w:color w:val="1A1A1A"/>
          <w:sz w:val="20"/>
        </w:rPr>
        <w:t>dise</w:t>
      </w:r>
      <w:r>
        <w:rPr>
          <w:rFonts w:ascii="Times New Roman" w:eastAsia="Times New Roman" w:hAnsi="Times New Roman" w:cs="Times New Roman"/>
          <w:color w:val="1A1A1A"/>
          <w:sz w:val="20"/>
        </w:rPr>
        <w:t xml:space="preserve">ase </w:t>
      </w:r>
      <w:r>
        <w:rPr>
          <w:rFonts w:ascii="Times New Roman" w:eastAsia="Times New Roman" w:hAnsi="Times New Roman" w:cs="Times New Roman"/>
          <w:color w:val="1A1A1A"/>
          <w:sz w:val="20"/>
        </w:rPr>
        <w:t xml:space="preserve">spread </w:t>
      </w:r>
      <w:r>
        <w:rPr>
          <w:rFonts w:ascii="Times New Roman" w:eastAsia="Times New Roman" w:hAnsi="Times New Roman" w:cs="Times New Roman"/>
          <w:color w:val="1A1A1A"/>
          <w:sz w:val="20"/>
        </w:rPr>
        <w:t xml:space="preserve">throughout the United States, we </w:t>
      </w:r>
      <w:r>
        <w:rPr>
          <w:rFonts w:ascii="Times New Roman" w:eastAsia="Times New Roman" w:hAnsi="Times New Roman" w:cs="Times New Roman"/>
          <w:color w:val="1A1A1A"/>
          <w:sz w:val="20"/>
        </w:rPr>
        <w:t>directed all of our staff to work from home effective March 16, 2020</w:t>
      </w:r>
      <w:r>
        <w:rPr>
          <w:rFonts w:ascii="Times New Roman" w:eastAsia="Times New Roman" w:hAnsi="Times New Roman" w:cs="Times New Roman"/>
          <w:color w:val="1A1A1A"/>
          <w:sz w:val="20"/>
        </w:rPr>
        <w:t xml:space="preserve"> and subsequently did not renew leases for our headquarters and temporary office spaces to reduce</w:t>
      </w:r>
      <w:r>
        <w:rPr>
          <w:rFonts w:ascii="Times New Roman" w:eastAsia="Times New Roman" w:hAnsi="Times New Roman" w:cs="Times New Roman"/>
          <w:color w:val="1A1A1A"/>
          <w:sz w:val="20"/>
        </w:rPr>
        <w:t xml:space="preserve"> fixed costs. We intend to have all employees work remotely for the foreseeable future to protect their health and safety</w:t>
      </w:r>
      <w:r>
        <w:rPr>
          <w:rFonts w:ascii="Times New Roman" w:eastAsia="Times New Roman" w:hAnsi="Times New Roman" w:cs="Times New Roman"/>
          <w:color w:val="1A1A1A"/>
          <w:sz w:val="20"/>
        </w:rPr>
        <w:t xml:space="preserve">. We believe our business operations and ability to support our customers are fully functional while our employees are working from remote locations; however, their productivity and efficiency may be negatively affected, and we may face increased risk of interruptions. </w:t>
      </w:r>
      <w:r>
        <w:rPr>
          <w:rFonts w:ascii="Times New Roman" w:eastAsia="Times New Roman" w:hAnsi="Times New Roman" w:cs="Times New Roman"/>
          <w:color w:val="1A1A1A"/>
          <w:sz w:val="20"/>
        </w:rPr>
        <w:t>Although countries have begun to distribute vaccinations, many countries face challenges in doing so and new variants of COVID-19 have been identified, and it is uncertain how quickly and effectively such vaccinations will help to control the spread of COVID-19.</w:t>
      </w:r>
      <w:r>
        <w:rPr>
          <w:rFonts w:ascii="Times New Roman" w:eastAsia="Times New Roman" w:hAnsi="Times New Roman" w:cs="Times New Roman"/>
          <w:color w:val="1A1A1A"/>
          <w:sz w:val="20"/>
        </w:rPr>
        <w:t xml:space="preserve"> </w:t>
      </w:r>
      <w:r>
        <w:rPr>
          <w:rFonts w:ascii="Times New Roman" w:eastAsia="Times New Roman" w:hAnsi="Times New Roman" w:cs="Times New Roman"/>
          <w:color w:val="1A1A1A"/>
          <w:sz w:val="20"/>
        </w:rPr>
        <w:t xml:space="preserve">Therefore, there remains </w:t>
      </w:r>
      <w:r>
        <w:rPr>
          <w:rFonts w:ascii="Times New Roman" w:eastAsia="Times New Roman" w:hAnsi="Times New Roman" w:cs="Times New Roman"/>
          <w:color w:val="1A1A1A"/>
          <w:sz w:val="20"/>
        </w:rPr>
        <w:t>uncertainty around the duration and the total economic impact</w:t>
      </w:r>
      <w:r>
        <w:rPr>
          <w:rFonts w:ascii="Times New Roman" w:eastAsia="Times New Roman" w:hAnsi="Times New Roman" w:cs="Times New Roman"/>
          <w:color w:val="1A1A1A"/>
          <w:sz w:val="20"/>
        </w:rPr>
        <w:t xml:space="preserve"> of the pandemic</w:t>
      </w:r>
      <w:r>
        <w:rPr>
          <w:rFonts w:ascii="Times New Roman" w:eastAsia="Times New Roman" w:hAnsi="Times New Roman" w:cs="Times New Roman"/>
          <w:color w:val="1A1A1A"/>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business relies heavily on people, and adverse events such as health-related concerns</w:t>
      </w:r>
      <w:r>
        <w:rPr>
          <w:rFonts w:ascii="Times New Roman" w:eastAsia="Times New Roman" w:hAnsi="Times New Roman" w:cs="Times New Roman"/>
          <w:sz w:val="20"/>
        </w:rPr>
        <w:t xml:space="preserve"> and changes in family working conditions</w:t>
      </w:r>
      <w:r>
        <w:rPr>
          <w:rFonts w:ascii="Times New Roman" w:eastAsia="Times New Roman" w:hAnsi="Times New Roman" w:cs="Times New Roman"/>
          <w:sz w:val="20"/>
        </w:rPr>
        <w:t xml:space="preserve"> experienced by our employees, the inability to travel and other matters affecting the general work environment </w:t>
      </w:r>
      <w:r>
        <w:rPr>
          <w:rFonts w:ascii="Times New Roman" w:eastAsia="Times New Roman" w:hAnsi="Times New Roman" w:cs="Times New Roman"/>
          <w:sz w:val="20"/>
        </w:rPr>
        <w:t>have</w:t>
      </w:r>
      <w:r>
        <w:rPr>
          <w:rFonts w:ascii="Times New Roman" w:eastAsia="Times New Roman" w:hAnsi="Times New Roman" w:cs="Times New Roman"/>
          <w:sz w:val="20"/>
        </w:rPr>
        <w:t xml:space="preserve"> impact</w:t>
      </w:r>
      <w:r>
        <w:rPr>
          <w:rFonts w:ascii="Times New Roman" w:eastAsia="Times New Roman" w:hAnsi="Times New Roman" w:cs="Times New Roman"/>
          <w:sz w:val="20"/>
        </w:rPr>
        <w:t>ed</w:t>
      </w:r>
      <w:r>
        <w:rPr>
          <w:rFonts w:ascii="Times New Roman" w:eastAsia="Times New Roman" w:hAnsi="Times New Roman" w:cs="Times New Roman"/>
          <w:sz w:val="20"/>
        </w:rPr>
        <w:t xml:space="preserve"> our business near term. </w:t>
      </w:r>
      <w:r>
        <w:rPr>
          <w:rFonts w:ascii="Times New Roman" w:eastAsia="Times New Roman" w:hAnsi="Times New Roman" w:cs="Times New Roman"/>
          <w:sz w:val="20"/>
        </w:rPr>
        <w:t xml:space="preserve">We </w:t>
      </w:r>
      <w:r>
        <w:rPr>
          <w:rFonts w:ascii="Times New Roman" w:eastAsia="Times New Roman" w:hAnsi="Times New Roman" w:cs="Times New Roman"/>
          <w:sz w:val="20"/>
        </w:rPr>
        <w:t xml:space="preserve">have changed the way we interact </w:t>
      </w:r>
      <w:r>
        <w:rPr>
          <w:rFonts w:ascii="Times New Roman" w:eastAsia="Times New Roman" w:hAnsi="Times New Roman" w:cs="Times New Roman"/>
          <w:sz w:val="20"/>
        </w:rPr>
        <w:t>with our customers and</w:t>
      </w:r>
      <w:r>
        <w:rPr>
          <w:rFonts w:ascii="Times New Roman" w:eastAsia="Times New Roman" w:hAnsi="Times New Roman" w:cs="Times New Roman"/>
          <w:sz w:val="20"/>
        </w:rPr>
        <w:t xml:space="preserve"> pivoted to provide alternative fo</w:t>
      </w:r>
      <w:r>
        <w:rPr>
          <w:rFonts w:ascii="Times New Roman" w:eastAsia="Times New Roman" w:hAnsi="Times New Roman" w:cs="Times New Roman"/>
          <w:sz w:val="20"/>
        </w:rPr>
        <w:t xml:space="preserve">rms of advertising for </w:t>
      </w:r>
      <w:r>
        <w:rPr>
          <w:rFonts w:ascii="Times New Roman" w:eastAsia="Times New Roman" w:hAnsi="Times New Roman" w:cs="Times New Roman"/>
          <w:sz w:val="20"/>
        </w:rPr>
        <w:t xml:space="preserve">our </w:t>
      </w:r>
      <w:r>
        <w:rPr>
          <w:rFonts w:ascii="Times New Roman" w:eastAsia="Times New Roman" w:hAnsi="Times New Roman" w:cs="Times New Roman"/>
          <w:sz w:val="20"/>
        </w:rPr>
        <w:t>customer campaigns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large social gatherings were cancelled </w:t>
      </w:r>
      <w:r>
        <w:rPr>
          <w:rFonts w:ascii="Times New Roman" w:eastAsia="Times New Roman" w:hAnsi="Times New Roman" w:cs="Times New Roman"/>
          <w:sz w:val="20"/>
        </w:rPr>
        <w:t>during th</w:t>
      </w:r>
      <w:r>
        <w:rPr>
          <w:rFonts w:ascii="Times New Roman" w:eastAsia="Times New Roman" w:hAnsi="Times New Roman" w:cs="Times New Roman"/>
          <w:sz w:val="20"/>
        </w:rPr>
        <w:t>e year</w:t>
      </w:r>
      <w:r>
        <w:rPr>
          <w:rFonts w:ascii="Times New Roman" w:eastAsia="Times New Roman" w:hAnsi="Times New Roman" w:cs="Times New Roman"/>
          <w:sz w:val="20"/>
        </w:rPr>
        <w:t xml:space="preserve">. </w:t>
      </w:r>
      <w:r>
        <w:rPr>
          <w:rFonts w:ascii="Times New Roman" w:eastAsia="Times New Roman" w:hAnsi="Times New Roman" w:cs="Times New Roman"/>
          <w:sz w:val="20"/>
        </w:rPr>
        <w:t>T</w:t>
      </w:r>
      <w:r>
        <w:rPr>
          <w:rFonts w:ascii="Times New Roman" w:eastAsia="Times New Roman" w:hAnsi="Times New Roman" w:cs="Times New Roman"/>
          <w:sz w:val="20"/>
        </w:rPr>
        <w:t>he economic conditions caused by COVID-19 have negatively impacted the business activity of our customers, and we have observed declining demand and changes in their advertising decisions, timing</w:t>
      </w:r>
      <w:r>
        <w:rPr>
          <w:rFonts w:ascii="Times New Roman" w:eastAsia="Times New Roman" w:hAnsi="Times New Roman" w:cs="Times New Roman"/>
          <w:sz w:val="20"/>
        </w:rPr>
        <w:t>,</w:t>
      </w:r>
      <w:r>
        <w:rPr>
          <w:rFonts w:ascii="Times New Roman" w:eastAsia="Times New Roman" w:hAnsi="Times New Roman" w:cs="Times New Roman"/>
          <w:sz w:val="20"/>
        </w:rPr>
        <w:t xml:space="preserve"> and spending priorities, which </w:t>
      </w:r>
      <w:r>
        <w:rPr>
          <w:rFonts w:ascii="Times New Roman" w:eastAsia="Times New Roman" w:hAnsi="Times New Roman" w:cs="Times New Roman"/>
          <w:sz w:val="20"/>
        </w:rPr>
        <w:t>have had</w:t>
      </w:r>
      <w:r>
        <w:rPr>
          <w:rFonts w:ascii="Times New Roman" w:eastAsia="Times New Roman" w:hAnsi="Times New Roman" w:cs="Times New Roman"/>
          <w:sz w:val="20"/>
        </w:rPr>
        <w:t xml:space="preserve"> </w:t>
      </w:r>
      <w:r>
        <w:rPr>
          <w:rFonts w:ascii="Times New Roman" w:eastAsia="Times New Roman" w:hAnsi="Times New Roman" w:cs="Times New Roman"/>
          <w:color w:val="1A1A1A"/>
          <w:sz w:val="20"/>
        </w:rPr>
        <w:t xml:space="preserve">a negative impact to our sales. </w:t>
      </w:r>
      <w:r>
        <w:rPr>
          <w:rFonts w:ascii="Times New Roman" w:eastAsia="Times New Roman" w:hAnsi="Times New Roman" w:cs="Times New Roman"/>
          <w:sz w:val="20"/>
        </w:rPr>
        <w:t xml:space="preserve">We cannot fully quantify the impact to our business operations as a result of </w:t>
      </w:r>
      <w:r>
        <w:rPr>
          <w:rFonts w:ascii="Times New Roman" w:eastAsia="Times New Roman" w:hAnsi="Times New Roman" w:cs="Times New Roman"/>
          <w:color w:val="1A1A1A"/>
          <w:sz w:val="20"/>
        </w:rPr>
        <w:t xml:space="preserve">COVID-19 at this time. </w:t>
      </w:r>
      <w:r>
        <w:rPr>
          <w:rFonts w:ascii="Times New Roman" w:eastAsia="Times New Roman" w:hAnsi="Times New Roman" w:cs="Times New Roman"/>
          <w:sz w:val="20"/>
        </w:rPr>
        <w:t>Any of the foregoing could harm our business and we cannot anticipate all the ways in which the current global health crisis and financial market conditions could adversely impact our business.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outbreak and attempts to slow the spread of </w:t>
      </w:r>
      <w:r>
        <w:rPr>
          <w:rFonts w:ascii="Times New Roman" w:eastAsia="Times New Roman" w:hAnsi="Times New Roman" w:cs="Times New Roman"/>
          <w:color w:val="1A1A1A"/>
          <w:sz w:val="20"/>
        </w:rPr>
        <w:t>COVID-19</w:t>
      </w:r>
      <w:r>
        <w:rPr>
          <w:rFonts w:ascii="Times New Roman" w:eastAsia="Times New Roman" w:hAnsi="Times New Roman" w:cs="Times New Roman"/>
          <w:sz w:val="20"/>
        </w:rPr>
        <w:t> have resulted in extreme volatility and disruptions in the capital and credit markets</w:t>
      </w:r>
      <w:r>
        <w:rPr>
          <w:rFonts w:ascii="Times New Roman" w:eastAsia="Times New Roman" w:hAnsi="Times New Roman" w:cs="Times New Roman"/>
          <w:sz w:val="20"/>
        </w:rPr>
        <w:t>, and future trends remain uncertain</w:t>
      </w:r>
      <w:r>
        <w:rPr>
          <w:rFonts w:ascii="Times New Roman" w:eastAsia="Times New Roman" w:hAnsi="Times New Roman" w:cs="Times New Roman"/>
          <w:sz w:val="20"/>
        </w:rPr>
        <w:t>. A severe or prolonged economic downturn could result in a variety of additional risks to our business, including weakened demand from our customers and delays in client payments.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We have not extended our monthly arrangements for flexible office space in our remote offices, nor signed a new lease for our headquarters, which could negatively impact our business.</w:t>
      </w:r>
      <w:r>
        <w:rPr>
          <w:rFonts w:ascii="Times New Roman" w:eastAsia="Times New Roman" w:hAnsi="Times New Roman" w:cs="Times New Roman"/>
          <w:b/>
          <w:i/>
          <w:sz w:val="20"/>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In light of the uncertain and rapidly evolving situation relating to the spread of the COVID-19 - specifically stay-at-home orders imposed by certain states and localities - we did not enter into a new lease for our corporate headquarters in Winter Park, Florida and our Canadian headquarters in Toronto, Canada, for which both leases expired on April 30, 2020. Additionally, we have vacated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various co-working facilities our team members used around the country as their terms expired </w:t>
      </w:r>
      <w:r>
        <w:rPr>
          <w:rFonts w:ascii="Times New Roman" w:eastAsia="Times New Roman" w:hAnsi="Times New Roman" w:cs="Times New Roman"/>
          <w:sz w:val="20"/>
        </w:rPr>
        <w:t>during</w:t>
      </w:r>
      <w:r>
        <w:rPr>
          <w:rFonts w:ascii="Times New Roman" w:eastAsia="Times New Roman" w:hAnsi="Times New Roman" w:cs="Times New Roman"/>
          <w:sz w:val="20"/>
        </w:rPr>
        <w:t xml:space="preserve"> 2020. As a result, our management team and all of our employees </w:t>
      </w:r>
      <w:r>
        <w:rPr>
          <w:rFonts w:ascii="Times New Roman" w:eastAsia="Times New Roman" w:hAnsi="Times New Roman" w:cs="Times New Roman"/>
          <w:sz w:val="20"/>
        </w:rPr>
        <w:t>are working</w:t>
      </w:r>
      <w:r>
        <w:rPr>
          <w:rFonts w:ascii="Times New Roman" w:eastAsia="Times New Roman" w:hAnsi="Times New Roman" w:cs="Times New Roman"/>
          <w:sz w:val="20"/>
        </w:rPr>
        <w:t xml:space="preserve"> remotely</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While our employees are accustomed to working with other remote employees and customers, our workforce ha</w:t>
      </w:r>
      <w:r>
        <w:rPr>
          <w:rFonts w:ascii="Times New Roman" w:eastAsia="Times New Roman" w:hAnsi="Times New Roman" w:cs="Times New Roman"/>
          <w:sz w:val="20"/>
        </w:rPr>
        <w:t>d</w:t>
      </w:r>
      <w:r>
        <w:rPr>
          <w:rFonts w:ascii="Times New Roman" w:eastAsia="Times New Roman" w:hAnsi="Times New Roman" w:cs="Times New Roman"/>
          <w:sz w:val="20"/>
        </w:rPr>
        <w:t xml:space="preserve"> not </w:t>
      </w:r>
      <w:r>
        <w:rPr>
          <w:rFonts w:ascii="Times New Roman" w:eastAsia="Times New Roman" w:hAnsi="Times New Roman" w:cs="Times New Roman"/>
          <w:sz w:val="20"/>
        </w:rPr>
        <w:t xml:space="preserve">been fully remote prior to March 16, 2020, when we proactively instituted a work-from-home policy in response to COVID-19 concerns. Although we continue to monitor the situation and may adjust our current plans as more information and guidance become available, not doing business in-person could negatively impact our marketing efforts, challenge our ability to enter into customer contracts in a timely manner, </w:t>
      </w:r>
      <w:r>
        <w:rPr>
          <w:rFonts w:ascii="Times New Roman" w:eastAsia="Times New Roman" w:hAnsi="Times New Roman" w:cs="Times New Roman"/>
          <w:sz w:val="20"/>
        </w:rPr>
        <w:t>give rise to cybersecurity issues</w:t>
      </w:r>
      <w:r>
        <w:rPr>
          <w:rFonts w:ascii="Times New Roman" w:eastAsia="Times New Roman" w:hAnsi="Times New Roman" w:cs="Times New Roman"/>
          <w:sz w:val="20"/>
        </w:rPr>
        <w:t xml:space="preserve">, </w:t>
      </w:r>
      <w:r>
        <w:rPr>
          <w:rFonts w:ascii="Times New Roman" w:eastAsia="Times New Roman" w:hAnsi="Times New Roman" w:cs="Times New Roman"/>
          <w:sz w:val="20"/>
        </w:rPr>
        <w:t>slow down our recruiting efforts, or create operational or other challenges as we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adjust to a </w:t>
      </w:r>
      <w:r>
        <w:rPr>
          <w:rFonts w:ascii="Times New Roman" w:eastAsia="Times New Roman" w:hAnsi="Times New Roman" w:cs="Times New Roman"/>
          <w:sz w:val="20"/>
        </w:rPr>
        <w:t xml:space="preserve">fully-remote workforce, any of which could harm our business. Additionally, when we determine it prudent to end </w:t>
      </w:r>
      <w:r>
        <w:rPr>
          <w:rFonts w:ascii="Times New Roman" w:eastAsia="Times New Roman" w:hAnsi="Times New Roman" w:cs="Times New Roman"/>
          <w:sz w:val="20"/>
        </w:rPr>
        <w:t xml:space="preserve">or modify </w:t>
      </w:r>
      <w:r>
        <w:rPr>
          <w:rFonts w:ascii="Times New Roman" w:eastAsia="Times New Roman" w:hAnsi="Times New Roman" w:cs="Times New Roman"/>
          <w:sz w:val="20"/>
        </w:rPr>
        <w:t>our work-from-home policy, we will</w:t>
      </w:r>
      <w:r>
        <w:rPr>
          <w:rFonts w:ascii="Times New Roman" w:eastAsia="Times New Roman" w:hAnsi="Times New Roman" w:cs="Times New Roman"/>
          <w:sz w:val="20"/>
        </w:rPr>
        <w:t xml:space="preserve"> con</w:t>
      </w:r>
      <w:r>
        <w:rPr>
          <w:rFonts w:ascii="Times New Roman" w:eastAsia="Times New Roman" w:hAnsi="Times New Roman" w:cs="Times New Roman"/>
          <w:sz w:val="20"/>
        </w:rPr>
        <w:t>sider entering</w:t>
      </w:r>
      <w:r>
        <w:rPr>
          <w:rFonts w:ascii="Times New Roman" w:eastAsia="Times New Roman" w:hAnsi="Times New Roman" w:cs="Times New Roman"/>
          <w:sz w:val="20"/>
        </w:rPr>
        <w:t xml:space="preserve"> into a new lease for office space and/or arrangements for the use of co-working facilities. Although we believe suitable office space will be readily available when this time comes, we may encounter difficulties or delays in finalizing the terms of such lease arrangements or in obtaining rent prices at acceptable rates.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Impairment of our intangible assets has resulted in significant charges that adversely impact our operating results.</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assess the potential impairment of goodwill </w:t>
      </w:r>
      <w:r>
        <w:rPr>
          <w:rFonts w:ascii="Times New Roman" w:eastAsia="Times New Roman" w:hAnsi="Times New Roman" w:cs="Times New Roman"/>
          <w:sz w:val="20"/>
        </w:rPr>
        <w:t>on an annual basis, as well as whenever events or changes in circumstances indicate that the carrying value may not be recoverable. In March 2020, we identified a triggering event due to the reduction in projected revenue related to COVID-19 and the continuation of a market capitalization below our carrying value and uncertainty for recovery given the volatility of the capital markets surrounding COVID-19. We performed an interim assessment of goodwill and determined that the carrying value of the Company</w:t>
      </w:r>
      <w:r>
        <w:rPr>
          <w:rFonts w:ascii="Times New Roman" w:eastAsia="Times New Roman" w:hAnsi="Times New Roman" w:cs="Times New Roman"/>
          <w:sz w:val="20"/>
        </w:rPr>
        <w:t>’</w:t>
      </w:r>
      <w:r>
        <w:rPr>
          <w:rFonts w:ascii="Times New Roman" w:eastAsia="Times New Roman" w:hAnsi="Times New Roman" w:cs="Times New Roman"/>
          <w:sz w:val="20"/>
        </w:rPr>
        <w:t>s reporting un</w:t>
      </w:r>
      <w:r>
        <w:rPr>
          <w:rFonts w:ascii="Times New Roman" w:eastAsia="Times New Roman" w:hAnsi="Times New Roman" w:cs="Times New Roman"/>
          <w:sz w:val="20"/>
        </w:rPr>
        <w:t>it</w:t>
      </w:r>
      <w:r>
        <w:rPr>
          <w:rFonts w:ascii="Times New Roman" w:eastAsia="Times New Roman" w:hAnsi="Times New Roman" w:cs="Times New Roman"/>
          <w:sz w:val="20"/>
        </w:rPr>
        <w:t xml:space="preserve"> as of March 31, 2020 exceeded the fair value. Therefore, we recorded a </w:t>
      </w:r>
      <w:r>
        <w:rPr>
          <w:rFonts w:ascii="Times New Roman" w:eastAsia="Times New Roman" w:hAnsi="Times New Roman" w:cs="Times New Roman"/>
          <w:sz w:val="20"/>
        </w:rPr>
        <w:t>$4.3 million</w:t>
      </w:r>
      <w:r>
        <w:rPr>
          <w:rFonts w:ascii="Times New Roman" w:eastAsia="Times New Roman" w:hAnsi="Times New Roman" w:cs="Times New Roman"/>
          <w:sz w:val="20"/>
        </w:rPr>
        <w:t xml:space="preserve"> impairment of goodwill in the twelve months ended December 31, 2020. Future adverse changes in these or other unforeseeable factors could result in further impairment charges that would impact our results of operations and financial position in the reporting period identified.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0" w:line="28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We make numerous estimates or judgments relating to our critical accounting policies and these estimates create complexity in our accounting. If our accounting is erroneous or based on assumptions that change or prove to be incorrect, our operating results could change from investor expectations, which could cause our stock price to fall.</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are required to make estimates and assumptions that affect the amounts reported in the consolidated financial statements and accompanying notes in conformity with generally accepted accounting principles in the United States, or GAAP. Such estimates and assumptions include, but are not limited to, judgments related to revenue recognition, stock­ based compensation, credit risk, and values surrounding software development, intangible assets and goodwill, and their economic useful lives. </w:t>
      </w:r>
    </w:p>
    <w:p>
      <w:pPr>
        <w:keepNext w:val="0"/>
        <w:keepLines w:val="0"/>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w:t>
      </w:r>
    </w:p>
    <w:p>
      <w:pPr>
        <w:keepNext w:val="0"/>
        <w:keepLines w:val="0"/>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Various factors contribute to complexity in our accounting. For example, the recognition of our revenue is governed by certain criteria that determine whether we report revenue either on a gross basis, as a principal, or net basis, as an agent, depending upon the nature of the sales transaction. Changes in how we control and manage our platforms, our contractual terms, our business practices, or other changes in accounting standards or interpretations, may change the reporting of our revenue on a gross to net or net to gross basis. As a result, we may experience significant fluctuations in our revenue depending on the nature of our sales and our reporting of such revenue and related accounting treatment, without any change in our underlying business or net income. Our guidance or estimates about the combination of gross or net revenue are based upon the volumes and characteristics that we believe will be the mix of revenue during the period. Those estimates and assumptions may be inaccurate when made or may be rendered inaccurate by subsequent changes in circumstances, such as changing the characteristics of our offerings or particular transactions in response to client demands, market developments, regulatory pressures, acquisitions, and other factors. In addition, we may incorrectly extrapolate from revenue recognition treatment of prior transactions to future transactions that we believe are similar, but that ultimately are determined to have different characteristics that dictate different revenue reporting treatment. These factors may make our financial reporting more complex and difficult for investors to understand, may make comparison of our results of operations to prior periods or other companies more difficult, may make it more difficult for us to give accurate guidance, and could increase the potential for reporting errors.</w:t>
      </w:r>
    </w:p>
    <w:p>
      <w:pPr>
        <w:keepNext w:val="0"/>
        <w:keepLines w:val="0"/>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Further, our acquisitions have imposed purchase accounting requirements, required us to integrate accounting personnel, systems, and processes, necessitated various consolidation and elimination adjustments, and imposed additional filing and audit requirements. Ongoing evolution of our business, changes in underlying GAAP and any future acquisitions, will compound these complexities. Our operating results may be adversely affected if we make accounting errors or our judgments prove to be wrong, assumptions change or actual circumstances differ from those in our assumptions, which could cause our operating results to fall below investor expectations or guidance we may have provided, resulting in a decline in our stock price and potential legal claims. </w:t>
      </w:r>
    </w:p>
    <w:p>
      <w:pPr>
        <w:keepNext w:val="0"/>
        <w:keepLines w:val="0"/>
        <w:pageBreakBefore w:val="0"/>
        <w:widowControl w:val="0"/>
        <w:numPr>
          <w:ilvl w:val="0"/>
          <w:numId w:val="0"/>
        </w:numPr>
        <w:spacing w:before="0" w:after="0" w:line="288" w:lineRule="auto"/>
        <w:ind w:left="0" w:right="315" w:firstLine="54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315"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Historically, we have not relied upon patents to protect our proprietary technology, and our competitors may be able to offer similar products and</w:t>
      </w:r>
      <w:r>
        <w:rPr>
          <w:rFonts w:ascii="Times New Roman" w:eastAsia="Times New Roman" w:hAnsi="Times New Roman" w:cs="Times New Roman"/>
          <w:b/>
          <w:sz w:val="20"/>
        </w:rPr>
        <w:t xml:space="preserve"> </w:t>
      </w:r>
      <w:r>
        <w:rPr>
          <w:rFonts w:ascii="Times New Roman" w:eastAsia="Times New Roman" w:hAnsi="Times New Roman" w:cs="Times New Roman"/>
          <w:b/>
          <w:i/>
          <w:sz w:val="20"/>
        </w:rPr>
        <w:t>services, which would harm our competitive position.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success depends upon our proprietary technology. We do not have registered patents on any of our current platforms because we have determined that the costs of patent prosecution outweigh the benefits given the alternative of reliance upon copyright law to protect our computer code and other proprietary technology and properties. In addition to copyright laws, we rely upon service mark and trade secret laws, confidentiality procedures and contractual provisions to establish and protect our proprietary rights. As part of our confidentiality procedures, we enter into non-disclosure agreements with our employees and consultants. Despite our efforts to protect our proprietary rights, unauthorized parties may attempt to copy aspects of our products or to obtain and use information that we regard as proprietary or develop similar technology independently. Policing unauthorized use of our products is difficult, and while we are unable to determine the extent to which piracy of our software products exists, software piracy can be expected to be a persistent problem. In addition, the laws of some foreign countries do not protect proprietary rights to as great an extent as do the laws of the United States, and effective copyright, trademark, trade secret and patent protection may not be available in those jurisdictions. Our means of protecting our proprietary rights may not be adequate to protect us from the infringement or misappropriation of such rights by others</w:t>
      </w:r>
      <w:r>
        <w:rPr>
          <w:rFonts w:ascii="Times New Roman" w:eastAsia="Times New Roman" w:hAnsi="Times New Roman" w:cs="Times New Roman"/>
          <w:sz w:val="20"/>
        </w:rPr>
        <w:t>,</w:t>
      </w:r>
      <w:r>
        <w:rPr>
          <w:rFonts w:ascii="Times New Roman" w:eastAsia="Times New Roman" w:hAnsi="Times New Roman" w:cs="Times New Roman"/>
          <w:sz w:val="20"/>
        </w:rPr>
        <w:t xml:space="preserve"> and we cannot assure you that that our competitors will not independently develop similar technology, duplicate our products and services</w:t>
      </w:r>
      <w:r>
        <w:rPr>
          <w:rFonts w:ascii="Times New Roman" w:eastAsia="Times New Roman" w:hAnsi="Times New Roman" w:cs="Times New Roman"/>
          <w:sz w:val="20"/>
        </w:rPr>
        <w:t>,</w:t>
      </w:r>
      <w:r>
        <w:rPr>
          <w:rFonts w:ascii="Times New Roman" w:eastAsia="Times New Roman" w:hAnsi="Times New Roman" w:cs="Times New Roman"/>
          <w:sz w:val="20"/>
        </w:rPr>
        <w:t xml:space="preserve"> or design around any intellectual property rights we hold.</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cannot provide any assurance that our proprietary rights with respect to our products or services will be viable or have value in the future since the validity, enforceability</w:t>
      </w:r>
      <w:r>
        <w:rPr>
          <w:rFonts w:ascii="Times New Roman" w:eastAsia="Times New Roman" w:hAnsi="Times New Roman" w:cs="Times New Roman"/>
          <w:sz w:val="20"/>
        </w:rPr>
        <w:t>,</w:t>
      </w:r>
      <w:r>
        <w:rPr>
          <w:rFonts w:ascii="Times New Roman" w:eastAsia="Times New Roman" w:hAnsi="Times New Roman" w:cs="Times New Roman"/>
          <w:sz w:val="20"/>
        </w:rPr>
        <w:t xml:space="preserve"> and type of protection of proprietary rights in Internet-related industries are uncertain and still evolving.</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If third parties claim that we infringe their intellectual property rights, it may result in costly litigation.</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cannot assure you that third parties will not claim our current or future products or services infringe their intellectual property rights. Any such claims, with or without merit, could cause costly litigation that could consume significant management time. As the number of product and services offerings in our market increases and functionalities increasingly overlap, companies such as ours may become increasingly subject to infringement claims. These claims, even if not meritorious, could be expensive to defend and could divert management's attention from operating our business. These claims also might require us to enter into royalty or license agreements. If required, we may not be able to obtain such royalty or license agreements, or obtain them on terms acceptable to us.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Further, in recent years, there has been significant litigation in the United States involving patents and other intellectual property rights, particularly in the software and Internet-related industries. If we become liable to third parties for infringing their intellectual property rights, we could be required to pay a substantial award of damages and to develop non-infringing technology, obtain a license or cease selling the products that contain the infringing intellectual property. We may be unable to develop non-infringing technology or obtain a license on commercially reasonable terms, if at all.</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Intense competition in our target markets could impair our ability to grow and to achieve profitability.</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market for influencer and content marketing is highly competitive. We expect this competition to continue to increase, in part because there are no significant barriers to entry to our industry for those that operate in a Managed Services or an agency-type model. Increased competition may result in reduced pricing for managed campaigns, reduced margins and reduced revenue as a result of lost market share. Our principal competitors include other companies that provide marketers with Internet advertising solutions and companies that offer pay per click search services.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Within the enterprise software unit of IZEA’s business (“SaaS Services”), while there is a higher technological barrier to entry, IZEA is vulnerable to new entrants with access to fresh capital and the ability to replicate upon previous research and development investments made by us. This is particularly challenging given the minimal opportunity to protect our internet-based software via patents.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also compete with traditional advertising media, such as direct mail, television, radio, cable</w:t>
      </w:r>
      <w:r>
        <w:rPr>
          <w:rFonts w:ascii="Times New Roman" w:eastAsia="Times New Roman" w:hAnsi="Times New Roman" w:cs="Times New Roman"/>
          <w:sz w:val="20"/>
        </w:rPr>
        <w:t>,</w:t>
      </w:r>
      <w:r>
        <w:rPr>
          <w:rFonts w:ascii="Times New Roman" w:eastAsia="Times New Roman" w:hAnsi="Times New Roman" w:cs="Times New Roman"/>
          <w:sz w:val="20"/>
        </w:rPr>
        <w:t xml:space="preserve"> and print for a share of marketers' total advertising budgets. Many current and potential competitors enjoy competitive advantages over us, such as longer operating histories, greater name recognition, larger customer bases, greater access to advertising space on high-traffic websites, and significantly greater financial, technical, sales</w:t>
      </w:r>
      <w:r>
        <w:rPr>
          <w:rFonts w:ascii="Times New Roman" w:eastAsia="Times New Roman" w:hAnsi="Times New Roman" w:cs="Times New Roman"/>
          <w:sz w:val="20"/>
        </w:rPr>
        <w:t>,</w:t>
      </w:r>
      <w:r>
        <w:rPr>
          <w:rFonts w:ascii="Times New Roman" w:eastAsia="Times New Roman" w:hAnsi="Times New Roman" w:cs="Times New Roman"/>
          <w:sz w:val="20"/>
        </w:rPr>
        <w:t xml:space="preserve"> and marketing resources. As a result, we may be unable to compete successfully. If we fail to compete successfully, we could lose customers and our revenue and results of operations could decline.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In addition, as we continue our efforts to expand the scope of our services, we may compete with a greater number of other media companies across an increasing range of different services, including in vertical markets where competitors may have advantages in expertise, brand recognition and other areas. If existing or future competitors develop or offer products or services that provide significant performance, price, creative or other advantages over those offered by us, our business, prospects, results of operations</w:t>
      </w:r>
      <w:r>
        <w:rPr>
          <w:rFonts w:ascii="Times New Roman" w:eastAsia="Times New Roman" w:hAnsi="Times New Roman" w:cs="Times New Roman"/>
          <w:sz w:val="20"/>
        </w:rPr>
        <w:t>,</w:t>
      </w:r>
      <w:r>
        <w:rPr>
          <w:rFonts w:ascii="Times New Roman" w:eastAsia="Times New Roman" w:hAnsi="Times New Roman" w:cs="Times New Roman"/>
          <w:sz w:val="20"/>
        </w:rPr>
        <w:t xml:space="preserve"> and financial condition could be negatively affected.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We are continuing to develop our IZEAx platform</w:t>
      </w:r>
      <w:r>
        <w:rPr>
          <w:rFonts w:ascii="Times New Roman" w:eastAsia="Times New Roman" w:hAnsi="Times New Roman" w:cs="Times New Roman"/>
          <w:b/>
          <w:i/>
          <w:sz w:val="20"/>
        </w:rPr>
        <w:t xml:space="preserve"> and have transitioned certain features and customers from our legacy Ebyline</w:t>
      </w:r>
      <w:r>
        <w:rPr>
          <w:rFonts w:ascii="Times New Roman" w:eastAsia="Times New Roman" w:hAnsi="Times New Roman" w:cs="Times New Roman"/>
          <w:b/>
          <w:i/>
          <w:sz w:val="20"/>
        </w:rPr>
        <w:t xml:space="preserve"> and TapInfluence platforms. Our updated IZEAx</w:t>
      </w:r>
      <w:r>
        <w:rPr>
          <w:rFonts w:ascii="Times New Roman" w:eastAsia="Times New Roman" w:hAnsi="Times New Roman" w:cs="Times New Roman"/>
          <w:b/>
          <w:i/>
          <w:sz w:val="20"/>
        </w:rPr>
        <w:t>, Shake</w:t>
      </w:r>
      <w:r>
        <w:rPr>
          <w:rFonts w:ascii="Times New Roman" w:eastAsia="Times New Roman" w:hAnsi="Times New Roman" w:cs="Times New Roman"/>
          <w:b/>
          <w:i/>
          <w:sz w:val="20"/>
        </w:rPr>
        <w:t>,</w:t>
      </w:r>
      <w:r>
        <w:rPr>
          <w:rFonts w:ascii="Times New Roman" w:eastAsia="Times New Roman" w:hAnsi="Times New Roman" w:cs="Times New Roman"/>
          <w:b/>
          <w:i/>
          <w:sz w:val="20"/>
        </w:rPr>
        <w:t xml:space="preserve"> and Brand</w:t>
      </w:r>
      <w:r>
        <w:rPr>
          <w:rFonts w:ascii="Times New Roman" w:eastAsia="Times New Roman" w:hAnsi="Times New Roman" w:cs="Times New Roman"/>
          <w:b/>
          <w:i/>
          <w:sz w:val="20"/>
        </w:rPr>
        <w:t>Graph</w:t>
      </w:r>
      <w:r>
        <w:rPr>
          <w:rFonts w:ascii="Times New Roman" w:eastAsia="Times New Roman" w:hAnsi="Times New Roman" w:cs="Times New Roman"/>
          <w:b/>
          <w:i/>
          <w:sz w:val="20"/>
        </w:rPr>
        <w:t xml:space="preserve"> platform</w:t>
      </w:r>
      <w:r>
        <w:rPr>
          <w:rFonts w:ascii="Times New Roman" w:eastAsia="Times New Roman" w:hAnsi="Times New Roman" w:cs="Times New Roman"/>
          <w:b/>
          <w:i/>
          <w:sz w:val="20"/>
        </w:rPr>
        <w:t>s</w:t>
      </w:r>
      <w:r>
        <w:rPr>
          <w:rFonts w:ascii="Times New Roman" w:eastAsia="Times New Roman" w:hAnsi="Times New Roman" w:cs="Times New Roman"/>
          <w:b/>
          <w:i/>
          <w:sz w:val="20"/>
        </w:rPr>
        <w:t xml:space="preserve"> may not achieve sufficient market acceptance to be commercially viable for open marketplace or SaaS services.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April 2019, we released version 3.0 of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which allows marketers to make offers that require a single creator to complete multiple tasks or deliverables. Throughout the remainder of 2019, we continued to add additional features to support our SaaS partners and integrate the </w:t>
      </w:r>
      <w:r>
        <w:rPr>
          <w:rFonts w:ascii="Times New Roman" w:eastAsia="Times New Roman" w:hAnsi="Times New Roman" w:cs="Times New Roman"/>
          <w:i/>
          <w:sz w:val="20"/>
        </w:rPr>
        <w:t xml:space="preserve">Ebyline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 xml:space="preserve">TapInfluence </w:t>
      </w:r>
      <w:r>
        <w:rPr>
          <w:rFonts w:ascii="Times New Roman" w:eastAsia="Times New Roman" w:hAnsi="Times New Roman" w:cs="Times New Roman"/>
          <w:sz w:val="20"/>
        </w:rPr>
        <w:t xml:space="preserve">platform offerings for custom content services within our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platform. By the end of 2019, nearly all of the Ebyline and TapInfluence customers and creators were migrated off of those platforms and onto the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platform. </w:t>
      </w:r>
      <w:r>
        <w:rPr>
          <w:rFonts w:ascii="Times New Roman" w:eastAsia="Times New Roman" w:hAnsi="Times New Roman" w:cs="Times New Roman"/>
          <w:sz w:val="20"/>
        </w:rPr>
        <w:t xml:space="preserve">With the merging of the two platforms into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there is a risk of decreased revenue from marketers if they do not understand the changes or do not believe that the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platform can provide them with a similar or improved service from what they received in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or </w:t>
      </w:r>
      <w:r>
        <w:rPr>
          <w:rFonts w:ascii="Times New Roman" w:eastAsia="Times New Roman" w:hAnsi="Times New Roman" w:cs="Times New Roman"/>
          <w:i/>
          <w:sz w:val="20"/>
        </w:rPr>
        <w:t xml:space="preserve">TapInfluence </w:t>
      </w:r>
      <w:r>
        <w:rPr>
          <w:rFonts w:ascii="Times New Roman" w:eastAsia="Times New Roman" w:hAnsi="Times New Roman" w:cs="Times New Roman"/>
          <w:sz w:val="20"/>
        </w:rPr>
        <w:t>platforms. If our marketers and creators do not perceive this platform to be of high value and quality, we may not be able to retain them or acquire new marketers and creators.</w:t>
      </w:r>
    </w:p>
    <w:p>
      <w:pPr>
        <w:keepNext w:val="0"/>
        <w:keepLines w:val="0"/>
        <w:pageBreakBefore w:val="0"/>
        <w:widowControl/>
        <w:numPr>
          <w:ilvl w:val="0"/>
          <w:numId w:val="0"/>
        </w:numPr>
        <w:spacing w:before="0" w:after="0" w:line="276" w:lineRule="auto"/>
        <w:ind w:left="0" w:right="0" w:firstLine="720"/>
        <w:jc w:val="left"/>
        <w:outlineLvl w:val="9"/>
        <w:rPr>
          <w:rFonts w:ascii="Times New Roman" w:eastAsia="Times New Roman" w:hAnsi="Times New Roman" w:cs="Times New Roman"/>
          <w:i/>
          <w:sz w:val="24"/>
        </w:rPr>
      </w:pPr>
    </w:p>
    <w:p>
      <w:pPr>
        <w:keepNext w:val="0"/>
        <w:keepLines w:val="0"/>
        <w:pageBreakBefore w:val="0"/>
        <w:widowControl/>
        <w:numPr>
          <w:ilvl w:val="0"/>
          <w:numId w:val="0"/>
        </w:numPr>
        <w:spacing w:before="0" w:after="0" w:line="276"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i/>
          <w:sz w:val="20"/>
        </w:rPr>
        <w:t>Shake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BrandGraph</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were both officially launched in 2020 during the COVID-19 pandemic. </w:t>
      </w:r>
      <w:r>
        <w:rPr>
          <w:rFonts w:ascii="Times New Roman" w:eastAsia="Times New Roman" w:hAnsi="Times New Roman" w:cs="Times New Roman"/>
          <w:sz w:val="20"/>
        </w:rPr>
        <w:t xml:space="preserve">We </w:t>
      </w:r>
      <w:r>
        <w:rPr>
          <w:rFonts w:ascii="Times New Roman" w:eastAsia="Times New Roman" w:hAnsi="Times New Roman" w:cs="Times New Roman"/>
          <w:sz w:val="20"/>
        </w:rPr>
        <w:t>continue to invest significant</w:t>
      </w:r>
      <w:r>
        <w:rPr>
          <w:rFonts w:ascii="Times New Roman" w:eastAsia="Times New Roman" w:hAnsi="Times New Roman" w:cs="Times New Roman"/>
          <w:sz w:val="20"/>
        </w:rPr>
        <w:t xml:space="preserve"> engineering resources </w:t>
      </w:r>
      <w:r>
        <w:rPr>
          <w:rFonts w:ascii="Times New Roman" w:eastAsia="Times New Roman" w:hAnsi="Times New Roman" w:cs="Times New Roman"/>
          <w:sz w:val="20"/>
        </w:rPr>
        <w:t>into</w:t>
      </w:r>
      <w:r>
        <w:rPr>
          <w:rFonts w:ascii="Times New Roman" w:eastAsia="Times New Roman" w:hAnsi="Times New Roman" w:cs="Times New Roman"/>
          <w:sz w:val="20"/>
        </w:rPr>
        <w:t xml:space="preserve"> the </w:t>
      </w:r>
      <w:r>
        <w:rPr>
          <w:rFonts w:ascii="Times New Roman" w:eastAsia="Times New Roman" w:hAnsi="Times New Roman" w:cs="Times New Roman"/>
          <w:sz w:val="20"/>
        </w:rPr>
        <w:t xml:space="preserve">development and </w:t>
      </w:r>
      <w:r>
        <w:rPr>
          <w:rFonts w:ascii="Times New Roman" w:eastAsia="Times New Roman" w:hAnsi="Times New Roman" w:cs="Times New Roman"/>
          <w:sz w:val="20"/>
        </w:rPr>
        <w:t>imp</w:t>
      </w:r>
      <w:r>
        <w:rPr>
          <w:rFonts w:ascii="Times New Roman" w:eastAsia="Times New Roman" w:hAnsi="Times New Roman" w:cs="Times New Roman"/>
          <w:sz w:val="20"/>
        </w:rPr>
        <w:t xml:space="preserve">rovement </w:t>
      </w:r>
      <w:r>
        <w:rPr>
          <w:rFonts w:ascii="Times New Roman" w:eastAsia="Times New Roman" w:hAnsi="Times New Roman" w:cs="Times New Roman"/>
          <w:sz w:val="20"/>
        </w:rPr>
        <w:t>of these plat</w:t>
      </w:r>
      <w:r>
        <w:rPr>
          <w:rFonts w:ascii="Times New Roman" w:eastAsia="Times New Roman" w:hAnsi="Times New Roman" w:cs="Times New Roman"/>
          <w:sz w:val="20"/>
        </w:rPr>
        <w:t>forms</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the creation of new technology additions that complement our core offerings</w:t>
      </w:r>
      <w:r>
        <w:rPr>
          <w:rFonts w:ascii="Times New Roman" w:eastAsia="Times New Roman" w:hAnsi="Times New Roman" w:cs="Times New Roman"/>
          <w:sz w:val="20"/>
        </w:rPr>
        <w:t xml:space="preserve">. </w:t>
      </w:r>
      <w:r>
        <w:rPr>
          <w:rFonts w:ascii="Times New Roman" w:eastAsia="Times New Roman" w:hAnsi="Times New Roman" w:cs="Times New Roman"/>
          <w:sz w:val="20"/>
        </w:rPr>
        <w:t>The</w:t>
      </w:r>
      <w:r>
        <w:rPr>
          <w:rFonts w:ascii="Times New Roman" w:eastAsia="Times New Roman" w:hAnsi="Times New Roman" w:cs="Times New Roman"/>
          <w:sz w:val="20"/>
        </w:rPr>
        <w:t xml:space="preserve"> </w:t>
      </w:r>
      <w:r>
        <w:rPr>
          <w:rFonts w:ascii="Times New Roman" w:eastAsia="Times New Roman" w:hAnsi="Times New Roman" w:cs="Times New Roman"/>
          <w:i/>
          <w:sz w:val="20"/>
        </w:rPr>
        <w:t>Shake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BrandGraph</w:t>
      </w:r>
      <w:r>
        <w:rPr>
          <w:rFonts w:ascii="Times New Roman" w:eastAsia="Times New Roman" w:hAnsi="Times New Roman" w:cs="Times New Roman"/>
          <w:sz w:val="20"/>
        </w:rPr>
        <w:t xml:space="preserve"> </w:t>
      </w:r>
      <w:r>
        <w:rPr>
          <w:rFonts w:ascii="Times New Roman" w:eastAsia="Times New Roman" w:hAnsi="Times New Roman" w:cs="Times New Roman"/>
          <w:sz w:val="20"/>
        </w:rPr>
        <w:t>platforms and models are new to IZEA and</w:t>
      </w:r>
      <w:r>
        <w:rPr>
          <w:rFonts w:ascii="Times New Roman" w:eastAsia="Times New Roman" w:hAnsi="Times New Roman" w:cs="Times New Roman"/>
          <w:sz w:val="20"/>
        </w:rPr>
        <w:t xml:space="preserve"> </w:t>
      </w:r>
      <w:r>
        <w:rPr>
          <w:rFonts w:ascii="Times New Roman" w:eastAsia="Times New Roman" w:hAnsi="Times New Roman" w:cs="Times New Roman"/>
          <w:sz w:val="20"/>
        </w:rPr>
        <w:t>we are</w:t>
      </w:r>
      <w:r>
        <w:rPr>
          <w:rFonts w:ascii="Times New Roman" w:eastAsia="Times New Roman" w:hAnsi="Times New Roman" w:cs="Times New Roman"/>
          <w:sz w:val="20"/>
        </w:rPr>
        <w:t xml:space="preserve"> still in the very early days of building a customer base for these products. </w:t>
      </w:r>
      <w:r>
        <w:rPr>
          <w:rFonts w:ascii="Times New Roman" w:eastAsia="Times New Roman" w:hAnsi="Times New Roman" w:cs="Times New Roman"/>
          <w:sz w:val="20"/>
        </w:rPr>
        <w:t xml:space="preserve">We may fail to achieve significant marketplace inventory in </w:t>
      </w:r>
      <w:r>
        <w:rPr>
          <w:rFonts w:ascii="Times New Roman" w:eastAsia="Times New Roman" w:hAnsi="Times New Roman" w:cs="Times New Roman"/>
          <w:i/>
          <w:sz w:val="20"/>
        </w:rPr>
        <w:t>Shake</w:t>
      </w:r>
      <w:r>
        <w:rPr>
          <w:rFonts w:ascii="Times New Roman" w:eastAsia="Times New Roman" w:hAnsi="Times New Roman" w:cs="Times New Roman"/>
          <w:sz w:val="20"/>
        </w:rPr>
        <w:t xml:space="preserve"> to attract enough buyers</w:t>
      </w:r>
      <w:r>
        <w:rPr>
          <w:rFonts w:ascii="Times New Roman" w:eastAsia="Times New Roman" w:hAnsi="Times New Roman" w:cs="Times New Roman"/>
          <w:sz w:val="20"/>
        </w:rPr>
        <w:t xml:space="preserve"> and w</w:t>
      </w:r>
      <w:r>
        <w:rPr>
          <w:rFonts w:ascii="Times New Roman" w:eastAsia="Times New Roman" w:hAnsi="Times New Roman" w:cs="Times New Roman"/>
          <w:sz w:val="20"/>
        </w:rPr>
        <w:t xml:space="preserve">e may fail to create enough product differentiation among social data platforms to drive adoption of </w:t>
      </w:r>
      <w:r>
        <w:rPr>
          <w:rFonts w:ascii="Times New Roman" w:eastAsia="Times New Roman" w:hAnsi="Times New Roman" w:cs="Times New Roman"/>
          <w:i/>
          <w:sz w:val="20"/>
        </w:rPr>
        <w:t>BrandGraph</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W</w:t>
      </w:r>
      <w:r>
        <w:rPr>
          <w:rFonts w:ascii="Times New Roman" w:eastAsia="Times New Roman" w:hAnsi="Times New Roman" w:cs="Times New Roman"/>
          <w:sz w:val="20"/>
        </w:rPr>
        <w:t xml:space="preserve">e cannot provide any assurances of </w:t>
      </w:r>
      <w:r>
        <w:rPr>
          <w:rFonts w:ascii="Times New Roman" w:eastAsia="Times New Roman" w:hAnsi="Times New Roman" w:cs="Times New Roman"/>
          <w:sz w:val="20"/>
        </w:rPr>
        <w:t>the</w:t>
      </w:r>
      <w:r>
        <w:rPr>
          <w:rFonts w:ascii="Times New Roman" w:eastAsia="Times New Roman" w:hAnsi="Times New Roman" w:cs="Times New Roman"/>
          <w:sz w:val="20"/>
        </w:rPr>
        <w:t xml:space="preserve"> short or long-term commercial success or growth</w:t>
      </w:r>
      <w:r>
        <w:rPr>
          <w:rFonts w:ascii="Times New Roman" w:eastAsia="Times New Roman" w:hAnsi="Times New Roman" w:cs="Times New Roman"/>
          <w:sz w:val="20"/>
        </w:rPr>
        <w:t xml:space="preserve"> of our platforms</w:t>
      </w:r>
      <w:r>
        <w:rPr>
          <w:rFonts w:ascii="Times New Roman" w:eastAsia="Times New Roman" w:hAnsi="Times New Roman" w:cs="Times New Roman"/>
          <w:sz w:val="20"/>
        </w:rPr>
        <w:t>. There is no assurance that the amount of money being allocated for the platform</w:t>
      </w:r>
      <w:r>
        <w:rPr>
          <w:rFonts w:ascii="Times New Roman" w:eastAsia="Times New Roman" w:hAnsi="Times New Roman" w:cs="Times New Roman"/>
          <w:sz w:val="20"/>
        </w:rPr>
        <w:t>s</w:t>
      </w:r>
      <w:r>
        <w:rPr>
          <w:rFonts w:ascii="Times New Roman" w:eastAsia="Times New Roman" w:hAnsi="Times New Roman" w:cs="Times New Roman"/>
          <w:sz w:val="20"/>
        </w:rPr>
        <w:t xml:space="preserve"> will be sufficient to complete </w:t>
      </w:r>
      <w:r>
        <w:rPr>
          <w:rFonts w:ascii="Times New Roman" w:eastAsia="Times New Roman" w:hAnsi="Times New Roman" w:cs="Times New Roman"/>
          <w:sz w:val="20"/>
        </w:rPr>
        <w:t>them</w:t>
      </w:r>
      <w:r>
        <w:rPr>
          <w:rFonts w:ascii="Times New Roman" w:eastAsia="Times New Roman" w:hAnsi="Times New Roman" w:cs="Times New Roman"/>
          <w:sz w:val="20"/>
        </w:rPr>
        <w:t xml:space="preserve">, or that such completion will result in </w:t>
      </w:r>
      <w:r>
        <w:rPr>
          <w:rFonts w:ascii="Times New Roman" w:eastAsia="Times New Roman" w:hAnsi="Times New Roman" w:cs="Times New Roman"/>
          <w:sz w:val="20"/>
        </w:rPr>
        <w:t>a</w:t>
      </w:r>
      <w:r>
        <w:rPr>
          <w:rFonts w:ascii="Times New Roman" w:eastAsia="Times New Roman" w:hAnsi="Times New Roman" w:cs="Times New Roman"/>
          <w:sz w:val="20"/>
        </w:rPr>
        <w:t xml:space="preserve"> comp</w:t>
      </w:r>
      <w:r>
        <w:rPr>
          <w:rFonts w:ascii="Times New Roman" w:eastAsia="Times New Roman" w:hAnsi="Times New Roman" w:cs="Times New Roman"/>
          <w:sz w:val="20"/>
        </w:rPr>
        <w:t>etitive edge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significant revenues or profit for us. </w:t>
      </w:r>
    </w:p>
    <w:p>
      <w:pPr>
        <w:keepNext w:val="0"/>
        <w:keepLines w:val="0"/>
        <w:pageBreakBefore w:val="0"/>
        <w:widowControl/>
        <w:numPr>
          <w:ilvl w:val="0"/>
          <w:numId w:val="0"/>
        </w:numPr>
        <w:spacing w:before="0" w:after="0" w:line="276"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depend on our ability to attract and retain customers that are prepared to offer products or services on compelling terms through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Shake</w:t>
      </w:r>
      <w:r>
        <w:rPr>
          <w:rFonts w:ascii="Times New Roman" w:eastAsia="Times New Roman" w:hAnsi="Times New Roman" w:cs="Times New Roman"/>
          <w:sz w:val="20"/>
        </w:rPr>
        <w:t xml:space="preserve">. Additionally, we rely on marketers who purchase direct custom content from our creators in our platforms. We must continue to attract and retain customers in order to increase revenue and achieve profitability. If existing or future competitors develop or offer products or services that provide significant performance, price, creative or other advantages over this platform, demand for </w:t>
      </w:r>
      <w:r>
        <w:rPr>
          <w:rFonts w:ascii="Times New Roman" w:eastAsia="Times New Roman" w:hAnsi="Times New Roman" w:cs="Times New Roman"/>
          <w:sz w:val="20"/>
        </w:rPr>
        <w:t>our platforms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may decrease. In addition, we may experience attrition in our customers in the ordinary course of business resulting from several factors, including losses to competitors, mergers, closures or bankruptcies. If we are unable to attract new customers in numbers sufficient to grow our business, or if too many customers are unwilling to offer products or services with compelling terms to our creators through our platforms, of if creators stop offering their services through our platform, our operating results will be adversely affected.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Our total number of user accounts may be higher than the number of our actual individual marketers or creators and may not be representative of the number of persons who are active users.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total number of user accounts in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Shake</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platform may be higher than the number of our actual individual marketers and creators because some may have created multiple accounts for different purposes, including different user connections. We define a user connection as a social account or blog that has been added 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Shake</w:t>
      </w:r>
      <w:r>
        <w:rPr>
          <w:rFonts w:ascii="Times New Roman" w:eastAsia="Times New Roman" w:hAnsi="Times New Roman" w:cs="Times New Roman"/>
          <w:i/>
          <w:sz w:val="20"/>
        </w:rPr>
        <w:t xml:space="preserve"> </w:t>
      </w:r>
      <w:r>
        <w:rPr>
          <w:rFonts w:ascii="Times New Roman" w:eastAsia="Times New Roman" w:hAnsi="Times New Roman" w:cs="Times New Roman"/>
          <w:sz w:val="20"/>
        </w:rPr>
        <w:t>under a user account. It is possible for one user to add as many user connections as they like, and it is common for talent mangers and large publishers to add several connections under a single account. Given the challenges inherent in identifying these creators, we do not have a reliable system to accurately identify the number of actual individual creators, and thus we rely on the number of total user connections and user accounts as our measure of the size of our user base. In addition, the number of user accounts includes the total number of individuals that have completed registration through a specific date, less individuals who have unsubscribed, and should not be considered as representative of the number of persons who continue to actively create to fulfill the sponsorships offered through our platforms. Many users may create an account but may not actively participate in marketplace activities.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Delays in releasing enhanced versions of our products and services could adversely affect our competitive position.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part of our strategy, we expect to periodically release enhanced versions of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related services. Even if our new versions contain the features and functionality our customers want, in the event we are unable to timely introduce these new product releases, our competitive position may be harmed. We cannot assure you that we will be able to successfully complete the development of currently planned or future products in a timely and efficient manner. Due to the complexity of these products, internal quality assurance testing and customer testing of pre-commercial releases may reveal product performance issues, undesirable feature enhancements or additional desirable feature enhancements that could lead us to postpone the release of these new versions. In addition, the reallocation of resources associated with any postponement would likely cause delays in the development and release of other future products or enhancements to our currently available products. Any delay in releasing other future products or enhancements of our products could cause our financial results to be adversely impacted.</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We rely on third-party social media platforms to provide the mechanism necessary to deliver influencer marketing, and any change in the platform terms, costs, availability, or access to these technologies could adversely affect our business.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rely on third-party social media platforms such as Facebook, Instagram, Twitter, and YouTube to serve as the mechanism for publishing influencer marketing </w:t>
      </w:r>
      <w:r>
        <w:rPr>
          <w:rFonts w:ascii="Times New Roman" w:eastAsia="Times New Roman" w:hAnsi="Times New Roman" w:cs="Times New Roman"/>
          <w:sz w:val="20"/>
        </w:rPr>
        <w:t xml:space="preserve">content </w:t>
      </w:r>
      <w:r>
        <w:rPr>
          <w:rFonts w:ascii="Times New Roman" w:eastAsia="Times New Roman" w:hAnsi="Times New Roman" w:cs="Times New Roman"/>
          <w:sz w:val="20"/>
        </w:rPr>
        <w:t>to targeted audiences, in order to deliver our influencer marketing services to our customers. These platforms include technologies that provide some of the core functionality required to operate the influencer marketing portion of our platform, as well as functionalities such as user traffic reporting, ad-serving, content delivery services</w:t>
      </w:r>
      <w:r>
        <w:rPr>
          <w:rFonts w:ascii="Times New Roman" w:eastAsia="Times New Roman" w:hAnsi="Times New Roman" w:cs="Times New Roman"/>
          <w:sz w:val="20"/>
        </w:rPr>
        <w:t>, discovering services,</w:t>
      </w:r>
      <w:r>
        <w:rPr>
          <w:rFonts w:ascii="Times New Roman" w:eastAsia="Times New Roman" w:hAnsi="Times New Roman" w:cs="Times New Roman"/>
          <w:sz w:val="20"/>
        </w:rPr>
        <w:t xml:space="preserve"> and </w:t>
      </w:r>
      <w:r>
        <w:rPr>
          <w:rFonts w:ascii="Times New Roman" w:eastAsia="Times New Roman" w:hAnsi="Times New Roman" w:cs="Times New Roman"/>
          <w:sz w:val="20"/>
        </w:rPr>
        <w:t>metric</w:t>
      </w:r>
      <w:r>
        <w:rPr>
          <w:rFonts w:ascii="Times New Roman" w:eastAsia="Times New Roman" w:hAnsi="Times New Roman" w:cs="Times New Roman"/>
          <w:sz w:val="20"/>
        </w:rPr>
        <w:t>s</w:t>
      </w:r>
      <w:r>
        <w:rPr>
          <w:rFonts w:ascii="Times New Roman" w:eastAsia="Times New Roman" w:hAnsi="Times New Roman" w:cs="Times New Roman"/>
          <w:sz w:val="20"/>
        </w:rPr>
        <w:t>. There can be no assurance that these providers will continue to make all or any of their technologies available to us on reasonable terms, or at all. Third-party social media platforms may start charging fees or otherwise change their business models in a manner that impedes our ability to use their technologies. In any event, we have no control over these companies or their decision-making with respect to granting us access to their social media platforms or providing us with analytical data, and any material change in the current terms, costs, availability or use of their social media platforms or analytical data could adversely affect our business.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Our business depends on continued and unimpeded access to the Internet by us and by our customers and their end users. Internet access providers or distributors may be able to block, degrade or charge for access to our content, which could lead to additional expenses to us and our customers and the loss of end users and advertisers.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Products and services such as ours depend on our ability and the ability of our customers' users to access the Internet. Currently, this access is provided by companies that have, or in the future may have, significant market power in the broadband and Internet access marketplace, including incumbent telephone companies, cable companies, mobile communications companies and government-owned service providers. Some of these providers may take, or have stated that they may take, measures that could degrade, disrupt, or increase the cost of user access to products or services such as ours by restricting or prohibiting the use of their infrastructure to support or facilitate product or service offerings such as ours, or by charging increased fees to businesses such as ours to provide content or to have users access that content. In 2015, the Federal Communications Commission (“FCC”) released an order, commonly referred to as net neutrality, that, among other things, prohibited (i) the impairment or degradation of lawful Internet traffic on the basis of content, application or service and (ii) the practice of favoring some Internet traffic over other Internet traffic based on the payment of higher fees. In December 2017, the FCC voted to overturn the net neutrality regulations imposed by the 2015 order. Internet service providers in the U.S. may now be able to impair or degrade the use of, or increase the cost of using, our products or services. Such interference could result in a loss of existing viewers, subscribers and advertisers, and increased costs, and could impair our ability to attract new viewers, subscribers and advertisers, thereby harming our revenues and growth.</w:t>
      </w:r>
    </w:p>
    <w:p>
      <w:pPr>
        <w:keepNext w:val="0"/>
        <w:keepLines w:val="0"/>
        <w:pageBreakBefore w:val="0"/>
        <w:widowControl w:val="0"/>
        <w:numPr>
          <w:ilvl w:val="0"/>
          <w:numId w:val="0"/>
        </w:numPr>
        <w:spacing w:before="0" w:after="0" w:line="288" w:lineRule="auto"/>
        <w:ind w:left="0" w:right="90" w:firstLine="0"/>
        <w:jc w:val="left"/>
        <w:outlineLvl w:val="9"/>
        <w:rPr>
          <w:rFonts w:ascii="Times New Roman" w:eastAsia="Times New Roman" w:hAnsi="Times New Roman" w:cs="Times New Roman"/>
          <w:b/>
          <w:i/>
          <w:sz w:val="20"/>
        </w:rPr>
      </w:pPr>
    </w:p>
    <w:p>
      <w:pPr>
        <w:keepNext w:val="0"/>
        <w:keepLines w:val="0"/>
        <w:pageBreakBefore w:val="0"/>
        <w:widowControl w:val="0"/>
        <w:numPr>
          <w:ilvl w:val="0"/>
          <w:numId w:val="0"/>
        </w:numPr>
        <w:spacing w:before="0" w:after="0" w:line="288" w:lineRule="auto"/>
        <w:ind w:left="45" w:right="9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Fluctuations in foreign currency exchange rates could result in unanticipated losses that could adversely affect our results of operations and financial position.</w:t>
      </w: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are exposed to foreign currency exchange rate fluctuations because a portion of our sales, expenses, assets and liabilities are denominated in foreign currencies. Changes in the value of foreign currencies, particularly the Canadian dollar, affect our results of operations and financial position. With respect to international sales initially priced using U.S. dollars as a cost basis, a decrease in the value of foreign currencies relative to the U.S. dollar would make our products less price competitive. Once the product is sold at a fixed foreign currency price, we could experience foreign currency gains or losses that could have a material effect on our operating results.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New tax treatment of companies engaged in Internet commerce may adversely affect the commercial use of our services and our financial results.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Due to the global nature of social media and our services, it is possible that various states or foreign countries might attempt to regulate our transmissions or levy sales, income or other taxes relating to our activities. Tax authorities at the international, federal, state and local levels are currently reviewing the appropriate treatment of companies engaged in Internet commerce. New or revised international, federal, state or local tax regulations may subject us or our creators to additional sales, income and other taxes. We cannot predict the effect of current attempts to impose sales, income or other taxes on commerce over social media. New or revised taxes and, in particular, sales taxes, VAT and similar taxes would likely increase the cost of doing business online and decrease the attractiveness of advertising and selling goods and services over social media. New taxes could also create significant increases in internal costs necessary to capture data, and collect and remit taxes. Any of these events could have an adverse effect on our business and results of operations.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We may become subject to government regulation and legal uncertainties that could reduce demand for our products and services or</w:t>
      </w:r>
      <w:r>
        <w:rPr>
          <w:rFonts w:ascii="Times New Roman" w:eastAsia="Times New Roman" w:hAnsi="Times New Roman" w:cs="Times New Roman"/>
          <w:b/>
          <w:sz w:val="20"/>
        </w:rPr>
        <w:t xml:space="preserve"> </w:t>
      </w:r>
      <w:r>
        <w:rPr>
          <w:rFonts w:ascii="Times New Roman" w:eastAsia="Times New Roman" w:hAnsi="Times New Roman" w:cs="Times New Roman"/>
          <w:b/>
          <w:i/>
          <w:sz w:val="20"/>
        </w:rPr>
        <w:t>increase the cost of doing business, thereby adversely affecting our financial results.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As described in the section “Business - Government Regulation,” we are subject to laws and regulations applicable to businesses generally and certain laws or regulations directly applicable to service providers for advertising and marketing Internet commerce. Due to the increasing popularity and use of social media, it is possible that a number of laws and regulations may become applicable to us or may be adopted in the future with respect to social media covering issues such as: </w:t>
      </w:r>
    </w:p>
    <w:p>
      <w:pPr>
        <w:keepNext w:val="0"/>
        <w:keepLines w:val="0"/>
        <w:pageBreakBefore w:val="0"/>
        <w:widowControl/>
        <w:numPr>
          <w:ilvl w:val="0"/>
          <w:numId w:val="5"/>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truth-in-advertising;</w:t>
      </w:r>
    </w:p>
    <w:p>
      <w:pPr>
        <w:keepNext w:val="0"/>
        <w:keepLines w:val="0"/>
        <w:pageBreakBefore w:val="0"/>
        <w:widowControl/>
        <w:numPr>
          <w:ilvl w:val="0"/>
          <w:numId w:val="5"/>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user privacy;</w:t>
      </w:r>
    </w:p>
    <w:p>
      <w:pPr>
        <w:keepNext w:val="0"/>
        <w:keepLines w:val="0"/>
        <w:pageBreakBefore w:val="0"/>
        <w:widowControl/>
        <w:numPr>
          <w:ilvl w:val="0"/>
          <w:numId w:val="5"/>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taxation;</w:t>
      </w:r>
    </w:p>
    <w:p>
      <w:pPr>
        <w:keepNext w:val="0"/>
        <w:keepLines w:val="0"/>
        <w:pageBreakBefore w:val="0"/>
        <w:widowControl/>
        <w:numPr>
          <w:ilvl w:val="0"/>
          <w:numId w:val="5"/>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right to access personal information;</w:t>
      </w:r>
    </w:p>
    <w:p>
      <w:pPr>
        <w:keepNext w:val="0"/>
        <w:keepLines w:val="0"/>
        <w:pageBreakBefore w:val="0"/>
        <w:widowControl/>
        <w:numPr>
          <w:ilvl w:val="0"/>
          <w:numId w:val="5"/>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copyrights;</w:t>
      </w:r>
    </w:p>
    <w:p>
      <w:pPr>
        <w:keepNext w:val="0"/>
        <w:keepLines w:val="0"/>
        <w:pageBreakBefore w:val="0"/>
        <w:widowControl/>
        <w:numPr>
          <w:ilvl w:val="0"/>
          <w:numId w:val="5"/>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distribution; and</w:t>
      </w:r>
    </w:p>
    <w:p>
      <w:pPr>
        <w:keepNext w:val="0"/>
        <w:keepLines w:val="0"/>
        <w:pageBreakBefore w:val="0"/>
        <w:widowControl/>
        <w:numPr>
          <w:ilvl w:val="0"/>
          <w:numId w:val="5"/>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characteristics and quality of services.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applicability of existing laws governing issues such as property ownership, copyrights and other intellectual property, encryption, taxation, libel and export or import matters to social media platforms is uncertain. The vast majority of these laws were adopted prior to the broad commercial use of social media platforms and related technologies. As a result, they do not contemplate or address the unique issues of social media and related technologies. Changes to these laws intended to address these issues, including some recently proposed changes, could create uncertainty in the social media marketplace. Such uncertainty could reduce demand for our services or increase the cost of doing business due to increased costs of litigation or increased service delivery costs.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Our influencer marketing business is subject to the risks associated with word of mouth advertising and endorsements, such</w:t>
      </w:r>
      <w:r>
        <w:rPr>
          <w:rFonts w:ascii="Times New Roman" w:eastAsia="Times New Roman" w:hAnsi="Times New Roman" w:cs="Times New Roman"/>
          <w:b/>
          <w:sz w:val="20"/>
        </w:rPr>
        <w:t> </w:t>
      </w:r>
      <w:r>
        <w:rPr>
          <w:rFonts w:ascii="Times New Roman" w:eastAsia="Times New Roman" w:hAnsi="Times New Roman" w:cs="Times New Roman"/>
          <w:b/>
          <w:i/>
          <w:sz w:val="20"/>
        </w:rPr>
        <w:t xml:space="preserve">as violations of </w:t>
      </w:r>
      <w:r>
        <w:rPr>
          <w:rFonts w:ascii="Times New Roman" w:eastAsia="Times New Roman" w:hAnsi="Times New Roman" w:cs="Times New Roman"/>
          <w:b/>
          <w:i/>
          <w:sz w:val="20"/>
        </w:rPr>
        <w:t>“truth-in-advertising</w:t>
      </w:r>
      <w:r>
        <w:rPr>
          <w:rFonts w:ascii="Times New Roman" w:eastAsia="Times New Roman" w:hAnsi="Times New Roman" w:cs="Times New Roman"/>
          <w:b/>
          <w:i/>
          <w:sz w:val="20"/>
        </w:rPr>
        <w:t>”</w:t>
      </w:r>
      <w:r>
        <w:rPr>
          <w:rFonts w:ascii="Times New Roman" w:eastAsia="Times New Roman" w:hAnsi="Times New Roman" w:cs="Times New Roman"/>
          <w:b/>
          <w:i/>
          <w:sz w:val="20"/>
        </w:rPr>
        <w:t xml:space="preserve"> laws,</w:t>
      </w:r>
      <w:r>
        <w:rPr>
          <w:rFonts w:ascii="Times New Roman" w:eastAsia="Times New Roman" w:hAnsi="Times New Roman" w:cs="Times New Roman"/>
          <w:b/>
          <w:i/>
          <w:sz w:val="20"/>
        </w:rPr>
        <w:t xml:space="preserve"> the FTC Endorsement Guide and other similar global regulatory requirements and, more generally, loss of consumer confidence.</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As the practice of targeted advertising is increasingly scrutinized by both regulators and the industry alike, a greater emphasis has been placed on educating consumers about their privacy choices on the Internet, and providing them with the right to opt in or opt out of targeted advertising. The common thread throughout both targeted advertising and the FTC requirements described in detail in the section “Business - Government Regulation” is the increased importance placed on transparency between the marketer and the consumer to ensure that consumers know the difference between “information” and “advertising” on the Internet, and are afforded the opportunity to decide how their personal information will be used in the manner to which they are marketed. There is a risk regarding negative consumer perception of the practice of “undisclosed compensation” of social media users to endorse specific products. As described in the section “Business - Government Regulation,” we undertake various measures through controls across our platforms and by monitoring and enforcing our code of ethics to ensure that marketers and creators comply with the FTC's Endorsement Guide (and analogous laws and guidance in other countries) when utilizing our websites, but if competitors and other companies do not, it could create a negative overall perception for the industry. Not only will readers stop relying on blogs for useful, timely and insightful information that enrich their lives by having access to up-to-the-minute information that often bears different perspectives and philosophies, but a lack of compliance will almost inevitably result in greater governmental oversight and involvement in an already-highly regulated marketplace. A pervasive overall negative perception caused by a failure of our own preventative measures or by others not complying with the FTC's Endorsement Guide (among the FTC's other acts, regulations and policies, and among analogous laws and guidance in other countries,) could result in reduced revenue and results of operations and higher compliance costs for us.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Failure to comply with federal, state and international privacy laws and regulations, or the expansion of current or the enactment of new privacy laws or regulations, could adversely affect our business.</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 variety of federal, state and international laws and regulations govern the collection, use, retention, sharing and security of personal information (“Privacy Laws”). Privacy Laws are evolving and subject to potentially differing interpretations. The European Union adopted the GDPR, which went into effect in May 2018, and requires companies to satisfy stricter requirements regarding the handling of personal and sensitive data, including its collection, use, protection and the ability of persons whose data is stored to correct or delete such data about themselves. EU Member States also are enacting national GDPR-implementing laws that are in some cases stricter or different from GDPR.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2018, Brazil enacted a law similar to GDPR and other countries are expanding or considering their Privacy Laws to follow suit. Complying with these new and expanded Privacy Laws will cause us to incur substantial operational costs or may require us to change our business practices. For example, noncompliance with the GDPR could result in proceedings against us by governmental entities or others and fines up to the greater of €20 million or 4% of annual global revenues as well as damage to our reputation and brand. We also may find it necessary to establish systems to effectuate cross-border personal data transfers of personal information originating from the European Economic Area, Australia, Japan and other non-U.S. jurisdictions, which may involve substantial expense and distraction from other aspects of our business.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have made public certain statements about our privacy practices concerning the collection, use and disclosure of creators' personal information on our websites and platforms. Several Internet companies have incurred penalties for failing to abide by the representations made in their public-facing privacy </w:t>
      </w:r>
      <w:r>
        <w:rPr>
          <w:rFonts w:ascii="Times New Roman" w:eastAsia="Times New Roman" w:hAnsi="Times New Roman" w:cs="Times New Roman"/>
          <w:sz w:val="20"/>
        </w:rPr>
        <w:t>notices</w:t>
      </w:r>
      <w:r>
        <w:rPr>
          <w:rFonts w:ascii="Times New Roman" w:eastAsia="Times New Roman" w:hAnsi="Times New Roman" w:cs="Times New Roman"/>
          <w:sz w:val="20"/>
        </w:rPr>
        <w:t xml:space="preserve">. In addition, several states have adopted legislation that requires businesses to implement and maintain reasonable security procedures and practices to protect sensitive personal information and to provide notice to consumers in the event of a security breach. Any failure, or perceived failure, by us to comply with our public-facing privacy </w:t>
      </w:r>
      <w:r>
        <w:rPr>
          <w:rFonts w:ascii="Times New Roman" w:eastAsia="Times New Roman" w:hAnsi="Times New Roman" w:cs="Times New Roman"/>
          <w:sz w:val="20"/>
        </w:rPr>
        <w:t>notices</w:t>
      </w:r>
      <w:r>
        <w:rPr>
          <w:rFonts w:ascii="Times New Roman" w:eastAsia="Times New Roman" w:hAnsi="Times New Roman" w:cs="Times New Roman"/>
          <w:sz w:val="20"/>
        </w:rPr>
        <w:t>, FTC requirements or orders or other federal, state or international privacy or consumer protection-related laws, regulations or industry self-regulatory principles could result in claims, proceedings or actions against us by governmental or other entities or the incurring by us of other liabilities, which could adversely affect our business. In addition, a failure or perceived failure to comply with industry standards or with our own privacy policies and practices could result in a loss of creators or marketers and adversely affect our business. Federal, state</w:t>
      </w:r>
      <w:r>
        <w:rPr>
          <w:rFonts w:ascii="Times New Roman" w:eastAsia="Times New Roman" w:hAnsi="Times New Roman" w:cs="Times New Roman"/>
          <w:sz w:val="20"/>
        </w:rPr>
        <w:t>,</w:t>
      </w:r>
      <w:r>
        <w:rPr>
          <w:rFonts w:ascii="Times New Roman" w:eastAsia="Times New Roman" w:hAnsi="Times New Roman" w:cs="Times New Roman"/>
          <w:sz w:val="20"/>
        </w:rPr>
        <w:t xml:space="preserve"> and international governmental authorities continue to evaluate the privacy implications of targeted advertising, such as the use of cookies and other tracking technology. The regulation of these cookies and other current online advertising practices could adversely affect our business.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Our business depends on a strong brand, and if we are not able to maintain and enhance our brand, or if we receive unfavorable media coverage, our ability to expand our base of creators and marketers will be impaired and our business and operating results will be harmed.</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believe that the brand identity that we have developed has significantly contributed to the success of our business. We also believe that maintaining and enhancing the “IZEA” brand is critical to expanding our base of creators and marketers. Maintaining and enhancing our brand may require us to make substantial investments and these investments may not be successful. If we fail to promote, maintain, and protect the “IZEA” brand, or if we incur excessive expenses in this effort, our business, prospects, operating results</w:t>
      </w:r>
      <w:r>
        <w:rPr>
          <w:rFonts w:ascii="Times New Roman" w:eastAsia="Times New Roman" w:hAnsi="Times New Roman" w:cs="Times New Roman"/>
          <w:sz w:val="20"/>
        </w:rPr>
        <w:t>,</w:t>
      </w:r>
      <w:r>
        <w:rPr>
          <w:rFonts w:ascii="Times New Roman" w:eastAsia="Times New Roman" w:hAnsi="Times New Roman" w:cs="Times New Roman"/>
          <w:sz w:val="20"/>
        </w:rPr>
        <w:t xml:space="preserve"> and financial condition will be materially and adversely affected. We anticipate that, as our market becomes increasingly competitive, maintaining and enhancing our brand may become increasingly difficult and expensive. Unfavorable publicity or consumer perception of our platforms, applications, practices or service offerings, or the offerings of our marketers, could adversely affect our reputation, resulting in difficulties in recruiting, decreased revenue and a negative impact on the number of marketers and the size of our creator base, the loyalty of our creators and the number and variety of sponsorships we offer each day. As a result, our business, prospects, results of operation</w:t>
      </w:r>
      <w:r>
        <w:rPr>
          <w:rFonts w:ascii="Times New Roman" w:eastAsia="Times New Roman" w:hAnsi="Times New Roman" w:cs="Times New Roman"/>
          <w:sz w:val="20"/>
        </w:rPr>
        <w:t>,</w:t>
      </w:r>
      <w:r>
        <w:rPr>
          <w:rFonts w:ascii="Times New Roman" w:eastAsia="Times New Roman" w:hAnsi="Times New Roman" w:cs="Times New Roman"/>
          <w:sz w:val="20"/>
        </w:rPr>
        <w:t xml:space="preserve"> and financial condition could be materially and adversely affected.</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Our business depends on our ability to maintain and scale the network infrastructure necessary to operate our platforms and applications, and any significant disruption in service on our platforms and applications could result in a loss of creators or marketers.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Creators and marketers access our services through our platforms and applications. Our reputation and ability to acquire, retain, and serve our creators and marketers are dependent upon the reliable performance of our platforms and applications and the underlying network infrastructure. If our creator base continues to grow, we will need an increasing amount of network capacity and computing power. We have spent and expect to continue to spend substantial amounts for data centers and equipment and related network infrastructure to handle the traffic on our platforms and applications. The operation of these systems is expensive and complex and could result in operational failures. In the event that our creator base or the amount of traffic on our platforms and applications grows more quickly than anticipated, we may be required to incur significant additional costs. Interruptions in these systems, whether due to system failures, computer viruses or physical or electronic break-ins, could affect the security or availability of our platforms and applications, and prevent our creators and marketers from accessing our services. A substantial portion of our network infrastructure is hosted by third-party providers. Any disruption in these services or any failure of these providers to handle existing or increased traffic could significantly harm our business. Any financial or other difficulties these providers face may adversely affect our business, and we exercise little control over these providers, which increases our vulnerability to problems with the services they provide. If we do not maintain or expand our network infrastructure successfully or if we experience operational failures, we could lose current and potential creators and marketers or transactions between the two groups, which could harm our operating results and financial condition.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If our security measures are breached, or if our services are subject to attacks that degrade or deny the ability of users to access our platforms, our platforms and applications may be perceived as not being secure, marketers and creators may curtail or stop using our services, and we may incur significant legal and financial exposure.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Our platforms and applications and the network infrastructure that is hosted by third-party providers involve the storage and transmission of marketer and creator proprietary information, and security breaches could expose us to a risk of loss of this information, litigation and potential liability. Our security measures may be breached due to the actions of outside parties, employee error, malfeasance, security flaws in the third-party hosting service that we rely upon or any number of other reasons and, as a result, an unauthorized party may obtain access to our data or our marketers' or creators' data. Additionally, outside parties may attempt to fraudulently induce employees, marketers or creators to disclose sensitive information in order to gain access to our data or our marketers' or creators' data.</w:t>
      </w:r>
      <w:r>
        <w:rPr>
          <w:rFonts w:ascii="Times New Roman" w:eastAsia="Times New Roman" w:hAnsi="Times New Roman" w:cs="Times New Roman"/>
          <w:sz w:val="20"/>
        </w:rPr>
        <w:t> Although we do have security measures in place, we have had instances where some customers have used fraudulent credit cards in order to pay for our services. While these breaches of our security did not result in material harm to our business, any future breach or unauthorized access could result in significant legal and financial exposure, damage to our reputation and a loss of confidence in the security of our platforms and applications that could potentially have an adverse effect on our business. Because the techniques used to obtain and use unauthorized credit cards, obtain unauthorized access, disable or degrade service, or sabotage systems change frequently and often are not recognized until launched against a target, we may be unable to anticipate these techniques or to implement adequate preventative measures on a timely basis. If an actual or perceived breach of our security occurs, the market perception of the effectiveness of our security measures could be harmed and we could lose marketers, creators</w:t>
      </w:r>
      <w:r>
        <w:rPr>
          <w:rFonts w:ascii="Times New Roman" w:eastAsia="Times New Roman" w:hAnsi="Times New Roman" w:cs="Times New Roman"/>
          <w:sz w:val="20"/>
        </w:rPr>
        <w:t>,</w:t>
      </w:r>
      <w:r>
        <w:rPr>
          <w:rFonts w:ascii="Times New Roman" w:eastAsia="Times New Roman" w:hAnsi="Times New Roman" w:cs="Times New Roman"/>
          <w:sz w:val="20"/>
        </w:rPr>
        <w:t xml:space="preserve"> and vendors and have difficulty obtaining merchant processors or insurance coverage essential for our operations.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If our technology platforms contain defects, we may need to suspend their availability and our business and reputation would be</w:t>
      </w:r>
      <w:r>
        <w:rPr>
          <w:rFonts w:ascii="Times New Roman" w:eastAsia="Times New Roman" w:hAnsi="Times New Roman" w:cs="Times New Roman"/>
          <w:b/>
          <w:sz w:val="20"/>
        </w:rPr>
        <w:t xml:space="preserve"> </w:t>
      </w:r>
      <w:r>
        <w:rPr>
          <w:rFonts w:ascii="Times New Roman" w:eastAsia="Times New Roman" w:hAnsi="Times New Roman" w:cs="Times New Roman"/>
          <w:b/>
          <w:i/>
          <w:sz w:val="20"/>
        </w:rPr>
        <w:t>harmed.</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Platforms as complex as ours often contain unknown and undetected defects or performance problems. Many serious defects are frequently found during the period immediately following introduction and initial release of new platforms or enhancements to existing platforms. Although we attempt to resolve all defects that we believe would be considered serious by our customers before making our platforms available to them, our products are not defect-free. We may not be able to detect and correct defects before releasing our product commercially. We cannot ensure that undetected defects or performance problems in our existing or future products will not be discovered in the future or that known defects, considered minor by us, will not result in serious issues for our customers. Any such defects or performance problems may be considered serious by our customers, resulting in a decrease in our revenues.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We may be subject to lawsuits for information by our marketers and our creators, which may affect our business.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Laws relating to the liability of providers of online services for activities of their marketers or of their social media creators and for the content of their marketers' listings are currently unsettled. It is unclear whether we could be subjected to claims for defamation, negligence, copyright or trademark infringement or claims based on other theories relating to the information we publish on our websites or the information that is published across our platforms. These types of claims have been brought, sometimes successfully, against online services and print publications in the past. We may not successfully avoid civil or criminal liability for unlawful activities carried out by our marketers or our creators. Our potential liability for unlawful activities of our marketers or our creators or for the content of our marketers' listings could require us to implement measures to reduce our exposure to such liability, which may require us, among other things, to spend substantial resources or to discontinue certain service offerings. Our insurance may not adequately protect us against these types of claims and the defense of such claims may divert the attention of our management from our operations. If we are subjected to such lawsuits, it may adversely affect our business.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If we fail to detect click-fraud or other invalid clicks, we could lose the confidence of our marketers and advertising partners as a result of lost revenue to marketers or misappropriation of proprietary and confidential information, thereby causing our</w:t>
      </w:r>
      <w:r>
        <w:rPr>
          <w:rFonts w:ascii="Times New Roman" w:eastAsia="Times New Roman" w:hAnsi="Times New Roman" w:cs="Times New Roman"/>
          <w:b/>
          <w:sz w:val="20"/>
        </w:rPr>
        <w:t xml:space="preserve"> </w:t>
      </w:r>
      <w:r>
        <w:rPr>
          <w:rFonts w:ascii="Times New Roman" w:eastAsia="Times New Roman" w:hAnsi="Times New Roman" w:cs="Times New Roman"/>
          <w:b/>
          <w:i/>
          <w:sz w:val="20"/>
        </w:rPr>
        <w:t>business to suffer.</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“Click-fraud” is a form of online fraud when a person or computer program imitates a legitimate user by intentionally clicking on an advertisement for the purpose of generating a charge per click without having an actual interest in the target of the advertisement's link. We are exposed to the risk of fraudulent or illegitimate clicks on our sponsored listings. The security measures we have in place, which are designed to reduce the likelihood of click-fraud, detect click-fraud from time to time. Although the instances of click-fraud that we have detected to date have not had a material effect on our business, click-fraud could result in a marketer experiencing a reduced return on their investment in our advertising programs because the fraudulent clicks will not lead to revenue for the marketers. As a result, our marketers and advertising partners may become dissatisfied with our advertising programs, which could lead to loss of marketers, advertising partners</w:t>
      </w:r>
      <w:r>
        <w:rPr>
          <w:rFonts w:ascii="Times New Roman" w:eastAsia="Times New Roman" w:hAnsi="Times New Roman" w:cs="Times New Roman"/>
          <w:sz w:val="20"/>
        </w:rPr>
        <w:t>,</w:t>
      </w:r>
      <w:r>
        <w:rPr>
          <w:rFonts w:ascii="Times New Roman" w:eastAsia="Times New Roman" w:hAnsi="Times New Roman" w:cs="Times New Roman"/>
          <w:sz w:val="20"/>
        </w:rPr>
        <w:t xml:space="preserve"> and revenue. In addition, anyone who is able to circumvent our security measures could misappropriate proprietary and confidential information or could cause interruptions in our operations. We may be required to expend significant capital and other resources to protect against such security breaches or to address problems caused by such breaches. Concerns over the security of the Internet and other online transactions and the privacy of users may also deter people from using the Internet to conduct transactions that involve transmitting confidential information.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The influencer and content marketing industry is subject to rapid technological change and, to compete, we must continually enhance our products and services.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must continue to enhance and improve the performance, functionality</w:t>
      </w:r>
      <w:r>
        <w:rPr>
          <w:rFonts w:ascii="Times New Roman" w:eastAsia="Times New Roman" w:hAnsi="Times New Roman" w:cs="Times New Roman"/>
          <w:sz w:val="20"/>
        </w:rPr>
        <w:t>,</w:t>
      </w:r>
      <w:r>
        <w:rPr>
          <w:rFonts w:ascii="Times New Roman" w:eastAsia="Times New Roman" w:hAnsi="Times New Roman" w:cs="Times New Roman"/>
          <w:sz w:val="20"/>
        </w:rPr>
        <w:t xml:space="preserve"> and reliability of our products and services. The influencer and content marketing industry is characterized by rapid technological change, changes in user requirements and preferences, frequent new product and service introductions embodying new technologies and the emergence of new industry standards and practices that could render our products and services obsolete. In the past, we have discovered that some of our customers desire additional performance and functionality not currently offered by our products. Our success will depend, in part, on our ability to develop new products and services that address the increasingly sophisticated and varied needs of our customers, and respond to technological advances and emerging industry standards and practices on a cost-effective and timely basis. The development of our technology and other proprietary technology involves significant technical and business risks. We may fail to use new technologies effectively or to adapt our proprietary technology and systems to customer requirements or emerging industry standards. If we are unable to adapt to changing market conditions, customer requirements or emerging industry standards, we may not be able to increase our revenue and expand our business.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If we lose key personnel or are unable to attract and retain additional qualified personnel we may not be able to successfully manage</w:t>
      </w:r>
      <w:r>
        <w:rPr>
          <w:rFonts w:ascii="Times New Roman" w:eastAsia="Times New Roman" w:hAnsi="Times New Roman" w:cs="Times New Roman"/>
          <w:b/>
          <w:sz w:val="20"/>
        </w:rPr>
        <w:t xml:space="preserve"> </w:t>
      </w:r>
      <w:r>
        <w:rPr>
          <w:rFonts w:ascii="Times New Roman" w:eastAsia="Times New Roman" w:hAnsi="Times New Roman" w:cs="Times New Roman"/>
          <w:b/>
          <w:i/>
          <w:sz w:val="20"/>
        </w:rPr>
        <w:t>our business and achieve our objectives.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believe our future success will depend upon our ability to retain our key management, including Edward H. Murphy, our </w:t>
      </w:r>
      <w:r>
        <w:rPr>
          <w:rFonts w:ascii="Times New Roman" w:eastAsia="Times New Roman" w:hAnsi="Times New Roman" w:cs="Times New Roman"/>
          <w:sz w:val="20"/>
        </w:rPr>
        <w:t xml:space="preserve">Chief Executive Officer, and Ryan S. Schram, our </w:t>
      </w:r>
      <w:r>
        <w:rPr>
          <w:rFonts w:ascii="Times New Roman" w:eastAsia="Times New Roman" w:hAnsi="Times New Roman" w:cs="Times New Roman"/>
          <w:sz w:val="20"/>
        </w:rPr>
        <w:t xml:space="preserve">President and </w:t>
      </w:r>
      <w:r>
        <w:rPr>
          <w:rFonts w:ascii="Times New Roman" w:eastAsia="Times New Roman" w:hAnsi="Times New Roman" w:cs="Times New Roman"/>
          <w:sz w:val="20"/>
        </w:rPr>
        <w:t xml:space="preserve">Chief Operating Officer. Mr. Murphy, who is our founder, has unique knowledge regarding the influencer marketing space, business contacts, and system design and development expertise regarding our platforms that would be difficult to replace. Mr. Schram has sales, marketing, and business development expertise that our other officers do not possess. Even though we have employment agreements in place with each of them, if Messrs. Murphy and Schram were to become unavailable to us, our operations would be adversely affected. Although we maintain “key-man” life insurance for our benefit on the lives of Mr. Murphy and Mr. Schram, this insurance may be inadequate to compensate us for the loss of our executive officers.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future success and our ability to expand our operations will also depend in large part on our ability to attract and retain additional qualified engineers, sales and marketing and senior management personnel. Competition for these types of employees is intense due to the limited number of qualified professionals and the high demand for them, particularly in the Orlando, Florida area where our headquarters are located. We have in the past experienced difficulty in recruiting qualified personnel. Failure to attract, assimilate and retain personnel, including key management, technical, sales and marketing personnel, would have a material adverse effect on our business and potential growth.</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Public company compliance may make it more difficult to attract and retain officers and directors.</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Sarbanes-Oxley Act and new rules subsequently implemented by the SEC have required changes in corporate governance practices of public companies.</w:t>
      </w:r>
      <w:r>
        <w:rPr>
          <w:rFonts w:ascii="Times New Roman" w:eastAsia="Times New Roman" w:hAnsi="Times New Roman" w:cs="Times New Roman"/>
          <w:sz w:val="20"/>
        </w:rPr>
        <w:t> As a public company, we expect these rules and regulations to increase our compliance costs and to make certain activities more time consuming and costly.</w:t>
      </w:r>
      <w:r>
        <w:rPr>
          <w:rFonts w:ascii="Times New Roman" w:eastAsia="Times New Roman" w:hAnsi="Times New Roman" w:cs="Times New Roman"/>
          <w:sz w:val="20"/>
        </w:rPr>
        <w:t> As a public company, we also expect that these rules and regulations may make it more difficult and expensive for us to obtain director and officer liability insurance and we may be required to accept reduced policy limits and coverage or incur substantially higher costs to obtain the same or similar coverage. </w:t>
      </w:r>
      <w:r>
        <w:rPr>
          <w:rFonts w:ascii="Times New Roman" w:eastAsia="Times New Roman" w:hAnsi="Times New Roman" w:cs="Times New Roman"/>
          <w:sz w:val="20"/>
        </w:rPr>
        <w:t>As a result, it may be more difficult and costly for us to attract and retain qualified persons to serve on our Board of Directors or as executive officers.</w:t>
      </w:r>
    </w:p>
    <w:p>
      <w:pPr>
        <w:keepNext w:val="0"/>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Risks Relating to our Common Stock</w:t>
      </w:r>
    </w:p>
    <w:p>
      <w:pPr>
        <w:keepNext w:val="0"/>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Our common stock may be delisted if we fail to maintain compliance with the requirements for continued listing on the Nasdaq Capital Market, and the price of our common stock and our ability to access the capital markets could be negatively impacted.</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common stock is listed for trading on the Nasdaq Capital Market (“Nasdaq”). To maintain this listing, we must satisfy Nasdaq’s continued listing requirements, including, among other things, a minimum closing bid price requirement of $1.00 per share for continued inclusion on the Nasdaq Capital Market under Nasdaq Listing Rule 5450(a)(1) (the "Bid Price Rule").</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November 12, 2020, we received a notification letter from Nasdaq informing us that for the prior 30 consecutive business days, the bid price of our common stock had closed below $1.00 per share. This notice had no immediate effect on our Nasdaq listing, and we had 180 calendar days, or until May 11, 2021, to regain compliance.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January 6, 2021, we received notification from Nasdaq that we had regained compliance with the Bid Price Rule after the closing bid price of our common stock was at $1.00 per share or greater for the prior 10 consecutive business days. </w:t>
      </w:r>
      <w:r>
        <w:rPr>
          <w:rFonts w:ascii="Times New Roman" w:eastAsia="Times New Roman" w:hAnsi="Times New Roman" w:cs="Times New Roman"/>
          <w:sz w:val="20"/>
        </w:rPr>
        <w:tab/>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Although we are now in compliance with the Bid Price Rule, if we fail to meet this or any of the other continued listing requirements in the future, our common stock may be delisted from Nasdaq, which could reduce the liquidity of our common stock materially and result in a corresponding material reduction in the price of our common stock. In addition, delisting could harm our ability to raise capital through alternative financing sources on terms acceptable to us, or at all, and may result in the potential loss of confidence by investors, employees</w:t>
      </w:r>
      <w:r>
        <w:rPr>
          <w:rFonts w:ascii="Times New Roman" w:eastAsia="Times New Roman" w:hAnsi="Times New Roman" w:cs="Times New Roman"/>
          <w:sz w:val="20"/>
        </w:rPr>
        <w:t>,</w:t>
      </w:r>
      <w:r>
        <w:rPr>
          <w:rFonts w:ascii="Times New Roman" w:eastAsia="Times New Roman" w:hAnsi="Times New Roman" w:cs="Times New Roman"/>
          <w:sz w:val="20"/>
        </w:rPr>
        <w:t xml:space="preserve"> and business development opportunities. Such a delisting likely would impair your ability to sell or purchase our common stock when you wish to do so. Further, if we were to be delisted from Nasdaq, our common stock may no longer be recognized as a “covered security” and we would be subject to regulation in each state in which we offer our securities. Thus, delisting from Nasdaq could adversely affect our ability to raise additional financing through the public or private sale of equity securities, would significantly impact the ability of investors to trade our securities and would negatively impact the value and liquidity of our common stock.</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We have raised, and may</w:t>
      </w:r>
      <w:r>
        <w:rPr>
          <w:rFonts w:ascii="Times New Roman" w:eastAsia="Times New Roman" w:hAnsi="Times New Roman" w:cs="Times New Roman"/>
          <w:b/>
          <w:i/>
          <w:sz w:val="20"/>
        </w:rPr>
        <w:t xml:space="preserve"> </w:t>
      </w:r>
      <w:r>
        <w:rPr>
          <w:rFonts w:ascii="Times New Roman" w:eastAsia="Times New Roman" w:hAnsi="Times New Roman" w:cs="Times New Roman"/>
          <w:b/>
          <w:i/>
          <w:sz w:val="20"/>
        </w:rPr>
        <w:t>raise, additional capital to meet our business requirements in the future and such capital raising may be costly or difficult to obtain and could dilute current stockholders’ ownership interests.</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have incurred losses since inception and expect to continue to incur losses until we are able to significantly grow our revenues. </w:t>
      </w:r>
      <w:r>
        <w:rPr>
          <w:rFonts w:ascii="Times New Roman" w:eastAsia="Times New Roman" w:hAnsi="Times New Roman" w:cs="Times New Roman"/>
          <w:sz w:val="20"/>
        </w:rPr>
        <w:t xml:space="preserve">From 2019 to 2020, we incurred a year-over-year decrease in revenue. </w:t>
      </w:r>
      <w:r>
        <w:rPr>
          <w:rFonts w:ascii="Times New Roman" w:eastAsia="Times New Roman" w:hAnsi="Times New Roman" w:cs="Times New Roman"/>
          <w:sz w:val="20"/>
        </w:rPr>
        <w:t xml:space="preserve">If our annual revenue does not increase, we may need additional financing to maintain and expand our business. </w:t>
      </w:r>
      <w:r>
        <w:rPr>
          <w:rFonts w:ascii="Times New Roman" w:eastAsia="Times New Roman" w:hAnsi="Times New Roman" w:cs="Times New Roman"/>
          <w:sz w:val="20"/>
        </w:rPr>
        <w:t xml:space="preserve">This financing may be obtained through our at-the-market </w:t>
      </w:r>
      <w:r>
        <w:rPr>
          <w:rFonts w:ascii="Times New Roman" w:eastAsia="Times New Roman" w:hAnsi="Times New Roman" w:cs="Times New Roman"/>
          <w:sz w:val="20"/>
        </w:rPr>
        <w:t xml:space="preserve">(ATM) </w:t>
      </w:r>
      <w:r>
        <w:rPr>
          <w:rFonts w:ascii="Times New Roman" w:eastAsia="Times New Roman" w:hAnsi="Times New Roman" w:cs="Times New Roman"/>
          <w:sz w:val="20"/>
        </w:rPr>
        <w:t xml:space="preserve">equity offering program under the sales agreement, dated January 25, 2021, with National Securities Corporation acting as sales agent, pursuant to which we may sell common stock having an aggregate offering price of up to $35,000,000. Any additional capital raised through our at-the-market equity offering program or any other financing involving </w:t>
      </w:r>
      <w:r>
        <w:rPr>
          <w:rFonts w:ascii="Times New Roman" w:eastAsia="Times New Roman" w:hAnsi="Times New Roman" w:cs="Times New Roman"/>
          <w:sz w:val="20"/>
        </w:rPr>
        <w:t xml:space="preserve">the sale of equity or equity linked securities may dilute current stockholders’ ownership percentages and could also result in a decrease in the market value of our equity securities.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72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The terms of any securities issued by us in future capital transactions may be more favorable to new investors, and may include preferences, superior voting rights and the issuance of warrants or other derivative securities, which may have a further dilutive effect on the holders of any of our securities then outstanding.</w:t>
      </w:r>
      <w:r>
        <w:rPr>
          <w:rFonts w:ascii="Times New Roman" w:eastAsia="Times New Roman" w:hAnsi="Times New Roman" w:cs="Times New Roman"/>
          <w:sz w:val="20"/>
        </w:rPr>
        <w:t xml:space="preserve"> </w:t>
      </w:r>
      <w:r>
        <w:rPr>
          <w:rFonts w:ascii="Times New Roman" w:eastAsia="Times New Roman" w:hAnsi="Times New Roman" w:cs="Times New Roman"/>
          <w:sz w:val="20"/>
        </w:rPr>
        <w:t>In addition, we may incur substantial costs in pursuing future capital financing, including investment banking fees, legal fees, accounting fees, securities law compliance fees, printing and distribution expenses</w:t>
      </w:r>
      <w:r>
        <w:rPr>
          <w:rFonts w:ascii="Times New Roman" w:eastAsia="Times New Roman" w:hAnsi="Times New Roman" w:cs="Times New Roman"/>
          <w:sz w:val="20"/>
        </w:rPr>
        <w:t>,</w:t>
      </w:r>
      <w:r>
        <w:rPr>
          <w:rFonts w:ascii="Times New Roman" w:eastAsia="Times New Roman" w:hAnsi="Times New Roman" w:cs="Times New Roman"/>
          <w:sz w:val="20"/>
        </w:rPr>
        <w:t xml:space="preserve"> and other costs. We may be required to bear the costs even if we are unable to successfully complete any such capital financing. We may also be required to recognize non-cash expenses in connection with certain securities we issue, such as convertible promissory notes and warrants, which may adversely impact our financial results.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Exercise</w:t>
      </w:r>
      <w:r>
        <w:rPr>
          <w:rFonts w:ascii="Times New Roman" w:eastAsia="Times New Roman" w:hAnsi="Times New Roman" w:cs="Times New Roman"/>
          <w:b/>
          <w:i/>
          <w:sz w:val="20"/>
        </w:rPr>
        <w:t>s</w:t>
      </w:r>
      <w:r>
        <w:rPr>
          <w:rFonts w:ascii="Times New Roman" w:eastAsia="Times New Roman" w:hAnsi="Times New Roman" w:cs="Times New Roman"/>
          <w:b/>
          <w:i/>
          <w:sz w:val="20"/>
        </w:rPr>
        <w:t xml:space="preserve"> of stock options, warrants</w:t>
      </w:r>
      <w:r>
        <w:rPr>
          <w:rFonts w:ascii="Times New Roman" w:eastAsia="Times New Roman" w:hAnsi="Times New Roman" w:cs="Times New Roman"/>
          <w:b/>
          <w:i/>
          <w:sz w:val="20"/>
        </w:rPr>
        <w:t>,</w:t>
      </w:r>
      <w:r>
        <w:rPr>
          <w:rFonts w:ascii="Times New Roman" w:eastAsia="Times New Roman" w:hAnsi="Times New Roman" w:cs="Times New Roman"/>
          <w:b/>
          <w:i/>
          <w:sz w:val="20"/>
        </w:rPr>
        <w:t xml:space="preserve"> and other securities will dilute your percentage of ownership and could cause our stock price to fall.</w:t>
      </w:r>
      <w:r>
        <w:rPr>
          <w:rFonts w:ascii="Times New Roman" w:eastAsia="Times New Roman" w:hAnsi="Times New Roman" w:cs="Times New Roman"/>
          <w:b/>
          <w:sz w:val="20"/>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March 26, 2021</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we had </w:t>
      </w:r>
      <w:r>
        <w:rPr>
          <w:rFonts w:ascii="Times New Roman" w:eastAsia="Times New Roman" w:hAnsi="Times New Roman" w:cs="Times New Roman"/>
          <w:sz w:val="20"/>
        </w:rPr>
        <w:t>59,129,390</w:t>
      </w:r>
      <w:r>
        <w:rPr>
          <w:rFonts w:ascii="Times New Roman" w:eastAsia="Times New Roman" w:hAnsi="Times New Roman" w:cs="Times New Roman"/>
          <w:sz w:val="20"/>
        </w:rPr>
        <w:t xml:space="preserve"> shares of </w:t>
      </w:r>
      <w:r>
        <w:rPr>
          <w:rFonts w:ascii="Times New Roman" w:eastAsia="Times New Roman" w:hAnsi="Times New Roman" w:cs="Times New Roman"/>
          <w:sz w:val="20"/>
        </w:rPr>
        <w:t xml:space="preserve">our </w:t>
      </w:r>
      <w:r>
        <w:rPr>
          <w:rFonts w:ascii="Times New Roman" w:eastAsia="Times New Roman" w:hAnsi="Times New Roman" w:cs="Times New Roman"/>
          <w:sz w:val="20"/>
        </w:rPr>
        <w:t xml:space="preserve">common stock </w:t>
      </w:r>
      <w:r>
        <w:rPr>
          <w:rFonts w:ascii="Times New Roman" w:eastAsia="Times New Roman" w:hAnsi="Times New Roman" w:cs="Times New Roman"/>
          <w:sz w:val="20"/>
        </w:rPr>
        <w:t>issued</w:t>
      </w:r>
      <w:r>
        <w:rPr>
          <w:rFonts w:ascii="Times New Roman" w:eastAsia="Times New Roman" w:hAnsi="Times New Roman" w:cs="Times New Roman"/>
          <w:sz w:val="20"/>
        </w:rPr>
        <w:t xml:space="preserve"> and outst</w:t>
      </w:r>
      <w:r>
        <w:rPr>
          <w:rFonts w:ascii="Times New Roman" w:eastAsia="Times New Roman" w:hAnsi="Times New Roman" w:cs="Times New Roman"/>
          <w:sz w:val="20"/>
        </w:rPr>
        <w:t>anding</w:t>
      </w:r>
      <w:r>
        <w:rPr>
          <w:rFonts w:ascii="Times New Roman" w:eastAsia="Times New Roman" w:hAnsi="Times New Roman" w:cs="Times New Roman"/>
          <w:sz w:val="20"/>
        </w:rPr>
        <w:t>, which include</w:t>
      </w:r>
      <w:r>
        <w:rPr>
          <w:rFonts w:ascii="Times New Roman" w:eastAsia="Times New Roman" w:hAnsi="Times New Roman" w:cs="Times New Roman"/>
          <w:sz w:val="20"/>
        </w:rPr>
        <w:t>d</w:t>
      </w:r>
      <w:r>
        <w:rPr>
          <w:rFonts w:ascii="Times New Roman" w:eastAsia="Times New Roman" w:hAnsi="Times New Roman" w:cs="Times New Roman"/>
          <w:sz w:val="20"/>
        </w:rPr>
        <w:t xml:space="preserve"> </w:t>
      </w:r>
      <w:r>
        <w:rPr>
          <w:rFonts w:ascii="Times New Roman" w:eastAsia="Times New Roman" w:hAnsi="Times New Roman" w:cs="Times New Roman"/>
          <w:sz w:val="20"/>
        </w:rPr>
        <w:t>37,620</w:t>
      </w:r>
      <w:r>
        <w:rPr>
          <w:rFonts w:ascii="Times New Roman" w:eastAsia="Times New Roman" w:hAnsi="Times New Roman" w:cs="Times New Roman"/>
          <w:sz w:val="20"/>
        </w:rPr>
        <w:t xml:space="preserve"> shares of unvested restricted stock, outstanding stock options to purchase </w:t>
      </w:r>
      <w:r>
        <w:rPr>
          <w:rFonts w:ascii="Times New Roman" w:eastAsia="Times New Roman" w:hAnsi="Times New Roman" w:cs="Times New Roman"/>
          <w:sz w:val="20"/>
        </w:rPr>
        <w:t>1,742,303</w:t>
      </w:r>
      <w:r>
        <w:rPr>
          <w:rFonts w:ascii="Times New Roman" w:eastAsia="Times New Roman" w:hAnsi="Times New Roman" w:cs="Times New Roman"/>
          <w:sz w:val="20"/>
        </w:rPr>
        <w:t xml:space="preserve"> shares of our common stock at an average exercise price of </w:t>
      </w:r>
      <w:r>
        <w:rPr>
          <w:rFonts w:ascii="Times New Roman" w:eastAsia="Times New Roman" w:hAnsi="Times New Roman" w:cs="Times New Roman"/>
          <w:sz w:val="20"/>
        </w:rPr>
        <w:t>$2.55</w:t>
      </w:r>
      <w:r>
        <w:rPr>
          <w:rFonts w:ascii="Times New Roman" w:eastAsia="Times New Roman" w:hAnsi="Times New Roman" w:cs="Times New Roman"/>
          <w:sz w:val="20"/>
        </w:rPr>
        <w:t xml:space="preserve"> per share, </w:t>
      </w:r>
      <w:r>
        <w:rPr>
          <w:rFonts w:ascii="Times New Roman" w:eastAsia="Times New Roman" w:hAnsi="Times New Roman" w:cs="Times New Roman"/>
          <w:sz w:val="20"/>
        </w:rPr>
        <w:t xml:space="preserve">and </w:t>
      </w:r>
      <w:r>
        <w:rPr>
          <w:rFonts w:ascii="Times New Roman" w:eastAsia="Times New Roman" w:hAnsi="Times New Roman" w:cs="Times New Roman"/>
          <w:sz w:val="20"/>
        </w:rPr>
        <w:t xml:space="preserve">unvested restricted stock units of </w:t>
      </w:r>
      <w:r>
        <w:rPr>
          <w:rFonts w:ascii="Times New Roman" w:eastAsia="Times New Roman" w:hAnsi="Times New Roman" w:cs="Times New Roman"/>
          <w:sz w:val="20"/>
        </w:rPr>
        <w:t>569,934</w:t>
      </w:r>
      <w:r>
        <w:rPr>
          <w:rFonts w:ascii="Times New Roman" w:eastAsia="Times New Roman" w:hAnsi="Times New Roman" w:cs="Times New Roman"/>
          <w:sz w:val="20"/>
        </w:rPr>
        <w:t xml:space="preserve"> shares with an intrinsic value of </w:t>
      </w:r>
      <w:r>
        <w:rPr>
          <w:rFonts w:ascii="Times New Roman" w:eastAsia="Times New Roman" w:hAnsi="Times New Roman" w:cs="Times New Roman"/>
          <w:sz w:val="20"/>
        </w:rPr>
        <w:t>$2,308,233</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March 26, 2021</w:t>
      </w:r>
      <w:r>
        <w:rPr>
          <w:rFonts w:ascii="Times New Roman" w:eastAsia="Times New Roman" w:hAnsi="Times New Roman" w:cs="Times New Roman"/>
          <w:sz w:val="20"/>
        </w:rPr>
        <w:t xml:space="preserve">, we also have reserved shares to issue stock options, restricted stock or other awards to purchase or receive up to </w:t>
      </w:r>
      <w:r>
        <w:rPr>
          <w:rFonts w:ascii="Times New Roman" w:eastAsia="Times New Roman" w:hAnsi="Times New Roman" w:cs="Times New Roman"/>
          <w:sz w:val="20"/>
        </w:rPr>
        <w:t>3,651,597</w:t>
      </w:r>
      <w:r>
        <w:rPr>
          <w:rFonts w:ascii="Times New Roman" w:eastAsia="Times New Roman" w:hAnsi="Times New Roman" w:cs="Times New Roman"/>
          <w:sz w:val="20"/>
        </w:rPr>
        <w:t xml:space="preserve"> shares of common stock under our May 2011 Equity Incentive Plan, </w:t>
      </w:r>
      <w:r>
        <w:rPr>
          <w:rFonts w:ascii="Times New Roman" w:eastAsia="Times New Roman" w:hAnsi="Times New Roman" w:cs="Times New Roman"/>
          <w:sz w:val="20"/>
        </w:rPr>
        <w:t>4,375</w:t>
      </w:r>
      <w:r>
        <w:rPr>
          <w:rFonts w:ascii="Times New Roman" w:eastAsia="Times New Roman" w:hAnsi="Times New Roman" w:cs="Times New Roman"/>
          <w:sz w:val="20"/>
        </w:rPr>
        <w:t xml:space="preserve"> shares of common stock under our August 2011 Equity Incentive Plan, and </w:t>
      </w:r>
      <w:r>
        <w:rPr>
          <w:rFonts w:ascii="Times New Roman" w:eastAsia="Times New Roman" w:hAnsi="Times New Roman" w:cs="Times New Roman"/>
          <w:sz w:val="20"/>
        </w:rPr>
        <w:t>395,613</w:t>
      </w:r>
      <w:r>
        <w:rPr>
          <w:rFonts w:ascii="Times New Roman" w:eastAsia="Times New Roman" w:hAnsi="Times New Roman" w:cs="Times New Roman"/>
          <w:sz w:val="20"/>
        </w:rPr>
        <w:t xml:space="preserve"> shares of common stock under our 2014 Employee Stock Purchase Plan. In the future, we may grant these additional shares or issue new securities, in accordance with terms defined in employment agreements or as part of additional incentive programs. The exercise, conversion or exchange by holders of stock options, restricted stock units, or warrants for shares of common stock, or the issuance of new shares of common stock for additional compensation </w:t>
      </w:r>
      <w:r>
        <w:rPr>
          <w:rFonts w:ascii="Times New Roman" w:eastAsia="Times New Roman" w:hAnsi="Times New Roman" w:cs="Times New Roman"/>
          <w:sz w:val="20"/>
        </w:rPr>
        <w:t xml:space="preserve">will dilute the percentage ownership of our stockholders. </w:t>
      </w:r>
      <w:r>
        <w:rPr>
          <w:rFonts w:ascii="Times New Roman" w:eastAsia="Times New Roman" w:hAnsi="Times New Roman" w:cs="Times New Roman"/>
          <w:sz w:val="20"/>
        </w:rPr>
        <w:t>Issuance</w:t>
      </w:r>
      <w:r>
        <w:rPr>
          <w:rFonts w:ascii="Times New Roman" w:eastAsia="Times New Roman" w:hAnsi="Times New Roman" w:cs="Times New Roman"/>
          <w:sz w:val="20"/>
        </w:rPr>
        <w:t xml:space="preserve"> of a substantial number of shares of our common stock could cause the price of our common stock to fall and could impair our ability to raise capital by selling additional securities.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If securities or industry analysts do not publish or cease publishing research or reports about us, our business, or our market, or if they adversely change their recommendations regarding our stock, our stock price and trading volume could decline.</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 </w:t>
      </w: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trading market for our common stock is influenced by the research and reports that securities or industry analysts may publish about us, our business, our market, or our competitors. No person is under any obligation to publish research or reports on us, and any person publishing research or reports on us may discontinue doing so at any time without notice. If adequate research coverage is not maintained on our company or if any of the analysts who cover us downgrade our stock or publish inaccurate or unfavorable research about our business or provide relatively more favorable recommendations about our competitors, our stock price would likely decline. If any analysts who cover us were to cease coverage of our Company or fail to regularly publish reports on us, we could lose visibility in the financial markets, which in turn could cause our stock price or trading volume to decline.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Our earnings are subject to substantial quarterly and annual fluctuations and to market downturns.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revenues and earnings may fluctuate significantly in the future. General economic or other political conditions may cause a downturn in the market for our products or services. A future downturn in the market for our products or services could adversely affect our operating results and increase the risk of substantial quarterly and annual fluctuations in our earnings. Our future operating results may be affected by many factors, including, but not limited to: our ability to retain existing or secure anticipated marketers and creators; our ability to develop, introduce and market new products and services on a timely basis; changes in the mix of products developed, produced and sold; disputes with our marketers and creators; and general economic conditions causing a reduction in spending by our customers.</w:t>
      </w:r>
      <w:r>
        <w:rPr>
          <w:rFonts w:ascii="Times New Roman" w:eastAsia="Times New Roman" w:hAnsi="Times New Roman" w:cs="Times New Roman"/>
          <w:sz w:val="20"/>
        </w:rPr>
        <w:t> These factors affecting our future earnings are difficult to forecast and could harm our quarterly and/or annual operating results. The change in our earnings or general economic conditions may cause the market price of our common stock to fluctuate.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4"/>
        </w:rPr>
      </w:pPr>
      <w:r>
        <w:rPr>
          <w:rFonts w:ascii="Times New Roman" w:eastAsia="Times New Roman" w:hAnsi="Times New Roman" w:cs="Times New Roman"/>
          <w:b/>
          <w:i/>
          <w:sz w:val="20"/>
          <w:shd w:val="clear" w:color="auto" w:fill="FFFFFF"/>
        </w:rPr>
        <w:t>The price of our common stock in the public markets has experienced, and may in the future experience, extreme volatility due to a variety of factors, many of which are beyond our control.</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shd w:val="clear" w:color="auto" w:fill="FFFFFF"/>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4"/>
        </w:rPr>
      </w:pPr>
      <w:r>
        <w:rPr>
          <w:rFonts w:ascii="Times New Roman" w:eastAsia="Times New Roman" w:hAnsi="Times New Roman" w:cs="Times New Roman"/>
          <w:sz w:val="20"/>
        </w:rPr>
        <w:t xml:space="preserve">Since our common stock started trading on the Nasdaq Capital Market, it has been relatively thinly traded and at times been subject to price volatility. Recently our common stock has experienced extreme price </w:t>
      </w:r>
      <w:r>
        <w:rPr>
          <w:rFonts w:ascii="Times New Roman" w:eastAsia="Times New Roman" w:hAnsi="Times New Roman" w:cs="Times New Roman"/>
          <w:sz w:val="20"/>
        </w:rPr>
        <w:t>and volum</w:t>
      </w:r>
      <w:r>
        <w:rPr>
          <w:rFonts w:ascii="Times New Roman" w:eastAsia="Times New Roman" w:hAnsi="Times New Roman" w:cs="Times New Roman"/>
          <w:sz w:val="20"/>
        </w:rPr>
        <w:t xml:space="preserve">e </w:t>
      </w:r>
      <w:r>
        <w:rPr>
          <w:rFonts w:ascii="Times New Roman" w:eastAsia="Times New Roman" w:hAnsi="Times New Roman" w:cs="Times New Roman"/>
          <w:sz w:val="20"/>
        </w:rPr>
        <w:t>volatility</w:t>
      </w:r>
      <w:r>
        <w:rPr>
          <w:rFonts w:ascii="Times New Roman" w:eastAsia="Times New Roman" w:hAnsi="Times New Roman" w:cs="Times New Roman"/>
          <w:sz w:val="20"/>
        </w:rPr>
        <w:t>. From January 1, 2020 to December 31, 2020, the closing price of our common stock ranged from a low of $0.13 on March 18, 2020 to a high of $2.82 on June 11, 2020, with an average daily trading volume of 6</w:t>
      </w:r>
      <w:r>
        <w:rPr>
          <w:rFonts w:ascii="Times New Roman" w:eastAsia="Times New Roman" w:hAnsi="Times New Roman" w:cs="Times New Roman"/>
          <w:sz w:val="20"/>
        </w:rPr>
        <w:t>.</w:t>
      </w:r>
      <w:r>
        <w:rPr>
          <w:rFonts w:ascii="Times New Roman" w:eastAsia="Times New Roman" w:hAnsi="Times New Roman" w:cs="Times New Roman"/>
          <w:sz w:val="20"/>
        </w:rPr>
        <w:t>7</w:t>
      </w:r>
      <w:r>
        <w:rPr>
          <w:rFonts w:ascii="Times New Roman" w:eastAsia="Times New Roman" w:hAnsi="Times New Roman" w:cs="Times New Roman"/>
          <w:sz w:val="20"/>
        </w:rPr>
        <w:t xml:space="preserve"> million</w:t>
      </w:r>
      <w:r>
        <w:rPr>
          <w:rFonts w:ascii="Times New Roman" w:eastAsia="Times New Roman" w:hAnsi="Times New Roman" w:cs="Times New Roman"/>
          <w:sz w:val="20"/>
        </w:rPr>
        <w:t xml:space="preserve"> shares. On January 25, 2021, the price increased to an intraday high of $7.45 per share and 25,323,000 shares were traded. Otherwise, in January 2021 the closing price of our common stock averaged $3.65 with an average daily trading volume of 8.9 million shares and, in February 2021, the closing price of our common stock averaged $4.70 with an average daily trading volume of 4.0 million shares. </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In addition to shares of our common stock</w:t>
      </w:r>
      <w:r>
        <w:rPr>
          <w:rFonts w:ascii="Times New Roman" w:eastAsia="Times New Roman" w:hAnsi="Times New Roman" w:cs="Times New Roman"/>
          <w:sz w:val="20"/>
        </w:rPr>
        <w:t>, the stock market in general, and the stock prices of technology-based companies in particular, have experienced volatility that often has been unrelated to the operating performance of any specific public company. </w:t>
      </w:r>
      <w:r>
        <w:rPr>
          <w:rFonts w:ascii="Times New Roman" w:eastAsia="Times New Roman" w:hAnsi="Times New Roman" w:cs="Times New Roman"/>
          <w:sz w:val="20"/>
        </w:rPr>
        <w:t>The market price of our common stock has historically experienced and may continue to experience significant volatility. As a result, the market price could fluctuate widely in price in response to various factors, many of which are beyond our control, including the following:</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6"/>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changes in our industry;</w:t>
      </w:r>
    </w:p>
    <w:p>
      <w:pPr>
        <w:keepNext/>
        <w:keepLines/>
        <w:pageBreakBefore w:val="0"/>
        <w:widowControl w:val="0"/>
        <w:numPr>
          <w:ilvl w:val="0"/>
          <w:numId w:val="6"/>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competitive pricing pressures;</w:t>
      </w:r>
    </w:p>
    <w:p>
      <w:pPr>
        <w:keepNext/>
        <w:keepLines/>
        <w:pageBreakBefore w:val="0"/>
        <w:widowControl w:val="0"/>
        <w:numPr>
          <w:ilvl w:val="0"/>
          <w:numId w:val="6"/>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ability to obtain working capital financing;</w:t>
      </w:r>
    </w:p>
    <w:p>
      <w:pPr>
        <w:keepNext/>
        <w:keepLines/>
        <w:pageBreakBefore w:val="0"/>
        <w:widowControl w:val="0"/>
        <w:numPr>
          <w:ilvl w:val="0"/>
          <w:numId w:val="6"/>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additions or departures of key personnel;</w:t>
      </w:r>
    </w:p>
    <w:p>
      <w:pPr>
        <w:keepNext/>
        <w:keepLines/>
        <w:pageBreakBefore w:val="0"/>
        <w:widowControl w:val="0"/>
        <w:numPr>
          <w:ilvl w:val="0"/>
          <w:numId w:val="6"/>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limited “public float” in the hands of a small number of persons whose sales or lack of sales could result in positive or negative pricing pressure on the market prices of our common stock;</w:t>
      </w:r>
    </w:p>
    <w:p>
      <w:pPr>
        <w:keepNext/>
        <w:keepLines/>
        <w:pageBreakBefore w:val="0"/>
        <w:widowControl w:val="0"/>
        <w:numPr>
          <w:ilvl w:val="0"/>
          <w:numId w:val="6"/>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speculative trading practices of certain market participants;</w:t>
      </w:r>
    </w:p>
    <w:p>
      <w:pPr>
        <w:keepNext w:val="0"/>
        <w:keepLines/>
        <w:pageBreakBefore w:val="0"/>
        <w:widowControl w:val="0"/>
        <w:numPr>
          <w:ilvl w:val="0"/>
          <w:numId w:val="6"/>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actual or purported </w:t>
      </w:r>
      <w:r>
        <w:rPr>
          <w:rFonts w:ascii="Times New Roman" w:eastAsia="Times New Roman" w:hAnsi="Times New Roman" w:cs="Times New Roman"/>
          <w:sz w:val="20"/>
        </w:rPr>
        <w:t>“</w:t>
      </w:r>
      <w:r>
        <w:rPr>
          <w:rFonts w:ascii="Times New Roman" w:eastAsia="Times New Roman" w:hAnsi="Times New Roman" w:cs="Times New Roman"/>
          <w:sz w:val="20"/>
        </w:rPr>
        <w:t>short squeeze</w:t>
      </w:r>
      <w:r>
        <w:rPr>
          <w:rFonts w:ascii="Times New Roman" w:eastAsia="Times New Roman" w:hAnsi="Times New Roman" w:cs="Times New Roman"/>
          <w:sz w:val="20"/>
        </w:rPr>
        <w:t>”</w:t>
      </w:r>
      <w:r>
        <w:rPr>
          <w:rFonts w:ascii="Times New Roman" w:eastAsia="Times New Roman" w:hAnsi="Times New Roman" w:cs="Times New Roman"/>
          <w:sz w:val="20"/>
        </w:rPr>
        <w:t xml:space="preserve"> trading activity;</w:t>
      </w:r>
    </w:p>
    <w:p>
      <w:pPr>
        <w:keepNext/>
        <w:keepLines/>
        <w:pageBreakBefore w:val="0"/>
        <w:widowControl w:val="0"/>
        <w:numPr>
          <w:ilvl w:val="0"/>
          <w:numId w:val="6"/>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expiration of any Rule 144 holding periods or registration of unregistered securities issued by us;</w:t>
      </w:r>
    </w:p>
    <w:p>
      <w:pPr>
        <w:keepNext/>
        <w:keepLines/>
        <w:pageBreakBefore w:val="0"/>
        <w:widowControl w:val="0"/>
        <w:numPr>
          <w:ilvl w:val="0"/>
          <w:numId w:val="6"/>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sales of our common stock;</w:t>
      </w:r>
    </w:p>
    <w:p>
      <w:pPr>
        <w:keepNext/>
        <w:keepLines/>
        <w:pageBreakBefore w:val="0"/>
        <w:widowControl w:val="0"/>
        <w:numPr>
          <w:ilvl w:val="0"/>
          <w:numId w:val="6"/>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ability to execute our business plan;</w:t>
      </w:r>
    </w:p>
    <w:p>
      <w:pPr>
        <w:keepNext/>
        <w:keepLines/>
        <w:pageBreakBefore w:val="0"/>
        <w:widowControl w:val="0"/>
        <w:numPr>
          <w:ilvl w:val="0"/>
          <w:numId w:val="6"/>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operating results that fall below expectations;</w:t>
      </w:r>
    </w:p>
    <w:p>
      <w:pPr>
        <w:keepNext/>
        <w:keepLines/>
        <w:pageBreakBefore w:val="0"/>
        <w:widowControl w:val="0"/>
        <w:numPr>
          <w:ilvl w:val="0"/>
          <w:numId w:val="6"/>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loss of any strategic relationship;</w:t>
      </w:r>
    </w:p>
    <w:p>
      <w:pPr>
        <w:keepNext/>
        <w:keepLines/>
        <w:pageBreakBefore w:val="0"/>
        <w:widowControl w:val="0"/>
        <w:numPr>
          <w:ilvl w:val="0"/>
          <w:numId w:val="6"/>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regulatory developments; and</w:t>
      </w:r>
    </w:p>
    <w:p>
      <w:pPr>
        <w:keepNext w:val="0"/>
        <w:keepLines/>
        <w:pageBreakBefore w:val="0"/>
        <w:widowControl w:val="0"/>
        <w:numPr>
          <w:ilvl w:val="0"/>
          <w:numId w:val="6"/>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economic and other external factors, including effects of the coronavirus pandemic.</w:t>
      </w:r>
    </w:p>
    <w:p>
      <w:pPr>
        <w:keepNext w:val="0"/>
        <w:keepLines w:val="0"/>
        <w:pageBreakBefore w:val="0"/>
        <w:widowControl/>
        <w:numPr>
          <w:ilvl w:val="0"/>
          <w:numId w:val="0"/>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These and other market and industry factors may cause the market price and demand for our common stock to fluctuate substantially, regardless of our actual operating performance, which may limit or prevent investors from readily selling their shares of common stock and may otherwise negatively affect the liquidity of our common stock.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Further, on some occasions, our stock price may be, or may be purported to be, subject to “short squeeze” activity. A “short squeeze” is a technical market condition that occurs when the price of a stock increases substantially, forcing market participants who had taken</w:t>
      </w:r>
      <w:r>
        <w:rPr>
          <w:rFonts w:ascii="Times New Roman" w:eastAsia="Times New Roman" w:hAnsi="Times New Roman" w:cs="Times New Roman"/>
          <w:sz w:val="20"/>
        </w:rPr>
        <w:t xml:space="preserve"> a position that its price wou</w:t>
      </w:r>
      <w:r>
        <w:rPr>
          <w:rFonts w:ascii="Times New Roman" w:eastAsia="Times New Roman" w:hAnsi="Times New Roman" w:cs="Times New Roman"/>
          <w:sz w:val="20"/>
        </w:rPr>
        <w:t>ld fall (i.e</w:t>
      </w:r>
      <w:r>
        <w:rPr>
          <w:rFonts w:ascii="Times New Roman" w:eastAsia="Times New Roman" w:hAnsi="Times New Roman" w:cs="Times New Roman"/>
          <w:sz w:val="20"/>
        </w:rPr>
        <w:t xml:space="preserve">. who had sold the stock </w:t>
      </w:r>
      <w:r>
        <w:rPr>
          <w:rFonts w:ascii="Times New Roman" w:eastAsia="Times New Roman" w:hAnsi="Times New Roman" w:cs="Times New Roman"/>
          <w:sz w:val="20"/>
        </w:rPr>
        <w:t>“</w:t>
      </w:r>
      <w:r>
        <w:rPr>
          <w:rFonts w:ascii="Times New Roman" w:eastAsia="Times New Roman" w:hAnsi="Times New Roman" w:cs="Times New Roman"/>
          <w:sz w:val="20"/>
        </w:rPr>
        <w:t>short</w:t>
      </w:r>
      <w:r>
        <w:rPr>
          <w:rFonts w:ascii="Times New Roman" w:eastAsia="Times New Roman" w:hAnsi="Times New Roman" w:cs="Times New Roman"/>
          <w:sz w:val="20"/>
        </w:rPr>
        <w:t>”</w:t>
      </w:r>
      <w:r>
        <w:rPr>
          <w:rFonts w:ascii="Times New Roman" w:eastAsia="Times New Roman" w:hAnsi="Times New Roman" w:cs="Times New Roman"/>
          <w:sz w:val="20"/>
        </w:rPr>
        <w:t>), to buy it</w:t>
      </w:r>
      <w:r>
        <w:rPr>
          <w:rFonts w:ascii="Times New Roman" w:eastAsia="Times New Roman" w:hAnsi="Times New Roman" w:cs="Times New Roman"/>
          <w:sz w:val="20"/>
        </w:rPr>
        <w:t>, which in turn may create significa</w:t>
      </w:r>
      <w:r>
        <w:rPr>
          <w:rFonts w:ascii="Times New Roman" w:eastAsia="Times New Roman" w:hAnsi="Times New Roman" w:cs="Times New Roman"/>
          <w:sz w:val="20"/>
        </w:rPr>
        <w:t>nt, short-term demand for the stock not for fund</w:t>
      </w:r>
      <w:r>
        <w:rPr>
          <w:rFonts w:ascii="Times New Roman" w:eastAsia="Times New Roman" w:hAnsi="Times New Roman" w:cs="Times New Roman"/>
          <w:sz w:val="20"/>
        </w:rPr>
        <w:t>amental reasons</w:t>
      </w:r>
      <w:r>
        <w:rPr>
          <w:rFonts w:ascii="Times New Roman" w:eastAsia="Times New Roman" w:hAnsi="Times New Roman" w:cs="Times New Roman"/>
          <w:sz w:val="20"/>
        </w:rPr>
        <w:t>, but rather</w:t>
      </w:r>
      <w:r>
        <w:rPr>
          <w:rFonts w:ascii="Times New Roman" w:eastAsia="Times New Roman" w:hAnsi="Times New Roman" w:cs="Times New Roman"/>
          <w:sz w:val="20"/>
        </w:rPr>
        <w:t xml:space="preserve"> due to the need for such market participants to acquire the stock in order to forestall t</w:t>
      </w:r>
      <w:r>
        <w:rPr>
          <w:rFonts w:ascii="Times New Roman" w:eastAsia="Times New Roman" w:hAnsi="Times New Roman" w:cs="Times New Roman"/>
          <w:sz w:val="20"/>
        </w:rPr>
        <w:t>h</w:t>
      </w:r>
      <w:r>
        <w:rPr>
          <w:rFonts w:ascii="Times New Roman" w:eastAsia="Times New Roman" w:hAnsi="Times New Roman" w:cs="Times New Roman"/>
          <w:sz w:val="20"/>
        </w:rPr>
        <w:t>e</w:t>
      </w:r>
      <w:r>
        <w:rPr>
          <w:rFonts w:ascii="Times New Roman" w:eastAsia="Times New Roman" w:hAnsi="Times New Roman" w:cs="Times New Roman"/>
          <w:sz w:val="20"/>
        </w:rPr>
        <w:t xml:space="preserve"> risk of even greater losses. A</w:t>
      </w:r>
      <w:r>
        <w:rPr>
          <w:rFonts w:ascii="Times New Roman" w:eastAsia="Times New Roman" w:hAnsi="Times New Roman" w:cs="Times New Roman"/>
          <w:sz w:val="20"/>
        </w:rPr>
        <w:t xml:space="preserve"> </w:t>
      </w:r>
      <w:r>
        <w:rPr>
          <w:rFonts w:ascii="Times New Roman" w:eastAsia="Times New Roman" w:hAnsi="Times New Roman" w:cs="Times New Roman"/>
          <w:sz w:val="20"/>
        </w:rPr>
        <w:t>“</w:t>
      </w:r>
      <w:r>
        <w:rPr>
          <w:rFonts w:ascii="Times New Roman" w:eastAsia="Times New Roman" w:hAnsi="Times New Roman" w:cs="Times New Roman"/>
          <w:sz w:val="20"/>
        </w:rPr>
        <w:t>short s</w:t>
      </w:r>
      <w:r>
        <w:rPr>
          <w:rFonts w:ascii="Times New Roman" w:eastAsia="Times New Roman" w:hAnsi="Times New Roman" w:cs="Times New Roman"/>
          <w:sz w:val="20"/>
        </w:rPr>
        <w:t>queeze</w:t>
      </w:r>
      <w:r>
        <w:rPr>
          <w:rFonts w:ascii="Times New Roman" w:eastAsia="Times New Roman" w:hAnsi="Times New Roman" w:cs="Times New Roman"/>
          <w:sz w:val="20"/>
        </w:rPr>
        <w:t>”</w:t>
      </w:r>
      <w:r>
        <w:rPr>
          <w:rFonts w:ascii="Times New Roman" w:eastAsia="Times New Roman" w:hAnsi="Times New Roman" w:cs="Times New Roman"/>
          <w:sz w:val="20"/>
        </w:rPr>
        <w:t xml:space="preserve"> condition in the market for a stock can lead to short-term conditions involving very high volatility and trading that may or may not track funda</w:t>
      </w:r>
      <w:r>
        <w:rPr>
          <w:rFonts w:ascii="Times New Roman" w:eastAsia="Times New Roman" w:hAnsi="Times New Roman" w:cs="Times New Roman"/>
          <w:sz w:val="20"/>
        </w:rPr>
        <w:t>mental valuation models.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In addition, in the past, class action litigation has often been instituted against companies whose securities have experienced periods of volatility in market price. Securities litigation brought against us following volatility in our stock price, regardless of the merit or ultimate results of such litigation, could result in substantial costs, which would hurt our financial condition and o</w:t>
      </w:r>
      <w:r>
        <w:rPr>
          <w:rFonts w:ascii="Times New Roman" w:eastAsia="Times New Roman" w:hAnsi="Times New Roman" w:cs="Times New Roman"/>
          <w:sz w:val="20"/>
        </w:rPr>
        <w:t>perating results and divert management’s attention and resources from our business.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shd w:val="clear" w:color="auto" w:fill="FFFF00"/>
        </w:rPr>
      </w:pPr>
    </w:p>
    <w:p>
      <w:pPr>
        <w:keepNext w:val="0"/>
        <w:keepLines w:val="0"/>
        <w:pageBreakBefore w:val="0"/>
        <w:widowControl/>
        <w:numPr>
          <w:ilvl w:val="0"/>
          <w:numId w:val="0"/>
        </w:numPr>
        <w:spacing w:before="0" w:after="0" w:line="288" w:lineRule="auto"/>
        <w:ind w:left="0" w:right="0" w:firstLine="72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6" w:name="Section7"/>
      <w:bookmarkEnd w:id="6"/>
      <w:r>
        <w:rPr>
          <w:rFonts w:ascii="Times New Roman" w:eastAsia="Times New Roman" w:hAnsi="Times New Roman" w:cs="Times New Roman"/>
          <w:b/>
          <w:sz w:val="20"/>
        </w:rPr>
        <w:t>ITEM 1B - UNRESOLVED STAFF COMMENTS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None.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7" w:name="Section8"/>
      <w:bookmarkEnd w:id="7"/>
      <w:r>
        <w:rPr>
          <w:rFonts w:ascii="Times New Roman" w:eastAsia="Times New Roman" w:hAnsi="Times New Roman" w:cs="Times New Roman"/>
          <w:b/>
          <w:sz w:val="20"/>
        </w:rPr>
        <w:t>ITEM 2 - PROPERTIES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corporate headquarters are </w:t>
      </w:r>
      <w:r>
        <w:rPr>
          <w:rFonts w:ascii="Times New Roman" w:eastAsia="Times New Roman" w:hAnsi="Times New Roman" w:cs="Times New Roman"/>
          <w:sz w:val="20"/>
        </w:rPr>
        <w:t xml:space="preserve">based near Orlando using an address </w:t>
      </w:r>
      <w:r>
        <w:rPr>
          <w:rFonts w:ascii="Times New Roman" w:eastAsia="Times New Roman" w:hAnsi="Times New Roman" w:cs="Times New Roman"/>
          <w:sz w:val="20"/>
        </w:rPr>
        <w:t xml:space="preserve">at </w:t>
      </w:r>
      <w:r>
        <w:rPr>
          <w:rFonts w:ascii="Times New Roman" w:eastAsia="Times New Roman" w:hAnsi="Times New Roman" w:cs="Times New Roman"/>
          <w:sz w:val="20"/>
        </w:rPr>
        <w:t>501</w:t>
      </w:r>
      <w:r>
        <w:rPr>
          <w:rFonts w:ascii="Times New Roman" w:eastAsia="Times New Roman" w:hAnsi="Times New Roman" w:cs="Times New Roman"/>
          <w:sz w:val="20"/>
        </w:rPr>
        <w:t xml:space="preserve"> N. Orlando Avenue, Suite </w:t>
      </w:r>
      <w:r>
        <w:rPr>
          <w:rFonts w:ascii="Times New Roman" w:eastAsia="Times New Roman" w:hAnsi="Times New Roman" w:cs="Times New Roman"/>
          <w:sz w:val="20"/>
        </w:rPr>
        <w:t>313 PMB 247</w:t>
      </w:r>
      <w:r>
        <w:rPr>
          <w:rFonts w:ascii="Times New Roman" w:eastAsia="Times New Roman" w:hAnsi="Times New Roman" w:cs="Times New Roman"/>
          <w:sz w:val="20"/>
        </w:rPr>
        <w:t xml:space="preserve"> in Winter Park, Florida. We</w:t>
      </w:r>
      <w:r>
        <w:rPr>
          <w:rFonts w:ascii="Times New Roman" w:eastAsia="Times New Roman" w:hAnsi="Times New Roman" w:cs="Times New Roman"/>
          <w:sz w:val="20"/>
        </w:rPr>
        <w:t xml:space="preserve"> do not have any current physical locations and all of our employees are working remotely.</w:t>
      </w:r>
      <w:r>
        <w:rPr>
          <w:rFonts w:ascii="Times New Roman" w:eastAsia="Times New Roman" w:hAnsi="Times New Roman" w:cs="Times New Roman"/>
          <w:sz w:val="20"/>
        </w:rPr>
        <w:t xml:space="preserve"> </w:t>
      </w:r>
      <w:r>
        <w:rPr>
          <w:rFonts w:ascii="Times New Roman" w:eastAsia="Times New Roman" w:hAnsi="Times New Roman" w:cs="Times New Roman"/>
          <w:sz w:val="20"/>
        </w:rPr>
        <w:t>W</w:t>
      </w:r>
      <w:r>
        <w:rPr>
          <w:rFonts w:ascii="Times New Roman" w:eastAsia="Times New Roman" w:hAnsi="Times New Roman" w:cs="Times New Roman"/>
          <w:sz w:val="20"/>
        </w:rPr>
        <w:t xml:space="preserve">hen we determine it prudent to end or modify our work-from-home policy, we will </w:t>
      </w:r>
      <w:r>
        <w:rPr>
          <w:rFonts w:ascii="Times New Roman" w:eastAsia="Times New Roman" w:hAnsi="Times New Roman" w:cs="Times New Roman"/>
          <w:sz w:val="20"/>
        </w:rPr>
        <w:t>consider e</w:t>
      </w:r>
      <w:r>
        <w:rPr>
          <w:rFonts w:ascii="Times New Roman" w:eastAsia="Times New Roman" w:hAnsi="Times New Roman" w:cs="Times New Roman"/>
          <w:sz w:val="20"/>
        </w:rPr>
        <w:t>ntering</w:t>
      </w:r>
      <w:r>
        <w:rPr>
          <w:rFonts w:ascii="Times New Roman" w:eastAsia="Times New Roman" w:hAnsi="Times New Roman" w:cs="Times New Roman"/>
          <w:sz w:val="20"/>
        </w:rPr>
        <w:t xml:space="preserve"> into a new lease for office space and/or arrangements for the use of co-working facilities.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both"/>
        <w:outlineLvl w:val="1"/>
        <w:rPr>
          <w:rFonts w:ascii="Times New Roman" w:eastAsia="Times New Roman" w:hAnsi="Times New Roman" w:cs="Times New Roman"/>
          <w:b/>
          <w:sz w:val="20"/>
        </w:rPr>
      </w:pPr>
      <w:bookmarkStart w:id="8" w:name="Section9"/>
      <w:bookmarkEnd w:id="8"/>
      <w:r>
        <w:rPr>
          <w:rFonts w:ascii="Times New Roman" w:eastAsia="Times New Roman" w:hAnsi="Times New Roman" w:cs="Times New Roman"/>
          <w:b/>
          <w:sz w:val="20"/>
        </w:rPr>
        <w:t xml:space="preserve">ITEM </w:t>
      </w:r>
      <w:r>
        <w:rPr>
          <w:rFonts w:ascii="Times New Roman" w:eastAsia="Times New Roman" w:hAnsi="Times New Roman" w:cs="Times New Roman"/>
          <w:b/>
          <w:sz w:val="20"/>
        </w:rPr>
        <w:t>3</w:t>
      </w:r>
      <w:r>
        <w:rPr>
          <w:rFonts w:ascii="Times New Roman" w:eastAsia="Times New Roman" w:hAnsi="Times New Roman" w:cs="Times New Roman"/>
          <w:b/>
          <w:sz w:val="20"/>
        </w:rPr>
        <w:t xml:space="preserve"> – LEGAL PROCEEDINGS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From time to time, we may become involved in various other lawsuits and legal proceedings that arise in the ordinary course of our business. Litigation is, however, subject to inherent uncertainties, and an adverse result in these or other matters may arise from time to time that may harm our business. As of </w:t>
      </w:r>
      <w:r>
        <w:rPr>
          <w:rFonts w:ascii="Times New Roman" w:eastAsia="Times New Roman" w:hAnsi="Times New Roman" w:cs="Times New Roman"/>
          <w:sz w:val="20"/>
        </w:rPr>
        <w:t>March 26, 2021</w:t>
      </w:r>
      <w:r>
        <w:rPr>
          <w:rFonts w:ascii="Times New Roman" w:eastAsia="Times New Roman" w:hAnsi="Times New Roman" w:cs="Times New Roman"/>
          <w:sz w:val="20"/>
        </w:rPr>
        <w:t>, we are not aware of any legal proceedings or claims that we believe would or could have, individually or in the aggregate, a material adverse effect on us. Regardless of final outcomes, however, any such proceedings or claims may nonetheless impose a significant burden on management and employees and may come with costly defense costs or unfavorable preliminary interim rulings.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9" w:name="Section10"/>
      <w:bookmarkEnd w:id="9"/>
      <w:r>
        <w:rPr>
          <w:rFonts w:ascii="Times New Roman" w:eastAsia="Times New Roman" w:hAnsi="Times New Roman" w:cs="Times New Roman"/>
          <w:b/>
          <w:sz w:val="20"/>
        </w:rPr>
        <w:t>ITEM 4 – MINE SAFETY DISCLOSURES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Not applicable.</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sz w:val="20"/>
        </w:rPr>
      </w:pPr>
      <w:bookmarkStart w:id="10" w:name="Section11"/>
      <w:bookmarkEnd w:id="10"/>
      <w:r>
        <w:rPr>
          <w:rFonts w:ascii="Times New Roman" w:eastAsia="Times New Roman" w:hAnsi="Times New Roman" w:cs="Times New Roman"/>
          <w:b/>
          <w:sz w:val="20"/>
        </w:rPr>
        <w:t>PART I</w:t>
      </w:r>
      <w:r>
        <w:rPr>
          <w:rFonts w:ascii="Times New Roman" w:eastAsia="Times New Roman" w:hAnsi="Times New Roman" w:cs="Times New Roman"/>
          <w:b/>
          <w:sz w:val="20"/>
        </w:rPr>
        <w:t>I</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both"/>
        <w:outlineLvl w:val="1"/>
        <w:rPr>
          <w:rFonts w:ascii="Times New Roman" w:eastAsia="Times New Roman" w:hAnsi="Times New Roman" w:cs="Times New Roman"/>
          <w:b/>
          <w:sz w:val="20"/>
        </w:rPr>
      </w:pPr>
      <w:bookmarkStart w:id="11" w:name="Section12"/>
      <w:bookmarkEnd w:id="11"/>
      <w:r>
        <w:rPr>
          <w:rFonts w:ascii="Times New Roman" w:eastAsia="Times New Roman" w:hAnsi="Times New Roman" w:cs="Times New Roman"/>
          <w:b/>
          <w:sz w:val="20"/>
        </w:rPr>
        <w:t>ITEM 5 - MARKET FOR REGISTRANT'S COMMON EQUITY, RELATED STOCKHOLDER MATTERS AND ISSUER PURCHASES OF EQUITY SECURITIES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Common Stock Information</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shares of common stock trade on the Nasdaq Capital Market under the symbol IZEA. As of </w:t>
      </w:r>
      <w:r>
        <w:rPr>
          <w:rFonts w:ascii="Times New Roman" w:eastAsia="Times New Roman" w:hAnsi="Times New Roman" w:cs="Times New Roman"/>
          <w:sz w:val="20"/>
        </w:rPr>
        <w:t>March 26, 2021</w:t>
      </w:r>
      <w:r>
        <w:rPr>
          <w:rFonts w:ascii="Times New Roman" w:eastAsia="Times New Roman" w:hAnsi="Times New Roman" w:cs="Times New Roman"/>
          <w:sz w:val="20"/>
        </w:rPr>
        <w:t>, we had approximately 1</w:t>
      </w:r>
      <w:r>
        <w:rPr>
          <w:rFonts w:ascii="Times New Roman" w:eastAsia="Times New Roman" w:hAnsi="Times New Roman" w:cs="Times New Roman"/>
          <w:sz w:val="20"/>
        </w:rPr>
        <w:t>7</w:t>
      </w:r>
      <w:r>
        <w:rPr>
          <w:rFonts w:ascii="Times New Roman" w:eastAsia="Times New Roman" w:hAnsi="Times New Roman" w:cs="Times New Roman"/>
          <w:sz w:val="20"/>
        </w:rPr>
        <w:t>3</w:t>
      </w:r>
      <w:r>
        <w:rPr>
          <w:rFonts w:ascii="Times New Roman" w:eastAsia="Times New Roman" w:hAnsi="Times New Roman" w:cs="Times New Roman"/>
          <w:sz w:val="20"/>
        </w:rPr>
        <w:t xml:space="preserve"> shareholders of record of our common stock.</w:t>
      </w:r>
      <w:r>
        <w:rPr>
          <w:rFonts w:ascii="Times New Roman" w:eastAsia="Times New Roman" w:hAnsi="Times New Roman" w:cs="Times New Roman"/>
          <w:sz w:val="20"/>
        </w:rPr>
        <w:t xml:space="preserve"> This number does not include beneficial owners whose shares are held in the names of various securities brokers, dealers and registered clearing agencies.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Dividend Policy</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have never paid dividends to holders of our common stock and we do not anticipate paying any cash dividends in the foreseeable future as we intend to retain any earnings for use in our business. Any future determination to pay dividends will be at the discretion of our board of directors and will depend upon our results of operations, financial condition, contractual restrictions, restrictions imposed by applicable law and other factors our board of directors deems relevant.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Securities Authorized for Issuance under Equity Compensation Plans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See the section “Equity </w:t>
      </w:r>
      <w:r>
        <w:rPr>
          <w:rFonts w:ascii="Times New Roman" w:eastAsia="Times New Roman" w:hAnsi="Times New Roman" w:cs="Times New Roman"/>
          <w:sz w:val="20"/>
        </w:rPr>
        <w:t>Incentive</w:t>
      </w:r>
      <w:r>
        <w:rPr>
          <w:rFonts w:ascii="Times New Roman" w:eastAsia="Times New Roman" w:hAnsi="Times New Roman" w:cs="Times New Roman"/>
          <w:sz w:val="20"/>
        </w:rPr>
        <w:t xml:space="preserve"> Plan</w:t>
      </w:r>
      <w:r>
        <w:rPr>
          <w:rFonts w:ascii="Times New Roman" w:eastAsia="Times New Roman" w:hAnsi="Times New Roman" w:cs="Times New Roman"/>
          <w:sz w:val="20"/>
        </w:rPr>
        <w:t>s</w:t>
      </w:r>
      <w:r>
        <w:rPr>
          <w:rFonts w:ascii="Times New Roman" w:eastAsia="Times New Roman" w:hAnsi="Times New Roman" w:cs="Times New Roman"/>
          <w:sz w:val="20"/>
        </w:rPr>
        <w:t>,” under Part III, Item 11 of this Annual Report.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Recent Sales of Unregistered Securities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Except as previously reported in our quarterly reports on Form 10-Q and current reports on Form 8-K filed with the SEC</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there were no unregistered sales of equity securities by us during the year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Share Repurchase Program</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July 1, 2019, the Board authorized and approved a share repurchase program under which the Company </w:t>
      </w:r>
      <w:r>
        <w:rPr>
          <w:rFonts w:ascii="Times New Roman" w:eastAsia="Times New Roman" w:hAnsi="Times New Roman" w:cs="Times New Roman"/>
          <w:sz w:val="20"/>
        </w:rPr>
        <w:t>could</w:t>
      </w:r>
      <w:r>
        <w:rPr>
          <w:rFonts w:ascii="Times New Roman" w:eastAsia="Times New Roman" w:hAnsi="Times New Roman" w:cs="Times New Roman"/>
          <w:sz w:val="20"/>
        </w:rPr>
        <w:t xml:space="preserve"> repurchase up to $3,500,000 of its common stock from time to time through December 31, 2020, subject to market conditions. </w:t>
      </w:r>
      <w:r>
        <w:rPr>
          <w:rFonts w:ascii="Times New Roman" w:eastAsia="Times New Roman" w:hAnsi="Times New Roman" w:cs="Times New Roman"/>
          <w:sz w:val="20"/>
        </w:rPr>
        <w:t xml:space="preserve"> </w:t>
      </w:r>
      <w:r>
        <w:rPr>
          <w:rFonts w:ascii="Times New Roman" w:eastAsia="Times New Roman" w:hAnsi="Times New Roman" w:cs="Times New Roman"/>
          <w:sz w:val="20"/>
        </w:rPr>
        <w:t>T</w:t>
      </w:r>
      <w:r>
        <w:rPr>
          <w:rFonts w:ascii="Times New Roman" w:eastAsia="Times New Roman" w:hAnsi="Times New Roman" w:cs="Times New Roman"/>
          <w:sz w:val="20"/>
        </w:rPr>
        <w:t xml:space="preserve">he Company </w:t>
      </w:r>
      <w:r>
        <w:rPr>
          <w:rFonts w:ascii="Times New Roman" w:eastAsia="Times New Roman" w:hAnsi="Times New Roman" w:cs="Times New Roman"/>
          <w:sz w:val="20"/>
        </w:rPr>
        <w:t>did</w:t>
      </w:r>
      <w:r>
        <w:rPr>
          <w:rFonts w:ascii="Times New Roman" w:eastAsia="Times New Roman" w:hAnsi="Times New Roman" w:cs="Times New Roman"/>
          <w:sz w:val="20"/>
        </w:rPr>
        <w:t xml:space="preserve"> not repurchase</w:t>
      </w:r>
      <w:r>
        <w:rPr>
          <w:rFonts w:ascii="Times New Roman" w:eastAsia="Times New Roman" w:hAnsi="Times New Roman" w:cs="Times New Roman"/>
          <w:sz w:val="20"/>
        </w:rPr>
        <w:t xml:space="preserve"> any shares of common stock under the share repurchase program</w:t>
      </w:r>
      <w:r>
        <w:rPr>
          <w:rFonts w:ascii="Times New Roman" w:eastAsia="Times New Roman" w:hAnsi="Times New Roman" w:cs="Times New Roman"/>
          <w:sz w:val="20"/>
        </w:rPr>
        <w:t xml:space="preserve"> prior to its expiration on December 31, 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12" w:name="Section13"/>
      <w:bookmarkEnd w:id="12"/>
      <w:r>
        <w:rPr>
          <w:rFonts w:ascii="Times New Roman" w:eastAsia="Times New Roman" w:hAnsi="Times New Roman" w:cs="Times New Roman"/>
          <w:b/>
          <w:sz w:val="20"/>
        </w:rPr>
        <w:t>ITEM 6 - SELECTED FINANCIAL DATA</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Not applicable for smaller reporting companies.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13" w:name="Section14"/>
      <w:bookmarkEnd w:id="13"/>
      <w:r>
        <w:rPr>
          <w:rFonts w:ascii="Times New Roman" w:eastAsia="Times New Roman" w:hAnsi="Times New Roman" w:cs="Times New Roman"/>
          <w:b/>
          <w:sz w:val="20"/>
        </w:rPr>
        <w:t xml:space="preserve">ITEM </w:t>
      </w:r>
      <w:r>
        <w:rPr>
          <w:rFonts w:ascii="Times New Roman" w:eastAsia="Times New Roman" w:hAnsi="Times New Roman" w:cs="Times New Roman"/>
          <w:b/>
          <w:sz w:val="20"/>
        </w:rPr>
        <w:t>7</w:t>
      </w:r>
      <w:r>
        <w:rPr>
          <w:rFonts w:ascii="Times New Roman" w:eastAsia="Times New Roman" w:hAnsi="Times New Roman" w:cs="Times New Roman"/>
          <w:b/>
          <w:sz w:val="20"/>
        </w:rPr>
        <w:t xml:space="preserve"> – MANAGEMENT’S DISCUSSION AND ANALYSIS OF FINANCIAL CONDITION AND RESULTS OF OPERATIONS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headerReference w:type="default" r:id="rId7"/>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both"/>
        <w:outlineLvl w:val="2"/>
        <w:rPr>
          <w:rFonts w:ascii="Times New Roman" w:eastAsia="Times New Roman" w:hAnsi="Times New Roman" w:cs="Times New Roman"/>
          <w:b/>
          <w:sz w:val="20"/>
        </w:rPr>
      </w:pPr>
      <w:bookmarkStart w:id="14" w:name="Section15"/>
      <w:bookmarkEnd w:id="14"/>
      <w:r>
        <w:rPr>
          <w:rFonts w:ascii="Times New Roman" w:eastAsia="Times New Roman" w:hAnsi="Times New Roman" w:cs="Times New Roman"/>
          <w:b/>
          <w:sz w:val="20"/>
        </w:rPr>
        <w:t>Company Overview</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IZEA </w:t>
      </w:r>
      <w:r>
        <w:rPr>
          <w:rFonts w:ascii="Times New Roman" w:eastAsia="Times New Roman" w:hAnsi="Times New Roman" w:cs="Times New Roman"/>
          <w:sz w:val="20"/>
        </w:rPr>
        <w:t xml:space="preserve">Worldwide, Inc. (“IZEA”, “we”, “us” or “our”) </w:t>
      </w:r>
      <w:r>
        <w:rPr>
          <w:rFonts w:ascii="Times New Roman" w:eastAsia="Times New Roman" w:hAnsi="Times New Roman" w:cs="Times New Roman"/>
          <w:sz w:val="20"/>
        </w:rPr>
        <w:t>creates and operates online marketplaces that connect marketers, including brands, agencies, and publishers, with content creators such as bloggers and tweeters (“creators”). Our technology brings the marketers and creators together, enabling their transactions to be completed at scale through the management of custom content workflow, creator search and targeting, bidding, analytics</w:t>
      </w:r>
      <w:r>
        <w:rPr>
          <w:rFonts w:ascii="Times New Roman" w:eastAsia="Times New Roman" w:hAnsi="Times New Roman" w:cs="Times New Roman"/>
          <w:sz w:val="20"/>
        </w:rPr>
        <w:t>,</w:t>
      </w:r>
      <w:r>
        <w:rPr>
          <w:rFonts w:ascii="Times New Roman" w:eastAsia="Times New Roman" w:hAnsi="Times New Roman" w:cs="Times New Roman"/>
          <w:sz w:val="20"/>
        </w:rPr>
        <w:t xml:space="preserve"> and payment processing.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help power the creator economy, allowing everyone from college students and stay-at-home individuals to celebrities and accredited journalists the opportunity to monetize their content, creativity and influence through our marketers. These creators are compensated by IZEA for producing unique content such as long and short form text, videos, photos, status updates, and illustrations for marketers or distributing such content on behalf of marketers through their personal websites, blogs, and social media channels.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Marketers engage us to gain access to our industry expertise, technology, data, analytics, and network of creators. The majority of the marketers engage us to perform these services on their behalf, but they also have the ability to use our marketplaces on a self-service basis by licensing our technology. Our technology is used for two primary purposes: the engagement of creators for influencer marketing campaigns, or the engagement of creators to create stand-alone custom content for the marketers’ own use and distribution. Marketers receive influential consumer content and engaging, shareable stories that drive awareness.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Arial" w:eastAsia="Arial" w:hAnsi="Arial" w:cs="Arial"/>
          <w:sz w:val="24"/>
        </w:rPr>
      </w:pPr>
      <w:r>
        <w:rPr>
          <w:rFonts w:ascii="Times New Roman" w:eastAsia="Times New Roman" w:hAnsi="Times New Roman" w:cs="Times New Roman"/>
          <w:sz w:val="20"/>
        </w:rPr>
        <w:t xml:space="preserve">Our primary technology platform, </w:t>
      </w:r>
      <w:r>
        <w:rPr>
          <w:rFonts w:ascii="Times New Roman" w:eastAsia="Times New Roman" w:hAnsi="Times New Roman" w:cs="Times New Roman"/>
          <w:i/>
          <w:sz w:val="20"/>
        </w:rPr>
        <w:t xml:space="preserve">The IZEA Exchange </w:t>
      </w:r>
      <w:r>
        <w:rPr>
          <w:rFonts w:ascii="Times New Roman" w:eastAsia="Times New Roman" w:hAnsi="Times New Roman" w:cs="Times New Roman"/>
          <w:sz w:val="20"/>
        </w:rPr>
        <w:t>(“</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enables transactions to be completed at scale through the management of custom content workflow, creator search and targeting, bidding, analytics, and payment processing.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is designed to provide a unified ecosystem that enables the creation and publication of multiple types of custom content through a creator’s personal websites, blogs, or social media channels including Twitter, Facebook, Instagram, and YouTube, among others. Until December 2019 when it was merged into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we operated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technology platform, which we acquired in January 2015.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was originally designed as a self-service content marketplace to replace in-house editorial newsrooms in news agencies with a “virtual newsroom” to source and handle their content workflow with outside creators. After the acquisition, we began to utilize the creators in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to produce professional custom content for brands, in addition to the self-service functionality used by newspapers. In July 2016, we acquired the </w:t>
      </w:r>
      <w:r>
        <w:rPr>
          <w:rFonts w:ascii="Times New Roman" w:eastAsia="Times New Roman" w:hAnsi="Times New Roman" w:cs="Times New Roman"/>
          <w:i/>
          <w:sz w:val="20"/>
        </w:rPr>
        <w:t>ZenContent</w:t>
      </w:r>
      <w:r>
        <w:rPr>
          <w:rFonts w:ascii="Times New Roman" w:eastAsia="Times New Roman" w:hAnsi="Times New Roman" w:cs="Times New Roman"/>
          <w:sz w:val="20"/>
        </w:rPr>
        <w:t xml:space="preserve"> technology platform to use as an in-house workflow tool that enables us to produce highly scalable, multi-part production of content for both e-commerce entities and brand customers.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technology platform, acquired in 2018, performed in a similar manner 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was being utilized by the majority of the TapInfluence customers as a self-service platform via a licensing arrangement, allowing access to the platform and its creators for self-managed marketing campaigns. After the migration of the last customers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from the </w:t>
      </w:r>
      <w:r>
        <w:rPr>
          <w:rFonts w:ascii="Times New Roman" w:eastAsia="Times New Roman" w:hAnsi="Times New Roman" w:cs="Times New Roman"/>
          <w:i/>
          <w:sz w:val="20"/>
        </w:rPr>
        <w:t xml:space="preserve">Ebyline </w:t>
      </w:r>
      <w:r>
        <w:rPr>
          <w:rFonts w:ascii="Times New Roman" w:eastAsia="Times New Roman" w:hAnsi="Times New Roman" w:cs="Times New Roman"/>
          <w:sz w:val="20"/>
        </w:rPr>
        <w:t xml:space="preserve">platform in December 2019 and from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 in February 2020, all marketplace revenue </w:t>
      </w:r>
      <w:r>
        <w:rPr>
          <w:rFonts w:ascii="Times New Roman" w:eastAsia="Times New Roman" w:hAnsi="Times New Roman" w:cs="Times New Roman"/>
          <w:sz w:val="20"/>
        </w:rPr>
        <w:t>wa</w:t>
      </w:r>
      <w:r>
        <w:rPr>
          <w:rFonts w:ascii="Times New Roman" w:eastAsia="Times New Roman" w:hAnsi="Times New Roman" w:cs="Times New Roman"/>
          <w:sz w:val="20"/>
        </w:rPr>
        <w:t xml:space="preserve">s solely generated from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platform</w:t>
      </w:r>
      <w:r>
        <w:rPr>
          <w:rFonts w:ascii="Times New Roman" w:eastAsia="Times New Roman" w:hAnsi="Times New Roman" w:cs="Times New Roman"/>
          <w:sz w:val="20"/>
        </w:rPr>
        <w:t xml:space="preserve"> un</w:t>
      </w:r>
      <w:r>
        <w:rPr>
          <w:rFonts w:ascii="Times New Roman" w:eastAsia="Times New Roman" w:hAnsi="Times New Roman" w:cs="Times New Roman"/>
          <w:sz w:val="20"/>
        </w:rPr>
        <w:t>til the l</w:t>
      </w:r>
      <w:r>
        <w:rPr>
          <w:rFonts w:ascii="Times New Roman" w:eastAsia="Times New Roman" w:hAnsi="Times New Roman" w:cs="Times New Roman"/>
          <w:sz w:val="20"/>
        </w:rPr>
        <w:t xml:space="preserve">aunch of </w:t>
      </w:r>
      <w:r>
        <w:rPr>
          <w:rFonts w:ascii="Times New Roman" w:eastAsia="Times New Roman" w:hAnsi="Times New Roman" w:cs="Times New Roman"/>
          <w:i/>
          <w:sz w:val="20"/>
        </w:rPr>
        <w:t>Shake</w:t>
      </w:r>
      <w:r>
        <w:rPr>
          <w:rFonts w:ascii="Times New Roman" w:eastAsia="Times New Roman" w:hAnsi="Times New Roman" w:cs="Times New Roman"/>
          <w:sz w:val="20"/>
        </w:rPr>
        <w:t xml:space="preserve"> in November 2020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left"/>
        <w:outlineLvl w:val="9"/>
        <w:rPr>
          <w:rFonts w:ascii="Arial" w:eastAsia="Arial" w:hAnsi="Arial" w:cs="Arial"/>
          <w:sz w:val="24"/>
        </w:rPr>
      </w:pPr>
      <w:r>
        <w:rPr>
          <w:rFonts w:ascii="Times New Roman" w:eastAsia="Times New Roman" w:hAnsi="Times New Roman" w:cs="Times New Roman"/>
          <w:sz w:val="20"/>
        </w:rPr>
        <w:t>In 2020</w:t>
      </w:r>
      <w:r>
        <w:rPr>
          <w:rFonts w:ascii="Times New Roman" w:eastAsia="Times New Roman" w:hAnsi="Times New Roman" w:cs="Times New Roman"/>
          <w:sz w:val="20"/>
        </w:rPr>
        <w:t>,</w:t>
      </w:r>
      <w:r>
        <w:rPr>
          <w:rFonts w:ascii="Times New Roman" w:eastAsia="Times New Roman" w:hAnsi="Times New Roman" w:cs="Times New Roman"/>
          <w:sz w:val="20"/>
        </w:rPr>
        <w:t xml:space="preserve"> we launched two new platforms, </w:t>
      </w:r>
      <w:r>
        <w:rPr>
          <w:rFonts w:ascii="Times New Roman" w:eastAsia="Times New Roman" w:hAnsi="Times New Roman" w:cs="Times New Roman"/>
          <w:i/>
          <w:sz w:val="20"/>
        </w:rPr>
        <w:t>BrandGraph</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Shake</w:t>
      </w:r>
      <w:r>
        <w:rPr>
          <w:rFonts w:ascii="Times New Roman" w:eastAsia="Times New Roman" w:hAnsi="Times New Roman" w:cs="Times New Roman"/>
          <w:sz w:val="20"/>
        </w:rPr>
        <w:t xml:space="preserve">. </w:t>
      </w:r>
      <w:r>
        <w:rPr>
          <w:rFonts w:ascii="Times New Roman" w:eastAsia="Times New Roman" w:hAnsi="Times New Roman" w:cs="Times New Roman"/>
          <w:i/>
          <w:sz w:val="20"/>
        </w:rPr>
        <w:t>BrandGraph</w:t>
      </w:r>
      <w:r>
        <w:rPr>
          <w:rFonts w:ascii="Times New Roman" w:eastAsia="Times New Roman" w:hAnsi="Times New Roman" w:cs="Times New Roman"/>
          <w:sz w:val="20"/>
        </w:rPr>
        <w:t xml:space="preserve"> is </w:t>
      </w:r>
      <w:r>
        <w:rPr>
          <w:rFonts w:ascii="Times New Roman" w:eastAsia="Times New Roman" w:hAnsi="Times New Roman" w:cs="Times New Roman"/>
          <w:sz w:val="20"/>
        </w:rPr>
        <w:t>a social media intelligence platform</w:t>
      </w:r>
      <w:r>
        <w:rPr>
          <w:rFonts w:ascii="Times New Roman" w:eastAsia="Times New Roman" w:hAnsi="Times New Roman" w:cs="Times New Roman"/>
          <w:sz w:val="20"/>
        </w:rPr>
        <w:t xml:space="preserve"> that is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heavily integrated with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both platforms rely heavily on data from each other</w:t>
      </w:r>
      <w:r>
        <w:rPr>
          <w:rFonts w:ascii="Times New Roman" w:eastAsia="Times New Roman" w:hAnsi="Times New Roman" w:cs="Times New Roman"/>
          <w:sz w:val="20"/>
        </w:rPr>
        <w:t>, but it is also available as a stand-alone platform</w:t>
      </w:r>
      <w:r>
        <w:rPr>
          <w:rFonts w:ascii="Times New Roman" w:eastAsia="Times New Roman" w:hAnsi="Times New Roman" w:cs="Times New Roman"/>
          <w:sz w:val="20"/>
        </w:rPr>
        <w:t xml:space="preserve">. The platform maps and classifies the complex hierarchy of corporation-to-brand relationships by category and associates social content with brands through a proprietary content analysis engine. </w:t>
      </w:r>
      <w:r>
        <w:rPr>
          <w:rFonts w:ascii="Times New Roman" w:eastAsia="Times New Roman" w:hAnsi="Times New Roman" w:cs="Times New Roman"/>
          <w:i/>
          <w:sz w:val="20"/>
        </w:rPr>
        <w:t>Shake</w:t>
      </w:r>
      <w:r>
        <w:rPr>
          <w:rFonts w:ascii="Times New Roman" w:eastAsia="Times New Roman" w:hAnsi="Times New Roman" w:cs="Times New Roman"/>
          <w:sz w:val="20"/>
        </w:rPr>
        <w:t xml:space="preserve"> is a new online marketplace where buyers can quickly and easily hire creators of all types for influencer marketing, photography, design, and other digital services. The Shake platform is aimed at digital creatives seeking freelance “gig” work. Creators list available “Shakes” on their accounts in the platform and marketers select and purchase creative packages from them through a streamlined chat experience, assisted by ShakeBot - a proprietary, artificial intelligence assistant</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76" w:lineRule="auto"/>
        <w:ind w:left="0" w:right="0" w:firstLine="720"/>
        <w:jc w:val="left"/>
        <w:outlineLvl w:val="9"/>
        <w:rPr>
          <w:rFonts w:ascii="Times New Roman" w:eastAsia="Times New Roman" w:hAnsi="Times New Roman" w:cs="Times New Roman"/>
          <w:sz w:val="24"/>
        </w:rPr>
      </w:pPr>
    </w:p>
    <w:p>
      <w:pPr>
        <w:keepNext w:val="0"/>
        <w:keepLines w:val="0"/>
        <w:pageBreakBefore w:val="0"/>
        <w:widowControl/>
        <w:numPr>
          <w:ilvl w:val="0"/>
          <w:numId w:val="0"/>
        </w:numPr>
        <w:spacing w:before="0" w:after="0" w:line="288" w:lineRule="auto"/>
        <w:ind w:left="0" w:right="0" w:firstLine="720"/>
        <w:jc w:val="left"/>
        <w:outlineLvl w:val="9"/>
        <w:rPr>
          <w:rFonts w:ascii="Helvetica" w:eastAsia="Helvetica" w:hAnsi="Helvetica" w:cs="Helvetica"/>
          <w:b/>
          <w:sz w:val="24"/>
        </w:rPr>
      </w:pPr>
      <w:r>
        <w:rPr>
          <w:rFonts w:ascii="Times New Roman" w:eastAsia="Times New Roman" w:hAnsi="Times New Roman" w:cs="Times New Roman"/>
          <w:b/>
          <w:sz w:val="20"/>
        </w:rPr>
        <w:t>Impact of COVID-19 on our Business</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color w:val="1A1A1A"/>
          <w:sz w:val="20"/>
        </w:rPr>
      </w:pPr>
      <w:r>
        <w:rPr>
          <w:rFonts w:ascii="Times New Roman" w:eastAsia="Times New Roman" w:hAnsi="Times New Roman" w:cs="Times New Roman"/>
          <w:sz w:val="20"/>
        </w:rPr>
        <w:t>O</w:t>
      </w:r>
      <w:r>
        <w:rPr>
          <w:rFonts w:ascii="Times New Roman" w:eastAsia="Times New Roman" w:hAnsi="Times New Roman" w:cs="Times New Roman"/>
          <w:sz w:val="20"/>
        </w:rPr>
        <w:t>ur operations, sales</w:t>
      </w:r>
      <w:r>
        <w:rPr>
          <w:rFonts w:ascii="Times New Roman" w:eastAsia="Times New Roman" w:hAnsi="Times New Roman" w:cs="Times New Roman"/>
          <w:sz w:val="20"/>
        </w:rPr>
        <w:t>,</w:t>
      </w:r>
      <w:r>
        <w:rPr>
          <w:rFonts w:ascii="Times New Roman" w:eastAsia="Times New Roman" w:hAnsi="Times New Roman" w:cs="Times New Roman"/>
          <w:sz w:val="20"/>
        </w:rPr>
        <w:t xml:space="preserve"> and finances </w:t>
      </w:r>
      <w:r>
        <w:rPr>
          <w:rFonts w:ascii="Times New Roman" w:eastAsia="Times New Roman" w:hAnsi="Times New Roman" w:cs="Times New Roman"/>
          <w:sz w:val="20"/>
        </w:rPr>
        <w:t>were</w:t>
      </w:r>
      <w:r>
        <w:rPr>
          <w:rFonts w:ascii="Times New Roman" w:eastAsia="Times New Roman" w:hAnsi="Times New Roman" w:cs="Times New Roman"/>
          <w:sz w:val="20"/>
        </w:rPr>
        <w:t xml:space="preserve"> impacted by the </w:t>
      </w:r>
      <w:r>
        <w:rPr>
          <w:rFonts w:ascii="Times New Roman" w:eastAsia="Times New Roman" w:hAnsi="Times New Roman" w:cs="Times New Roman"/>
          <w:sz w:val="20"/>
        </w:rPr>
        <w:t xml:space="preserve">COVID-19 </w:t>
      </w:r>
      <w:r>
        <w:rPr>
          <w:rFonts w:ascii="Times New Roman" w:eastAsia="Times New Roman" w:hAnsi="Times New Roman" w:cs="Times New Roman"/>
          <w:sz w:val="20"/>
        </w:rPr>
        <w:t xml:space="preserve">pandemic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In an effort to protect the health and safety of our employees, we took precautionary action and directed all staff to work from home effective March 16, 2020. During this work-from-home period, </w:t>
      </w:r>
      <w:r>
        <w:rPr>
          <w:rFonts w:ascii="Times New Roman" w:eastAsia="Times New Roman" w:hAnsi="Times New Roman" w:cs="Times New Roman"/>
          <w:sz w:val="20"/>
        </w:rPr>
        <w:t>which is ongoing, the term of our leases for our headquarters and temporary office spaces expired.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When </w:t>
      </w:r>
      <w:r>
        <w:rPr>
          <w:rFonts w:ascii="Times New Roman" w:eastAsia="Times New Roman" w:hAnsi="Times New Roman" w:cs="Times New Roman"/>
          <w:sz w:val="20"/>
        </w:rPr>
        <w:t xml:space="preserve">and if </w:t>
      </w:r>
      <w:r>
        <w:rPr>
          <w:rFonts w:ascii="Times New Roman" w:eastAsia="Times New Roman" w:hAnsi="Times New Roman" w:cs="Times New Roman"/>
          <w:sz w:val="20"/>
        </w:rPr>
        <w:t xml:space="preserve">we determine it prudent to end or modify our work-from-home policy, we </w:t>
      </w:r>
      <w:r>
        <w:rPr>
          <w:rFonts w:ascii="Times New Roman" w:eastAsia="Times New Roman" w:hAnsi="Times New Roman" w:cs="Times New Roman"/>
          <w:sz w:val="20"/>
        </w:rPr>
        <w:t>may</w:t>
      </w:r>
      <w:r>
        <w:rPr>
          <w:rFonts w:ascii="Times New Roman" w:eastAsia="Times New Roman" w:hAnsi="Times New Roman" w:cs="Times New Roman"/>
          <w:sz w:val="20"/>
        </w:rPr>
        <w:t xml:space="preserve"> need to enter into a new lease for office space and/or arrangements for the use of co-working facilities</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While</w:t>
      </w:r>
      <w:r>
        <w:rPr>
          <w:rFonts w:ascii="Times New Roman" w:eastAsia="Times New Roman" w:hAnsi="Times New Roman" w:cs="Times New Roman"/>
          <w:sz w:val="20"/>
        </w:rPr>
        <w:t xml:space="preserve"> we are able to maintain full operations remotely, the economic conditions caused by COVID-19 have negatively impacted the business activity of our customers. We observed changes in advertising decisions, timing</w:t>
      </w:r>
      <w:r>
        <w:rPr>
          <w:rFonts w:ascii="Times New Roman" w:eastAsia="Times New Roman" w:hAnsi="Times New Roman" w:cs="Times New Roman"/>
          <w:sz w:val="20"/>
        </w:rPr>
        <w:t>,</w:t>
      </w:r>
      <w:r>
        <w:rPr>
          <w:rFonts w:ascii="Times New Roman" w:eastAsia="Times New Roman" w:hAnsi="Times New Roman" w:cs="Times New Roman"/>
          <w:sz w:val="20"/>
        </w:rPr>
        <w:t xml:space="preserve"> and spending priorities from brand and agency customers, which have resulted in </w:t>
      </w:r>
      <w:r>
        <w:rPr>
          <w:rFonts w:ascii="Times New Roman" w:eastAsia="Times New Roman" w:hAnsi="Times New Roman" w:cs="Times New Roman"/>
          <w:color w:val="1A1A1A"/>
          <w:sz w:val="20"/>
        </w:rPr>
        <w:t>a negative impact to our revenue</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color w:val="1A1A1A"/>
          <w:sz w:val="20"/>
        </w:rPr>
      </w:pPr>
      <w:r>
        <w:rPr>
          <w:rFonts w:ascii="Times New Roman" w:eastAsia="Times New Roman" w:hAnsi="Times New Roman" w:cs="Times New Roman"/>
          <w:sz w:val="20"/>
        </w:rPr>
        <w:t>In light of the adverse economic conditions caused by the COVID-19 pandemic, we implemented certain cost-reduction measures</w:t>
      </w:r>
      <w:r>
        <w:rPr>
          <w:rFonts w:ascii="Times New Roman" w:eastAsia="Times New Roman" w:hAnsi="Times New Roman" w:cs="Times New Roman"/>
          <w:sz w:val="20"/>
        </w:rPr>
        <w:t xml:space="preserve"> for the three months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including </w:t>
      </w:r>
      <w:r>
        <w:rPr>
          <w:rFonts w:ascii="Times New Roman" w:eastAsia="Times New Roman" w:hAnsi="Times New Roman" w:cs="Times New Roman"/>
          <w:sz w:val="20"/>
        </w:rPr>
        <w:t>hiring rest</w:t>
      </w:r>
      <w:r>
        <w:rPr>
          <w:rFonts w:ascii="Times New Roman" w:eastAsia="Times New Roman" w:hAnsi="Times New Roman" w:cs="Times New Roman"/>
          <w:sz w:val="20"/>
        </w:rPr>
        <w:t>rict</w:t>
      </w:r>
      <w:r>
        <w:rPr>
          <w:rFonts w:ascii="Times New Roman" w:eastAsia="Times New Roman" w:hAnsi="Times New Roman" w:cs="Times New Roman"/>
          <w:sz w:val="20"/>
        </w:rPr>
        <w:t>ions</w:t>
      </w:r>
      <w:r>
        <w:rPr>
          <w:rFonts w:ascii="Times New Roman" w:eastAsia="Times New Roman" w:hAnsi="Times New Roman" w:cs="Times New Roman"/>
          <w:sz w:val="20"/>
        </w:rPr>
        <w:t xml:space="preserve"> and </w:t>
      </w:r>
      <w:r>
        <w:rPr>
          <w:rFonts w:ascii="Times New Roman" w:eastAsia="Times New Roman" w:hAnsi="Times New Roman" w:cs="Times New Roman"/>
          <w:sz w:val="20"/>
        </w:rPr>
        <w:t>temporary salary and wage reductions</w:t>
      </w:r>
      <w:r>
        <w:rPr>
          <w:rFonts w:ascii="Times New Roman" w:eastAsia="Times New Roman" w:hAnsi="Times New Roman" w:cs="Times New Roman"/>
          <w:sz w:val="20"/>
        </w:rPr>
        <w:t xml:space="preserve">. </w:t>
      </w:r>
      <w:r>
        <w:rPr>
          <w:rFonts w:ascii="Times New Roman" w:eastAsia="Times New Roman" w:hAnsi="Times New Roman" w:cs="Times New Roman"/>
          <w:sz w:val="20"/>
        </w:rPr>
        <w:t>Salary r</w:t>
      </w:r>
      <w:r>
        <w:rPr>
          <w:rFonts w:ascii="Times New Roman" w:eastAsia="Times New Roman" w:hAnsi="Times New Roman" w:cs="Times New Roman"/>
          <w:sz w:val="20"/>
        </w:rPr>
        <w:t>eductions a</w:t>
      </w:r>
      <w:r>
        <w:rPr>
          <w:rFonts w:ascii="Times New Roman" w:eastAsia="Times New Roman" w:hAnsi="Times New Roman" w:cs="Times New Roman"/>
          <w:sz w:val="20"/>
        </w:rPr>
        <w:t>veraged</w:t>
      </w:r>
      <w:r>
        <w:rPr>
          <w:rFonts w:ascii="Times New Roman" w:eastAsia="Times New Roman" w:hAnsi="Times New Roman" w:cs="Times New Roman"/>
          <w:sz w:val="20"/>
        </w:rPr>
        <w:t xml:space="preserve"> 20%, including a 21% reduction in </w:t>
      </w:r>
      <w:r>
        <w:rPr>
          <w:rFonts w:ascii="Times New Roman" w:eastAsia="Times New Roman" w:hAnsi="Times New Roman" w:cs="Times New Roman"/>
          <w:sz w:val="20"/>
        </w:rPr>
        <w:t xml:space="preserve">the </w:t>
      </w:r>
      <w:r>
        <w:rPr>
          <w:rFonts w:ascii="Times New Roman" w:eastAsia="Times New Roman" w:hAnsi="Times New Roman" w:cs="Times New Roman"/>
          <w:sz w:val="20"/>
        </w:rPr>
        <w:t>base salary for our Chief Executive Officer</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Chief Operating Officer and </w:t>
      </w:r>
      <w:r>
        <w:rPr>
          <w:rFonts w:ascii="Times New Roman" w:eastAsia="Times New Roman" w:hAnsi="Times New Roman" w:cs="Times New Roman"/>
          <w:sz w:val="20"/>
        </w:rPr>
        <w:t xml:space="preserve">in the </w:t>
      </w:r>
      <w:r>
        <w:rPr>
          <w:rFonts w:ascii="Times New Roman" w:eastAsia="Times New Roman" w:hAnsi="Times New Roman" w:cs="Times New Roman"/>
          <w:sz w:val="20"/>
        </w:rPr>
        <w:t xml:space="preserve">fees </w:t>
      </w:r>
      <w:r>
        <w:rPr>
          <w:rFonts w:ascii="Times New Roman" w:eastAsia="Times New Roman" w:hAnsi="Times New Roman" w:cs="Times New Roman"/>
          <w:sz w:val="20"/>
        </w:rPr>
        <w:t>of</w:t>
      </w:r>
      <w:r>
        <w:rPr>
          <w:rFonts w:ascii="Times New Roman" w:eastAsia="Times New Roman" w:hAnsi="Times New Roman" w:cs="Times New Roman"/>
          <w:sz w:val="20"/>
        </w:rPr>
        <w:t xml:space="preserve"> our directors</w:t>
      </w:r>
      <w:r>
        <w:rPr>
          <w:rFonts w:ascii="Times New Roman" w:eastAsia="Times New Roman" w:hAnsi="Times New Roman" w:cs="Times New Roman"/>
          <w:sz w:val="20"/>
        </w:rPr>
        <w:t xml:space="preserve">. We </w:t>
      </w:r>
      <w:r>
        <w:rPr>
          <w:rFonts w:ascii="Times New Roman" w:eastAsia="Times New Roman" w:hAnsi="Times New Roman" w:cs="Times New Roman"/>
          <w:sz w:val="20"/>
        </w:rPr>
        <w:t>also</w:t>
      </w:r>
      <w:r>
        <w:rPr>
          <w:rFonts w:ascii="Times New Roman" w:eastAsia="Times New Roman" w:hAnsi="Times New Roman" w:cs="Times New Roman"/>
          <w:sz w:val="20"/>
        </w:rPr>
        <w:t xml:space="preserve"> nearly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eliminated travel expense for </w:t>
      </w:r>
      <w:r>
        <w:rPr>
          <w:rFonts w:ascii="Times New Roman" w:eastAsia="Times New Roman" w:hAnsi="Times New Roman" w:cs="Times New Roman"/>
          <w:sz w:val="20"/>
        </w:rPr>
        <w:t>the remainder of 2020</w:t>
      </w:r>
      <w:r>
        <w:rPr>
          <w:rFonts w:ascii="Times New Roman" w:eastAsia="Times New Roman" w:hAnsi="Times New Roman" w:cs="Times New Roman"/>
          <w:sz w:val="20"/>
        </w:rPr>
        <w:t xml:space="preserve">. In March 2020, we incurred debt by drawing on our secured credit facility and receiving a loan under the U.S. Small Business Association’s Paycheck Protection Program. </w:t>
      </w:r>
      <w:r>
        <w:rPr>
          <w:rFonts w:ascii="Times New Roman" w:eastAsia="Times New Roman" w:hAnsi="Times New Roman" w:cs="Times New Roman"/>
          <w:sz w:val="20"/>
        </w:rPr>
        <w:t xml:space="preserve">After we were able to secure additional capital through sales of our common stock through an </w:t>
      </w:r>
      <w:r>
        <w:rPr>
          <w:rFonts w:ascii="Times New Roman" w:eastAsia="Times New Roman" w:hAnsi="Times New Roman" w:cs="Times New Roman"/>
          <w:sz w:val="20"/>
        </w:rPr>
        <w:t>at the market offering</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program </w:t>
      </w:r>
      <w:r>
        <w:rPr>
          <w:rFonts w:ascii="Times New Roman" w:eastAsia="Times New Roman" w:hAnsi="Times New Roman" w:cs="Times New Roman"/>
          <w:sz w:val="20"/>
        </w:rPr>
        <w:t>in June 2020, the secured credit facility was paid down by June 30, 2020</w:t>
      </w:r>
      <w:r>
        <w:rPr>
          <w:rFonts w:ascii="Times New Roman" w:eastAsia="Times New Roman" w:hAnsi="Times New Roman" w:cs="Times New Roman"/>
          <w:sz w:val="20"/>
        </w:rPr>
        <w:t>,</w:t>
      </w:r>
      <w:r>
        <w:rPr>
          <w:rFonts w:ascii="Times New Roman" w:eastAsia="Times New Roman" w:hAnsi="Times New Roman" w:cs="Times New Roman"/>
          <w:sz w:val="20"/>
        </w:rPr>
        <w:t xml:space="preserve"> and the employee salary reductions and hiring restrictions were removed effective July 1, 2020.</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an effort to contain COVID-19 or slow its spread, governments around the world have </w:t>
      </w:r>
      <w:r>
        <w:rPr>
          <w:rFonts w:ascii="Times New Roman" w:eastAsia="Times New Roman" w:hAnsi="Times New Roman" w:cs="Times New Roman"/>
          <w:sz w:val="20"/>
        </w:rPr>
        <w:t>from time to time</w:t>
      </w:r>
      <w:r>
        <w:rPr>
          <w:rFonts w:ascii="Times New Roman" w:eastAsia="Times New Roman" w:hAnsi="Times New Roman" w:cs="Times New Roman"/>
          <w:sz w:val="20"/>
        </w:rPr>
        <w:t xml:space="preserve"> enacted various measures, including orders to close all businesses not deemed “essential,” isolate residents to their homes or places of residence, and practice social distancing when engaging in essential activities. These measures have impacted the method and timing of certain business meetings and our attendance at industry events. </w:t>
      </w:r>
      <w:r>
        <w:rPr>
          <w:rFonts w:ascii="Times New Roman" w:eastAsia="Times New Roman" w:hAnsi="Times New Roman" w:cs="Times New Roman"/>
          <w:sz w:val="20"/>
        </w:rPr>
        <w:t>Rather than attending events in-person, as we have done historically, these events have been held virtually. We believe such events still are a valuable business opportunity, but their relative value without in-person networking is uncertain</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color w:val="1A1A1A"/>
          <w:sz w:val="20"/>
        </w:rPr>
      </w:pPr>
      <w:r>
        <w:rPr>
          <w:rFonts w:ascii="Times New Roman" w:eastAsia="Times New Roman" w:hAnsi="Times New Roman" w:cs="Times New Roman"/>
          <w:sz w:val="20"/>
        </w:rPr>
        <w:t>When COVID-19 is demonstrably contained, we anticipate a rebound in economic activity, depending on the rate, pace, and effectiveness of the containment efforts deployed by various national, state, and local governments; however, the timing and extent of any such rebound is uncertain.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 </w:t>
      </w:r>
      <w:r>
        <w:rPr>
          <w:rFonts w:ascii="Times New Roman" w:eastAsia="Times New Roman" w:hAnsi="Times New Roman" w:cs="Times New Roman"/>
          <w:sz w:val="20"/>
        </w:rPr>
        <w:t>the fo</w:t>
      </w:r>
      <w:r>
        <w:rPr>
          <w:rFonts w:ascii="Times New Roman" w:eastAsia="Times New Roman" w:hAnsi="Times New Roman" w:cs="Times New Roman"/>
          <w:sz w:val="20"/>
        </w:rPr>
        <w:t>urth quarter of</w:t>
      </w:r>
      <w:r>
        <w:rPr>
          <w:rFonts w:ascii="Times New Roman" w:eastAsia="Times New Roman" w:hAnsi="Times New Roman" w:cs="Times New Roman"/>
          <w:sz w:val="20"/>
        </w:rPr>
        <w:t xml:space="preserve"> 2020</w:t>
      </w:r>
      <w:r>
        <w:rPr>
          <w:rFonts w:ascii="Times New Roman" w:eastAsia="Times New Roman" w:hAnsi="Times New Roman" w:cs="Times New Roman"/>
          <w:sz w:val="20"/>
        </w:rPr>
        <w:t>, we</w:t>
      </w:r>
      <w:r>
        <w:rPr>
          <w:rFonts w:ascii="Times New Roman" w:eastAsia="Times New Roman" w:hAnsi="Times New Roman" w:cs="Times New Roman"/>
          <w:sz w:val="20"/>
        </w:rPr>
        <w:t xml:space="preserve"> began to see a dramatic year over year increase in Managed Services bookings</w:t>
      </w:r>
      <w:r>
        <w:rPr>
          <w:rFonts w:ascii="Times New Roman" w:eastAsia="Times New Roman" w:hAnsi="Times New Roman" w:cs="Times New Roman"/>
          <w:color w:val="1A1A1A"/>
          <w:sz w:val="20"/>
          <w:shd w:val="clear" w:color="auto" w:fill="FFFFFF"/>
        </w:rPr>
        <w:t xml:space="preserve">, </w:t>
      </w:r>
      <w:r>
        <w:rPr>
          <w:rFonts w:ascii="Times New Roman" w:eastAsia="Times New Roman" w:hAnsi="Times New Roman" w:cs="Times New Roman"/>
          <w:color w:val="1A1A1A"/>
          <w:sz w:val="20"/>
          <w:shd w:val="clear" w:color="auto" w:fill="FFFFFF"/>
        </w:rPr>
        <w:t>our</w:t>
      </w:r>
      <w:r>
        <w:rPr>
          <w:rFonts w:ascii="Times New Roman" w:eastAsia="Times New Roman" w:hAnsi="Times New Roman" w:cs="Times New Roman"/>
          <w:color w:val="1A1A1A"/>
          <w:sz w:val="20"/>
          <w:shd w:val="clear" w:color="auto" w:fill="FFFFFF"/>
        </w:rPr>
        <w:t xml:space="preserve"> net orders from customers</w:t>
      </w:r>
      <w:r>
        <w:rPr>
          <w:rFonts w:ascii="Times New Roman" w:eastAsia="Times New Roman" w:hAnsi="Times New Roman" w:cs="Times New Roman"/>
          <w:sz w:val="20"/>
        </w:rPr>
        <w:t xml:space="preserve">, resulting in 48% growth </w:t>
      </w:r>
      <w:r>
        <w:rPr>
          <w:rFonts w:ascii="Times New Roman" w:eastAsia="Times New Roman" w:hAnsi="Times New Roman" w:cs="Times New Roman"/>
          <w:sz w:val="20"/>
        </w:rPr>
        <w:t xml:space="preserve">compared to the </w:t>
      </w:r>
      <w:r>
        <w:rPr>
          <w:rFonts w:ascii="Times New Roman" w:eastAsia="Times New Roman" w:hAnsi="Times New Roman" w:cs="Times New Roman"/>
          <w:sz w:val="20"/>
        </w:rPr>
        <w:t>fourth</w:t>
      </w:r>
      <w:r>
        <w:rPr>
          <w:rFonts w:ascii="Times New Roman" w:eastAsia="Times New Roman" w:hAnsi="Times New Roman" w:cs="Times New Roman"/>
          <w:sz w:val="20"/>
        </w:rPr>
        <w:t xml:space="preserve"> quarter </w:t>
      </w:r>
      <w:r>
        <w:rPr>
          <w:rFonts w:ascii="Times New Roman" w:eastAsia="Times New Roman" w:hAnsi="Times New Roman" w:cs="Times New Roman"/>
          <w:sz w:val="20"/>
        </w:rPr>
        <w:t>of</w:t>
      </w:r>
      <w:r>
        <w:rPr>
          <w:rFonts w:ascii="Times New Roman" w:eastAsia="Times New Roman" w:hAnsi="Times New Roman" w:cs="Times New Roman"/>
          <w:sz w:val="20"/>
        </w:rPr>
        <w:t xml:space="preserve"> 2019. That growth in bookings le</w:t>
      </w:r>
      <w:r>
        <w:rPr>
          <w:rFonts w:ascii="Times New Roman" w:eastAsia="Times New Roman" w:hAnsi="Times New Roman" w:cs="Times New Roman"/>
          <w:sz w:val="20"/>
        </w:rPr>
        <w:t>d to a 10% growth in overall revenu</w:t>
      </w:r>
      <w:r>
        <w:rPr>
          <w:rFonts w:ascii="Times New Roman" w:eastAsia="Times New Roman" w:hAnsi="Times New Roman" w:cs="Times New Roman"/>
          <w:sz w:val="20"/>
        </w:rPr>
        <w:t xml:space="preserve">e for </w:t>
      </w:r>
      <w:r>
        <w:rPr>
          <w:rFonts w:ascii="Times New Roman" w:eastAsia="Times New Roman" w:hAnsi="Times New Roman" w:cs="Times New Roman"/>
          <w:sz w:val="20"/>
        </w:rPr>
        <w:t>the fourth</w:t>
      </w:r>
      <w:r>
        <w:rPr>
          <w:rFonts w:ascii="Times New Roman" w:eastAsia="Times New Roman" w:hAnsi="Times New Roman" w:cs="Times New Roman"/>
          <w:sz w:val="20"/>
        </w:rPr>
        <w:t xml:space="preserve"> quarter of </w:t>
      </w:r>
      <w:r>
        <w:rPr>
          <w:rFonts w:ascii="Times New Roman" w:eastAsia="Times New Roman" w:hAnsi="Times New Roman" w:cs="Times New Roman"/>
          <w:sz w:val="20"/>
        </w:rPr>
        <w:t xml:space="preserve">2020. While we have seen a continuation of that positive momentum for Managed Services bookings in </w:t>
      </w:r>
      <w:r>
        <w:rPr>
          <w:rFonts w:ascii="Times New Roman" w:eastAsia="Times New Roman" w:hAnsi="Times New Roman" w:cs="Times New Roman"/>
          <w:sz w:val="20"/>
        </w:rPr>
        <w:t xml:space="preserve">the first quarter of </w:t>
      </w:r>
      <w:r>
        <w:rPr>
          <w:rFonts w:ascii="Times New Roman" w:eastAsia="Times New Roman" w:hAnsi="Times New Roman" w:cs="Times New Roman"/>
          <w:sz w:val="20"/>
        </w:rPr>
        <w:t xml:space="preserve">2021, there is still risk that bookings </w:t>
      </w:r>
      <w:r>
        <w:rPr>
          <w:rFonts w:ascii="Times New Roman" w:eastAsia="Times New Roman" w:hAnsi="Times New Roman" w:cs="Times New Roman"/>
          <w:sz w:val="20"/>
        </w:rPr>
        <w:t>will</w:t>
      </w:r>
      <w:r>
        <w:rPr>
          <w:rFonts w:ascii="Times New Roman" w:eastAsia="Times New Roman" w:hAnsi="Times New Roman" w:cs="Times New Roman"/>
          <w:sz w:val="20"/>
        </w:rPr>
        <w:t xml:space="preserve"> not </w:t>
      </w:r>
      <w:r>
        <w:rPr>
          <w:rFonts w:ascii="Times New Roman" w:eastAsia="Times New Roman" w:hAnsi="Times New Roman" w:cs="Times New Roman"/>
          <w:sz w:val="20"/>
        </w:rPr>
        <w:t xml:space="preserve">be </w:t>
      </w:r>
      <w:r>
        <w:rPr>
          <w:rFonts w:ascii="Times New Roman" w:eastAsia="Times New Roman" w:hAnsi="Times New Roman" w:cs="Times New Roman"/>
          <w:sz w:val="20"/>
        </w:rPr>
        <w:t xml:space="preserve">recognized as revenue if </w:t>
      </w:r>
      <w:r>
        <w:rPr>
          <w:rFonts w:ascii="Times New Roman" w:eastAsia="Times New Roman" w:hAnsi="Times New Roman" w:cs="Times New Roman"/>
          <w:sz w:val="20"/>
        </w:rPr>
        <w:t>customers</w:t>
      </w:r>
      <w:r>
        <w:rPr>
          <w:rFonts w:ascii="Times New Roman" w:eastAsia="Times New Roman" w:hAnsi="Times New Roman" w:cs="Times New Roman"/>
          <w:sz w:val="20"/>
        </w:rPr>
        <w:t xml:space="preserve"> cancel </w:t>
      </w:r>
      <w:r>
        <w:rPr>
          <w:rFonts w:ascii="Times New Roman" w:eastAsia="Times New Roman" w:hAnsi="Times New Roman" w:cs="Times New Roman"/>
          <w:sz w:val="20"/>
        </w:rPr>
        <w:t>prior to the pe</w:t>
      </w:r>
      <w:r>
        <w:rPr>
          <w:rFonts w:ascii="Times New Roman" w:eastAsia="Times New Roman" w:hAnsi="Times New Roman" w:cs="Times New Roman"/>
          <w:sz w:val="20"/>
        </w:rPr>
        <w:t>r</w:t>
      </w:r>
      <w:r>
        <w:rPr>
          <w:rFonts w:ascii="Times New Roman" w:eastAsia="Times New Roman" w:hAnsi="Times New Roman" w:cs="Times New Roman"/>
          <w:sz w:val="20"/>
        </w:rPr>
        <w:t>formance of service</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will continue to actively monitor the situation and may take further actions altering our business operations that we determine are in the best interests of our employees, customers, partners, suppliers, and stakeholders, or as required by federal, state, or local authorities. It is not clear what the potential effects any such alterations or modifications may have on our business, including the effects on our customers, employees, and prospects, or on our </w:t>
      </w:r>
      <w:r>
        <w:rPr>
          <w:rFonts w:ascii="Times New Roman" w:eastAsia="Times New Roman" w:hAnsi="Times New Roman" w:cs="Times New Roman"/>
          <w:sz w:val="20"/>
        </w:rPr>
        <w:t xml:space="preserve">future </w:t>
      </w:r>
      <w:r>
        <w:rPr>
          <w:rFonts w:ascii="Times New Roman" w:eastAsia="Times New Roman" w:hAnsi="Times New Roman" w:cs="Times New Roman"/>
          <w:sz w:val="20"/>
        </w:rPr>
        <w:t>financial results</w:t>
      </w:r>
      <w:r>
        <w:rPr>
          <w:rFonts w:ascii="Times New Roman" w:eastAsia="Times New Roman" w:hAnsi="Times New Roman" w:cs="Times New Roman"/>
          <w:sz w:val="20"/>
        </w:rPr>
        <w:t>.</w:t>
      </w:r>
    </w:p>
    <w:p>
      <w:pPr>
        <w:keepNext w:val="0"/>
        <w:keepLines w:val="0"/>
        <w:pageBreakBefore w:val="0"/>
        <w:widowControl/>
        <w:numPr>
          <w:ilvl w:val="0"/>
          <w:numId w:val="0"/>
        </w:numPr>
        <w:spacing w:before="12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12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val="0"/>
        <w:numPr>
          <w:ilvl w:val="0"/>
          <w:numId w:val="0"/>
        </w:numPr>
        <w:spacing w:before="0" w:after="0" w:line="288" w:lineRule="auto"/>
        <w:ind w:left="0" w:right="180" w:firstLine="0"/>
        <w:jc w:val="left"/>
        <w:outlineLvl w:val="2"/>
        <w:rPr>
          <w:rFonts w:ascii="Times New Roman" w:eastAsia="Times New Roman" w:hAnsi="Times New Roman" w:cs="Times New Roman"/>
          <w:b/>
          <w:sz w:val="20"/>
        </w:rPr>
      </w:pPr>
      <w:bookmarkStart w:id="15" w:name="Section16"/>
      <w:bookmarkEnd w:id="15"/>
      <w:r>
        <w:rPr>
          <w:rFonts w:ascii="Times New Roman" w:eastAsia="Times New Roman" w:hAnsi="Times New Roman" w:cs="Times New Roman"/>
          <w:b/>
          <w:sz w:val="20"/>
        </w:rPr>
        <w:t>Key Components of Results of Operations</w:t>
      </w:r>
    </w:p>
    <w:p>
      <w:pPr>
        <w:keepNext w:val="0"/>
        <w:keepLines w:val="0"/>
        <w:pageBreakBefore w:val="0"/>
        <w:widowControl/>
        <w:numPr>
          <w:ilvl w:val="0"/>
          <w:numId w:val="0"/>
        </w:numPr>
        <w:spacing w:before="12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Overall consolidated results of operations are evaluated based on Revenue, Cost of Revenue, Sales and Marketing expenses, General and Administrative expenses, Depreciation and Amortization, and Other Income (Expense), net.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Revenue</w:t>
      </w:r>
    </w:p>
    <w:p>
      <w:pPr>
        <w:keepNext w:val="0"/>
        <w:keepLines w:val="0"/>
        <w:pageBreakBefore w:val="0"/>
        <w:widowControl/>
        <w:numPr>
          <w:ilvl w:val="0"/>
          <w:numId w:val="0"/>
        </w:numPr>
        <w:spacing w:before="120" w:after="0" w:line="28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We historically generated revenue from five primary sources: (1) revenue from our managed services when a marketer (typically a brand, agency or partner) pays us to provide custom content, influencer marketing, amplification or other campaign management services (“Managed Services”); (2) revenue from fees charged to software customers on their marketplace spend within our </w:t>
      </w:r>
      <w:r>
        <w:rPr>
          <w:rFonts w:ascii="Times New Roman" w:eastAsia="Times New Roman" w:hAnsi="Times New Roman" w:cs="Times New Roman"/>
          <w:i/>
          <w:sz w:val="20"/>
        </w:rPr>
        <w:t>IZEAx</w:t>
      </w:r>
      <w:r>
        <w:rPr>
          <w:rFonts w:ascii="Times New Roman" w:eastAsia="Times New Roman" w:hAnsi="Times New Roman" w:cs="Times New Roman"/>
          <w:i/>
          <w:sz w:val="20"/>
        </w:rPr>
        <w:t>, Shake</w:t>
      </w:r>
      <w:r>
        <w:rPr>
          <w:rFonts w:ascii="Times New Roman" w:eastAsia="Times New Roman" w:hAnsi="Times New Roman" w:cs="Times New Roman"/>
          <w:i/>
          <w:sz w:val="20"/>
        </w:rPr>
        <w:t>,</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platforms (“Marketplace Spend Fees”); (3) revenue from fees charged to access the </w:t>
      </w:r>
      <w:r>
        <w:rPr>
          <w:rFonts w:ascii="Times New Roman" w:eastAsia="Times New Roman" w:hAnsi="Times New Roman" w:cs="Times New Roman"/>
          <w:i/>
          <w:sz w:val="20"/>
        </w:rPr>
        <w:t>IZEAx</w:t>
      </w:r>
      <w:r>
        <w:rPr>
          <w:rFonts w:ascii="Times New Roman" w:eastAsia="Times New Roman" w:hAnsi="Times New Roman" w:cs="Times New Roman"/>
          <w:i/>
          <w:sz w:val="20"/>
        </w:rPr>
        <w:t>, BrandGraph</w:t>
      </w:r>
      <w:r>
        <w:rPr>
          <w:rFonts w:ascii="Times New Roman" w:eastAsia="Times New Roman" w:hAnsi="Times New Roman" w:cs="Times New Roman"/>
          <w:i/>
          <w:sz w:val="20"/>
        </w:rPr>
        <w:t>, Ebyline,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platforms (“License Fees”); (4) revenue from transactions generated by the self-service use of our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for professional custom content workflow (“Legacy Workflow Fees”); and (5) revenue derived from other fees such as inactivity fees, early cash-out fees, and subscription plan fees charged to users of our platforms (“Other Fees”). After the migration of the last customers from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in December 2019, there is no longer any revenue generated from Legacy Workflow Fees and all such revenue is reported as Marketplace Spend Fees under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platform.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As discussed in more detail within “Critical Accounting Policies and Use of Estimates” under “Note 1. Company and Summary of Significant Accounting Policies,” under Part I, Item 1 herein, revenue from Marketplace Spend Fees and Legacy Workflow Fees is reported on a net basis and revenue from all other sources, including Managed Services, License Fees</w:t>
      </w:r>
      <w:r>
        <w:rPr>
          <w:rFonts w:ascii="Times New Roman" w:eastAsia="Times New Roman" w:hAnsi="Times New Roman" w:cs="Times New Roman"/>
          <w:sz w:val="20"/>
        </w:rPr>
        <w:t>,</w:t>
      </w:r>
      <w:r>
        <w:rPr>
          <w:rFonts w:ascii="Times New Roman" w:eastAsia="Times New Roman" w:hAnsi="Times New Roman" w:cs="Times New Roman"/>
          <w:sz w:val="20"/>
        </w:rPr>
        <w:t xml:space="preserve"> and Other Fees are reported on a gross basis. We further categorize these sources into two primary groups: (1) Managed Services and (2) SaaS Services, which includes revenue from Marketplace Spend Fees, License Fees</w:t>
      </w:r>
      <w:r>
        <w:rPr>
          <w:rFonts w:ascii="Times New Roman" w:eastAsia="Times New Roman" w:hAnsi="Times New Roman" w:cs="Times New Roman"/>
          <w:sz w:val="20"/>
        </w:rPr>
        <w:t>,</w:t>
      </w:r>
      <w:r>
        <w:rPr>
          <w:rFonts w:ascii="Times New Roman" w:eastAsia="Times New Roman" w:hAnsi="Times New Roman" w:cs="Times New Roman"/>
          <w:sz w:val="20"/>
        </w:rPr>
        <w:t xml:space="preserve"> Legacy Workflow Fees, and Other Fees.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Cost of Revenue</w:t>
      </w:r>
    </w:p>
    <w:p>
      <w:pPr>
        <w:keepNext w:val="0"/>
        <w:keepLines w:val="0"/>
        <w:pageBreakBefore w:val="0"/>
        <w:widowControl w:val="0"/>
        <w:numPr>
          <w:ilvl w:val="0"/>
          <w:numId w:val="0"/>
        </w:numPr>
        <w:spacing w:before="12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Our cost of revenue consists of direct costs paid to our third-party creators who provide the custom content, influencer marketing or amplification services for our Managed Service customers where we report revenue on a gross basis. It also includes internal costs related to our campaign fulfillment and SaaS support departments. These costs include salaries, bonuses, commissions, stock-based compensation, employee benefit costs, and miscellaneous departmental costs related to the personnel who are primarily responsible for providing support to our customers and ultimately fulfillment of our obligations under our contracts with customers. Where appropriate, we capitalize costs that were incurred with software that is developed or acquired for our revenue supporting platforms and amortize these costs over the estimated useful lives of those platforms. This amortization is separately stated under depreciation and amortization in our consolidated statements of operations. </w:t>
      </w:r>
    </w:p>
    <w:p>
      <w:pPr>
        <w:keepNext w:val="0"/>
        <w:keepLines w:val="0"/>
        <w:pageBreakBefore w:val="0"/>
        <w:widowControl w:val="0"/>
        <w:numPr>
          <w:ilvl w:val="0"/>
          <w:numId w:val="0"/>
        </w:numPr>
        <w:spacing w:before="11"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Sales and Marketing</w:t>
      </w:r>
      <w:r>
        <w:rPr>
          <w:rFonts w:ascii="Times New Roman" w:eastAsia="Times New Roman" w:hAnsi="Times New Roman" w:cs="Times New Roman"/>
          <w:sz w:val="20"/>
        </w:rPr>
        <w:t xml:space="preserve"> </w:t>
      </w:r>
    </w:p>
    <w:p>
      <w:pPr>
        <w:keepNext w:val="0"/>
        <w:keepLines w:val="0"/>
        <w:pageBreakBefore w:val="0"/>
        <w:widowControl w:val="0"/>
        <w:numPr>
          <w:ilvl w:val="0"/>
          <w:numId w:val="0"/>
        </w:numPr>
        <w:spacing w:before="12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sales and marketing expenses consist primarily of salaries, bonuses, commissions, stock-based compensation, employee benefit costs, travel and miscellaneous departmental costs for our marketing, sales and sales support personnel, as well as marketing expenses such as brand marketing, public relation events, trade shows and marketing materials, and travel expenses. </w:t>
      </w:r>
    </w:p>
    <w:p>
      <w:pPr>
        <w:keepNext w:val="0"/>
        <w:keepLines w:val="0"/>
        <w:pageBreakBefore w:val="0"/>
        <w:widowControl w:val="0"/>
        <w:numPr>
          <w:ilvl w:val="0"/>
          <w:numId w:val="0"/>
        </w:numPr>
        <w:spacing w:before="11"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General and Administrative</w:t>
      </w:r>
      <w:r>
        <w:rPr>
          <w:rFonts w:ascii="Times New Roman" w:eastAsia="Times New Roman" w:hAnsi="Times New Roman" w:cs="Times New Roman"/>
          <w:b/>
          <w:sz w:val="20"/>
        </w:rPr>
        <w:t xml:space="preserve"> </w:t>
      </w:r>
    </w:p>
    <w:p>
      <w:pPr>
        <w:keepNext w:val="0"/>
        <w:keepLines w:val="0"/>
        <w:pageBreakBefore w:val="0"/>
        <w:widowControl w:val="0"/>
        <w:numPr>
          <w:ilvl w:val="0"/>
          <w:numId w:val="0"/>
        </w:numPr>
        <w:spacing w:before="12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general and administrative expense consists primarily of salaries, bonuses, commissions, stock-based compensation, employee benefit costs, and miscellaneous departmental costs related to our executive, finance, legal, human resources, and other administrative personnel. It also includes travel, public company and investor relations expenses, as well as accounting and legal professional services fees, leasehold facilities, and other corporate-related expenses. General and administrative expense also includes our technology and development costs consisting primarily of our payroll costs for our internal engineers and contractors responsible for developing, maintaining</w:t>
      </w:r>
      <w:r>
        <w:rPr>
          <w:rFonts w:ascii="Times New Roman" w:eastAsia="Times New Roman" w:hAnsi="Times New Roman" w:cs="Times New Roman"/>
          <w:sz w:val="20"/>
        </w:rPr>
        <w:t>,</w:t>
      </w:r>
      <w:r>
        <w:rPr>
          <w:rFonts w:ascii="Times New Roman" w:eastAsia="Times New Roman" w:hAnsi="Times New Roman" w:cs="Times New Roman"/>
          <w:sz w:val="20"/>
        </w:rPr>
        <w:t xml:space="preserve"> and improving our technology, as well as hosting and software subscription costs. These costs are expensed as incurred, except to the extent that they are associated with internal use software that qualifies for capitalization, which are then recorded as software development costs in the consolidated balance sheet. We also capitalize costs that are related to our acquired intangible assets. Depreciation and amortization related to these costs are separately stated under depreciation and amortization in our consolidated statements of operations. General and administrative expense also includes current period gains and losses on </w:t>
      </w:r>
      <w:r>
        <w:rPr>
          <w:rFonts w:ascii="Times New Roman" w:eastAsia="Times New Roman" w:hAnsi="Times New Roman" w:cs="Times New Roman"/>
          <w:sz w:val="20"/>
        </w:rPr>
        <w:t>our acquis</w:t>
      </w:r>
      <w:r>
        <w:rPr>
          <w:rFonts w:ascii="Times New Roman" w:eastAsia="Times New Roman" w:hAnsi="Times New Roman" w:cs="Times New Roman"/>
          <w:sz w:val="20"/>
        </w:rPr>
        <w:t>i</w:t>
      </w:r>
      <w:r>
        <w:rPr>
          <w:rFonts w:ascii="Times New Roman" w:eastAsia="Times New Roman" w:hAnsi="Times New Roman" w:cs="Times New Roman"/>
          <w:sz w:val="20"/>
        </w:rPr>
        <w:t>tion costs payable</w:t>
      </w:r>
      <w:r>
        <w:rPr>
          <w:rFonts w:ascii="Times New Roman" w:eastAsia="Times New Roman" w:hAnsi="Times New Roman" w:cs="Times New Roman"/>
          <w:sz w:val="20"/>
        </w:rPr>
        <w:t>, as well as gains and losses from the sale of fixed assets. Impairments on fixed assets, intangible assets and goodwill, are included as part of general and administrative expense when they are not material and broken out separately in our consolidated statements of operations when they are material.</w:t>
      </w: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Depreciation and Amortization </w:t>
      </w:r>
    </w:p>
    <w:p>
      <w:pPr>
        <w:keepNext w:val="0"/>
        <w:keepLines w:val="0"/>
        <w:pageBreakBefore w:val="0"/>
        <w:widowControl w:val="0"/>
        <w:numPr>
          <w:ilvl w:val="0"/>
          <w:numId w:val="0"/>
        </w:numPr>
        <w:spacing w:before="12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Depreciation and amortization expense consists primarily of amortization of our internal use software and acquired intangible assets from our business acquisitions. To a lesser extent, we also have depreciation and amortization on equipment and leasehold improvements used by our personnel. Costs are amortized or depreciated over the estimated useful lives of the associated assets.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Other Income (Expense)</w:t>
      </w:r>
    </w:p>
    <w:p>
      <w:pPr>
        <w:keepNext w:val="0"/>
        <w:keepLines w:val="0"/>
        <w:pageBreakBefore w:val="0"/>
        <w:widowControl w:val="0"/>
        <w:numPr>
          <w:ilvl w:val="0"/>
          <w:numId w:val="0"/>
        </w:numPr>
        <w:spacing w:before="120" w:after="0" w:line="28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Interest Expense. </w:t>
      </w:r>
      <w:r>
        <w:rPr>
          <w:rFonts w:ascii="Times New Roman" w:eastAsia="Times New Roman" w:hAnsi="Times New Roman" w:cs="Times New Roman"/>
          <w:sz w:val="20"/>
        </w:rPr>
        <w:t xml:space="preserve">Interest expense is mainly related to the imputed interest on our acquisition costs payable and interest when we use our secured credit facility. </w:t>
      </w:r>
    </w:p>
    <w:p>
      <w:pPr>
        <w:keepNext w:val="0"/>
        <w:keepLines w:val="0"/>
        <w:pageBreakBefore w:val="0"/>
        <w:widowControl w:val="0"/>
        <w:numPr>
          <w:ilvl w:val="0"/>
          <w:numId w:val="0"/>
        </w:numPr>
        <w:spacing w:before="11" w:after="0" w:line="28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ab/>
      </w:r>
    </w:p>
    <w:p>
      <w:pPr>
        <w:keepNext w:val="0"/>
        <w:keepLines w:val="0"/>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Other Income (Expense). </w:t>
      </w:r>
      <w:r>
        <w:rPr>
          <w:rFonts w:ascii="Times New Roman" w:eastAsia="Times New Roman" w:hAnsi="Times New Roman" w:cs="Times New Roman"/>
          <w:sz w:val="20"/>
        </w:rPr>
        <w:t>Other income (expense) consists primarily of interest income for interest earned or changes in the value of our foreign assets and liabilities and foreign currency exchange gains and losses on foreign currency transactions, primarily related to the Canadian Dollar.</w:t>
      </w:r>
    </w:p>
    <w:p>
      <w:pPr>
        <w:keepNext w:val="0"/>
        <w:keepLines w:val="0"/>
        <w:pageBreakBefore w:val="0"/>
        <w:widowControl w:val="0"/>
        <w:numPr>
          <w:ilvl w:val="0"/>
          <w:numId w:val="0"/>
        </w:numPr>
        <w:spacing w:before="0" w:after="0" w:line="288" w:lineRule="auto"/>
        <w:ind w:left="0" w:right="0" w:firstLine="72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2"/>
        <w:rPr>
          <w:rFonts w:ascii="Times New Roman" w:eastAsia="Times New Roman" w:hAnsi="Times New Roman" w:cs="Times New Roman"/>
          <w:b/>
          <w:sz w:val="20"/>
        </w:rPr>
      </w:pPr>
      <w:bookmarkStart w:id="16" w:name="Section17"/>
      <w:bookmarkEnd w:id="16"/>
      <w:r>
        <w:rPr>
          <w:rFonts w:ascii="Times New Roman" w:eastAsia="Times New Roman" w:hAnsi="Times New Roman" w:cs="Times New Roman"/>
          <w:b/>
          <w:sz w:val="20"/>
        </w:rPr>
        <w:t xml:space="preserve">Results of Operations for the </w:t>
      </w:r>
      <w:r>
        <w:rPr>
          <w:rFonts w:ascii="Times New Roman" w:eastAsia="Times New Roman" w:hAnsi="Times New Roman" w:cs="Times New Roman"/>
          <w:b/>
          <w:sz w:val="20"/>
        </w:rPr>
        <w:t>Twelve Months Ended</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December 31, 2020</w:t>
      </w:r>
      <w:r>
        <w:rPr>
          <w:rFonts w:ascii="Times New Roman" w:eastAsia="Times New Roman" w:hAnsi="Times New Roman" w:cs="Times New Roman"/>
          <w:b/>
          <w:sz w:val="20"/>
        </w:rPr>
        <w:t xml:space="preserve"> and </w:t>
      </w:r>
      <w:r>
        <w:rPr>
          <w:rFonts w:ascii="Times New Roman" w:eastAsia="Times New Roman" w:hAnsi="Times New Roman" w:cs="Times New Roman"/>
          <w:b/>
          <w:sz w:val="20"/>
        </w:rPr>
        <w:t>2019</w:t>
      </w:r>
      <w:r>
        <w:rPr>
          <w:rFonts w:ascii="Times New Roman" w:eastAsia="Times New Roman" w:hAnsi="Times New Roman" w:cs="Times New Roman"/>
          <w:b/>
          <w:sz w:val="20"/>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0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 sets forth a summary of our consolidated statements of operations and the change between the periods:</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30"/>
        <w:gridCol w:w="160"/>
        <w:gridCol w:w="1270"/>
        <w:gridCol w:w="100"/>
        <w:gridCol w:w="75"/>
        <w:gridCol w:w="160"/>
        <w:gridCol w:w="1285"/>
        <w:gridCol w:w="100"/>
        <w:gridCol w:w="75"/>
        <w:gridCol w:w="160"/>
        <w:gridCol w:w="940"/>
        <w:gridCol w:w="100"/>
        <w:gridCol w:w="905"/>
        <w:gridCol w:w="100"/>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483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15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Twelve Months Ended December 31,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05" w:type="dxa"/>
            <w:gridSpan w:val="5"/>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4830"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53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2020</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5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 Change</w:t>
            </w:r>
          </w:p>
        </w:tc>
        <w:tc>
          <w:tcPr>
            <w:tcW w:w="1005" w:type="dxa"/>
            <w:gridSpan w:val="2"/>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 Change</w:t>
            </w:r>
          </w:p>
        </w:tc>
      </w:tr>
      <w:tr>
        <w:tblPrEx>
          <w:tblW w:w="10465" w:type="dxa"/>
          <w:tblInd w:w="0" w:type="dxa"/>
          <w:tblCellMar>
            <w:left w:w="108" w:type="dxa"/>
            <w:right w:w="108" w:type="dxa"/>
          </w:tblCellMar>
        </w:tblPrEx>
        <w:trPr>
          <w:cantSplit/>
          <w:trHeight w:hRule="exact" w:val="285"/>
        </w:trPr>
        <w:tc>
          <w:tcPr>
            <w:tcW w:w="483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Revenue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27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18,329,555 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2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18,955,672 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(626,117)</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180"/>
        </w:trPr>
        <w:tc>
          <w:tcPr>
            <w:tcW w:w="483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4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285"/>
        </w:trPr>
        <w:tc>
          <w:tcPr>
            <w:tcW w:w="483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Costs and expenses:</w:t>
            </w:r>
          </w:p>
        </w:tc>
        <w:tc>
          <w:tcPr>
            <w:tcW w:w="153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4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483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 xml:space="preserve">Cost of revenue (exclusive of amortization) </w:t>
            </w:r>
          </w:p>
        </w:tc>
        <w:tc>
          <w:tcPr>
            <w:tcW w:w="143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8,000,038 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8,521,353 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(521,315)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83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Sales and marketing</w:t>
            </w:r>
          </w:p>
        </w:tc>
        <w:tc>
          <w:tcPr>
            <w:tcW w:w="143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5,999,671 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6,240,263 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(240,592)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83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General and administrative</w:t>
            </w:r>
          </w:p>
        </w:tc>
        <w:tc>
          <w:tcPr>
            <w:tcW w:w="143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8,611,423 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9,193,032 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(581,609)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83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Impairment of goodwill and intangible assets</w:t>
            </w:r>
          </w:p>
        </w:tc>
        <w:tc>
          <w:tcPr>
            <w:tcW w:w="143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4,300,000 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418,099 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3,881,901 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928 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830"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Depreciation and amortization</w:t>
            </w:r>
          </w:p>
        </w:tc>
        <w:tc>
          <w:tcPr>
            <w:tcW w:w="143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1,652,126 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1,750,629 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(98,503)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830" w:type="dxa"/>
            <w:tcBorders>
              <w:top w:val="single" w:sz="8" w:space="0" w:color="000000"/>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720"/>
              <w:jc w:val="left"/>
            </w:pPr>
            <w:r>
              <w:rPr>
                <w:rFonts w:ascii="Times New Roman" w:eastAsia="Times New Roman" w:hAnsi="Times New Roman" w:cs="Times New Roman"/>
                <w:color w:val="000000"/>
                <w:sz w:val="20"/>
              </w:rPr>
              <w:t>Total costs and expenses</w:t>
            </w:r>
          </w:p>
        </w:tc>
        <w:tc>
          <w:tcPr>
            <w:tcW w:w="143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28,563,258 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26,123,376 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2,439,882 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905"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830" w:type="dxa"/>
            <w:tcBorders>
              <w:top w:val="sing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Loss from operations</w:t>
            </w:r>
          </w:p>
        </w:tc>
        <w:tc>
          <w:tcPr>
            <w:tcW w:w="143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(10,233,703)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(7,167,704)</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(3,065,999)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90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83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Other income (expense):</w:t>
            </w:r>
          </w:p>
        </w:tc>
        <w:tc>
          <w:tcPr>
            <w:tcW w:w="153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4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285"/>
        </w:trPr>
        <w:tc>
          <w:tcPr>
            <w:tcW w:w="483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Interest expense</w:t>
            </w:r>
          </w:p>
        </w:tc>
        <w:tc>
          <w:tcPr>
            <w:tcW w:w="143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(63,012)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(233,654)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170,642 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830" w:type="dxa"/>
            <w:tcBorders>
              <w:top w:val="nil"/>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Other income, net</w:t>
            </w:r>
          </w:p>
        </w:tc>
        <w:tc>
          <w:tcPr>
            <w:tcW w:w="143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46,708 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111,238 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(64,530)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(58)</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285"/>
        </w:trPr>
        <w:tc>
          <w:tcPr>
            <w:tcW w:w="4830" w:type="dxa"/>
            <w:tcBorders>
              <w:top w:val="single" w:sz="8" w:space="0" w:color="000000"/>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720"/>
              <w:jc w:val="left"/>
            </w:pPr>
            <w:r>
              <w:rPr>
                <w:rFonts w:ascii="Times New Roman" w:eastAsia="Times New Roman" w:hAnsi="Times New Roman" w:cs="Times New Roman"/>
                <w:color w:val="000000"/>
                <w:sz w:val="20"/>
              </w:rPr>
              <w:t>Total other income (expense), net</w:t>
            </w:r>
          </w:p>
        </w:tc>
        <w:tc>
          <w:tcPr>
            <w:tcW w:w="143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(16,304)</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(122,416)</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106,112 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905"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(87)</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r>
      <w:tr>
        <w:tblPrEx>
          <w:tblW w:w="10465" w:type="dxa"/>
          <w:tblInd w:w="0" w:type="dxa"/>
          <w:tblCellMar>
            <w:left w:w="108" w:type="dxa"/>
            <w:right w:w="108" w:type="dxa"/>
          </w:tblCellMar>
        </w:tblPrEx>
        <w:trPr>
          <w:cantSplit/>
          <w:trHeight w:hRule="exact" w:val="300"/>
        </w:trPr>
        <w:tc>
          <w:tcPr>
            <w:tcW w:w="483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55" w:after="30" w:line="240" w:lineRule="auto"/>
              <w:ind w:left="0"/>
              <w:jc w:val="left"/>
            </w:pPr>
            <w:r>
              <w:rPr>
                <w:rFonts w:ascii="Times New Roman" w:eastAsia="Times New Roman" w:hAnsi="Times New Roman" w:cs="Times New Roman"/>
                <w:color w:val="000000"/>
                <w:sz w:val="20"/>
              </w:rPr>
              <w:t>Net loss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27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(10,250,007)</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2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(7,290,120)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(2,959,887)</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90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41 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w:t>
            </w:r>
          </w:p>
        </w:tc>
      </w:tr>
    </w:tbl>
    <w:p>
      <w:pPr>
        <w:keepNext/>
        <w:keepLines/>
        <w:pageBreakBefore w:val="0"/>
        <w:widowControl w:val="0"/>
        <w:numPr>
          <w:ilvl w:val="0"/>
          <w:numId w:val="0"/>
        </w:numPr>
        <w:spacing w:before="100" w:after="0" w:line="288" w:lineRule="auto"/>
        <w:ind w:left="0" w:right="0" w:firstLine="0"/>
        <w:jc w:val="both"/>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Revenue</w:t>
      </w:r>
    </w:p>
    <w:p>
      <w:pPr>
        <w:keepNext w:val="0"/>
        <w:keepLines w:val="0"/>
        <w:pageBreakBefore w:val="0"/>
        <w:widowControl/>
        <w:numPr>
          <w:ilvl w:val="0"/>
          <w:numId w:val="0"/>
        </w:numPr>
        <w:spacing w:before="120" w:after="10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 illustrates our revenue by type, the percentage of total revenue by type, and the change between the periods:</w:t>
      </w:r>
    </w:p>
    <w:tbl>
      <w:tblPr>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00"/>
        <w:gridCol w:w="160"/>
        <w:gridCol w:w="1135"/>
        <w:gridCol w:w="100"/>
        <w:gridCol w:w="560"/>
        <w:gridCol w:w="100"/>
        <w:gridCol w:w="75"/>
        <w:gridCol w:w="160"/>
        <w:gridCol w:w="1135"/>
        <w:gridCol w:w="100"/>
        <w:gridCol w:w="500"/>
        <w:gridCol w:w="100"/>
        <w:gridCol w:w="75"/>
        <w:gridCol w:w="160"/>
        <w:gridCol w:w="1135"/>
        <w:gridCol w:w="100"/>
        <w:gridCol w:w="905"/>
        <w:gridCol w:w="100"/>
      </w:tblGrid>
      <w:tr>
        <w:tblPrEx>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36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12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Twelve Months Ended December 31,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04" w:type="dxa"/>
          <w:jc w:val="left"/>
          <w:tblInd w:w="0" w:type="dxa"/>
          <w:tblCellMar>
            <w:left w:w="108" w:type="dxa"/>
            <w:right w:w="108" w:type="dxa"/>
          </w:tblCellMar>
        </w:tblPrEx>
        <w:trPr>
          <w:cantSplit/>
          <w:trHeight w:hRule="exact" w:val="300"/>
          <w:jc w:val="left"/>
        </w:trPr>
        <w:tc>
          <w:tcPr>
            <w:tcW w:w="3600"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2055" w:type="dxa"/>
            <w:gridSpan w:val="5"/>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2020</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995" w:type="dxa"/>
            <w:gridSpan w:val="5"/>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 Change</w:t>
            </w:r>
          </w:p>
        </w:tc>
        <w:tc>
          <w:tcPr>
            <w:tcW w:w="1005" w:type="dxa"/>
            <w:gridSpan w:val="2"/>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 Change</w:t>
            </w:r>
          </w:p>
        </w:tc>
      </w:tr>
      <w:tr>
        <w:tblPrEx>
          <w:tblW w:w="10404" w:type="dxa"/>
          <w:jc w:val="left"/>
          <w:tblInd w:w="0" w:type="dxa"/>
          <w:tblCellMar>
            <w:left w:w="108" w:type="dxa"/>
            <w:right w:w="108" w:type="dxa"/>
          </w:tblCellMar>
        </w:tblPrEx>
        <w:trPr>
          <w:cantSplit/>
          <w:trHeight w:hRule="exact" w:val="300"/>
          <w:jc w:val="left"/>
        </w:trPr>
        <w:tc>
          <w:tcPr>
            <w:tcW w:w="360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b/>
                <w:color w:val="000000"/>
                <w:sz w:val="20"/>
              </w:rPr>
              <w:t>Managed Services Revenue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15,987,226 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5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87 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15,432,868 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5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81 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554,358 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90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195"/>
          <w:jc w:val="left"/>
        </w:trPr>
        <w:tc>
          <w:tcPr>
            <w:tcW w:w="36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6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04"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40"/>
              <w:jc w:val="left"/>
            </w:pPr>
            <w:r>
              <w:rPr>
                <w:rFonts w:ascii="Times New Roman" w:eastAsia="Times New Roman" w:hAnsi="Times New Roman" w:cs="Times New Roman"/>
                <w:color w:val="000000"/>
                <w:sz w:val="20"/>
              </w:rPr>
              <w:t>Legacy Workflow Fees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5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156,119 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50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(156,119)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40"/>
              <w:jc w:val="left"/>
            </w:pPr>
            <w:r>
              <w:rPr>
                <w:rFonts w:ascii="Times New Roman" w:eastAsia="Times New Roman" w:hAnsi="Times New Roman" w:cs="Times New Roman"/>
                <w:color w:val="000000"/>
                <w:sz w:val="20"/>
              </w:rPr>
              <w:t>Marketplace Spend Fees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621,931 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5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1,270,560 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50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(648,629)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40"/>
              <w:jc w:val="left"/>
            </w:pPr>
            <w:r>
              <w:rPr>
                <w:rFonts w:ascii="Times New Roman" w:eastAsia="Times New Roman" w:hAnsi="Times New Roman" w:cs="Times New Roman"/>
                <w:color w:val="000000"/>
                <w:sz w:val="20"/>
              </w:rPr>
              <w:t>License Fees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1,507,336 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5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1,986,285 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50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(478,949)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300"/>
          <w:jc w:val="left"/>
        </w:trPr>
        <w:tc>
          <w:tcPr>
            <w:tcW w:w="3600"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40"/>
              <w:jc w:val="left"/>
            </w:pPr>
            <w:r>
              <w:rPr>
                <w:rFonts w:ascii="Times New Roman" w:eastAsia="Times New Roman" w:hAnsi="Times New Roman" w:cs="Times New Roman"/>
                <w:color w:val="000000"/>
                <w:sz w:val="20"/>
              </w:rPr>
              <w:t>Other Fees</w:t>
            </w: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213,062 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56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109,840 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50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103,222 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90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94 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300"/>
          <w:jc w:val="left"/>
        </w:trPr>
        <w:tc>
          <w:tcPr>
            <w:tcW w:w="3600" w:type="dxa"/>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b/>
                <w:color w:val="000000"/>
                <w:sz w:val="20"/>
              </w:rPr>
              <w:t>SaaS Services Revenue</w:t>
            </w: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2,342,329 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56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c>
          <w:tcPr>
            <w:tcW w:w="7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3,522,804 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500"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(1,180,475)</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905"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(34)</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r>
      <w:tr>
        <w:tblPrEx>
          <w:tblW w:w="10404" w:type="dxa"/>
          <w:jc w:val="left"/>
          <w:tblInd w:w="0" w:type="dxa"/>
          <w:tblCellMar>
            <w:left w:w="108" w:type="dxa"/>
            <w:right w:w="108" w:type="dxa"/>
          </w:tblCellMar>
        </w:tblPrEx>
        <w:trPr>
          <w:cantSplit/>
          <w:trHeight w:hRule="exact" w:val="195"/>
          <w:jc w:val="left"/>
        </w:trPr>
        <w:tc>
          <w:tcPr>
            <w:tcW w:w="36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6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04" w:type="dxa"/>
          <w:jc w:val="left"/>
          <w:tblInd w:w="0" w:type="dxa"/>
          <w:tblCellMar>
            <w:left w:w="108" w:type="dxa"/>
            <w:right w:w="108" w:type="dxa"/>
          </w:tblCellMar>
        </w:tblPrEx>
        <w:trPr>
          <w:cantSplit/>
          <w:trHeight w:hRule="exact" w:val="405"/>
          <w:jc w:val="left"/>
        </w:trPr>
        <w:tc>
          <w:tcPr>
            <w:tcW w:w="3600"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b/>
                <w:color w:val="000000"/>
                <w:sz w:val="20"/>
              </w:rPr>
              <w:t>Total Revenue</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18,329,555 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5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100 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18,955,672 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50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100 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(626,117)</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905"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(3)</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w:t>
            </w:r>
          </w:p>
        </w:tc>
      </w:tr>
    </w:tbl>
    <w:p>
      <w:pPr>
        <w:keepNext w:val="0"/>
        <w:keepLines w:val="0"/>
        <w:pageBreakBefore w:val="0"/>
        <w:widowControl/>
        <w:numPr>
          <w:ilvl w:val="0"/>
          <w:numId w:val="0"/>
        </w:numPr>
        <w:spacing w:before="10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i/>
          <w:sz w:val="20"/>
        </w:rPr>
        <w:t>Managed Services</w:t>
      </w:r>
      <w:r>
        <w:rPr>
          <w:rFonts w:ascii="Times New Roman" w:eastAsia="Times New Roman" w:hAnsi="Times New Roman" w:cs="Times New Roman"/>
          <w:sz w:val="20"/>
        </w:rPr>
        <w:t xml:space="preserve"> revenue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r>
        <w:rPr>
          <w:rFonts w:ascii="Times New Roman" w:eastAsia="Times New Roman" w:hAnsi="Times New Roman" w:cs="Times New Roman"/>
          <w:sz w:val="20"/>
        </w:rPr>
        <w:t>in</w:t>
      </w:r>
      <w:r>
        <w:rPr>
          <w:rFonts w:ascii="Times New Roman" w:eastAsia="Times New Roman" w:hAnsi="Times New Roman" w:cs="Times New Roman"/>
          <w:sz w:val="20"/>
        </w:rPr>
        <w:t xml:space="preserve">creased </w:t>
      </w:r>
      <w:r>
        <w:rPr>
          <w:rFonts w:ascii="Times New Roman" w:eastAsia="Times New Roman" w:hAnsi="Times New Roman" w:cs="Times New Roman"/>
          <w:sz w:val="20"/>
        </w:rPr>
        <w:t>4%</w:t>
      </w:r>
      <w:r>
        <w:rPr>
          <w:rFonts w:ascii="Times New Roman" w:eastAsia="Times New Roman" w:hAnsi="Times New Roman" w:cs="Times New Roman"/>
          <w:sz w:val="20"/>
        </w:rPr>
        <w:t xml:space="preserve"> from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primarily</w:t>
      </w:r>
      <w:r>
        <w:rPr>
          <w:rFonts w:ascii="Times New Roman" w:eastAsia="Times New Roman" w:hAnsi="Times New Roman" w:cs="Times New Roman"/>
          <w:sz w:val="20"/>
        </w:rPr>
        <w:t xml:space="preserve"> due to</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several </w:t>
      </w:r>
      <w:r>
        <w:rPr>
          <w:rFonts w:ascii="Times New Roman" w:eastAsia="Times New Roman" w:hAnsi="Times New Roman" w:cs="Times New Roman"/>
          <w:sz w:val="20"/>
        </w:rPr>
        <w:t xml:space="preserve">customers </w:t>
      </w:r>
      <w:r>
        <w:rPr>
          <w:rFonts w:ascii="Times New Roman" w:eastAsia="Times New Roman" w:hAnsi="Times New Roman" w:cs="Times New Roman"/>
          <w:sz w:val="20"/>
        </w:rPr>
        <w:t>co</w:t>
      </w:r>
      <w:r>
        <w:rPr>
          <w:rFonts w:ascii="Times New Roman" w:eastAsia="Times New Roman" w:hAnsi="Times New Roman" w:cs="Times New Roman"/>
          <w:sz w:val="20"/>
        </w:rPr>
        <w:t xml:space="preserve">mpleting larger </w:t>
      </w:r>
      <w:r>
        <w:rPr>
          <w:rFonts w:ascii="Times New Roman" w:eastAsia="Times New Roman" w:hAnsi="Times New Roman" w:cs="Times New Roman"/>
          <w:sz w:val="20"/>
        </w:rPr>
        <w:t>fourth quarter project</w:t>
      </w:r>
      <w:r>
        <w:rPr>
          <w:rFonts w:ascii="Times New Roman" w:eastAsia="Times New Roman" w:hAnsi="Times New Roman" w:cs="Times New Roman"/>
          <w:sz w:val="20"/>
        </w:rPr>
        <w:t xml:space="preserve">s </w:t>
      </w:r>
      <w:r>
        <w:rPr>
          <w:rFonts w:ascii="Times New Roman" w:eastAsia="Times New Roman" w:hAnsi="Times New Roman" w:cs="Times New Roman"/>
          <w:sz w:val="20"/>
        </w:rPr>
        <w:t>based on their marketing objectives</w:t>
      </w:r>
      <w:r>
        <w:rPr>
          <w:rFonts w:ascii="Times New Roman" w:eastAsia="Times New Roman" w:hAnsi="Times New Roman" w:cs="Times New Roman"/>
          <w:sz w:val="20"/>
        </w:rPr>
        <w:t xml:space="preserve"> </w:t>
      </w:r>
      <w:r>
        <w:rPr>
          <w:rFonts w:ascii="Times New Roman" w:eastAsia="Times New Roman" w:hAnsi="Times New Roman" w:cs="Times New Roman"/>
          <w:sz w:val="20"/>
        </w:rPr>
        <w:t>as compared to the prior year period</w:t>
      </w:r>
      <w:r>
        <w:rPr>
          <w:rFonts w:ascii="Times New Roman" w:eastAsia="Times New Roman" w:hAnsi="Times New Roman" w:cs="Times New Roman"/>
          <w:sz w:val="20"/>
        </w:rPr>
        <w:t>.</w:t>
      </w:r>
    </w:p>
    <w:p>
      <w:pPr>
        <w:keepNext w:val="0"/>
        <w:keepLines w:val="0"/>
        <w:pageBreakBefore w:val="0"/>
        <w:widowControl/>
        <w:numPr>
          <w:ilvl w:val="0"/>
          <w:numId w:val="0"/>
        </w:numPr>
        <w:spacing w:before="120" w:after="0" w:line="28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SaaS Services</w:t>
      </w:r>
      <w:r>
        <w:rPr>
          <w:rFonts w:ascii="Times New Roman" w:eastAsia="Times New Roman" w:hAnsi="Times New Roman" w:cs="Times New Roman"/>
          <w:sz w:val="20"/>
        </w:rPr>
        <w:t xml:space="preserve"> revenue is generated by the self-service use of our technology platforms by marketers to manage their own content workflow and influencer marketing campaigns. It consists of fees earned on the marketer’s spend within the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w:t>
      </w:r>
      <w:r>
        <w:rPr>
          <w:rFonts w:ascii="Times New Roman" w:eastAsia="Times New Roman" w:hAnsi="Times New Roman" w:cs="Times New Roman"/>
          <w:i/>
          <w:sz w:val="20"/>
        </w:rPr>
        <w:t>BrandGraph</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TapInfluence</w:t>
      </w:r>
      <w:r>
        <w:rPr>
          <w:rFonts w:ascii="Times New Roman" w:eastAsia="Times New Roman" w:hAnsi="Times New Roman" w:cs="Times New Roman"/>
          <w:i/>
          <w:sz w:val="20"/>
        </w:rPr>
        <w:t>,</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 xml:space="preserve">Ebyline </w:t>
      </w:r>
      <w:r>
        <w:rPr>
          <w:rFonts w:ascii="Times New Roman" w:eastAsia="Times New Roman" w:hAnsi="Times New Roman" w:cs="Times New Roman"/>
          <w:sz w:val="20"/>
        </w:rPr>
        <w:t>platforms, along with the license and support fees to access the platform services.</w:t>
      </w:r>
      <w:r>
        <w:rPr>
          <w:rFonts w:ascii="Times New Roman" w:eastAsia="Times New Roman" w:hAnsi="Times New Roman" w:cs="Times New Roman"/>
          <w:sz w:val="20"/>
        </w:rPr>
        <w:tab/>
      </w:r>
    </w:p>
    <w:p>
      <w:pPr>
        <w:keepNext w:val="0"/>
        <w:keepLines w:val="0"/>
        <w:pageBreakBefore w:val="0"/>
        <w:widowControl/>
        <w:numPr>
          <w:ilvl w:val="0"/>
          <w:numId w:val="14"/>
        </w:numPr>
        <w:spacing w:before="120" w:after="0" w:line="288" w:lineRule="auto"/>
        <w:ind w:left="108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Legacy Workflow Fees </w:t>
      </w:r>
      <w:r>
        <w:rPr>
          <w:rFonts w:ascii="Times New Roman" w:eastAsia="Times New Roman" w:hAnsi="Times New Roman" w:cs="Times New Roman"/>
          <w:sz w:val="20"/>
        </w:rPr>
        <w:t xml:space="preserve">are no longer generated after the migration of the last customers from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in December 2019. Any activity from former legacy workflow customers is now generated under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platform and reported as Marketplace Spend Fees. </w:t>
      </w:r>
    </w:p>
    <w:p>
      <w:pPr>
        <w:keepNext w:val="0"/>
        <w:keepLines w:val="0"/>
        <w:pageBreakBefore w:val="0"/>
        <w:widowControl/>
        <w:numPr>
          <w:ilvl w:val="0"/>
          <w:numId w:val="14"/>
        </w:numPr>
        <w:spacing w:before="120" w:after="0" w:line="288" w:lineRule="auto"/>
        <w:ind w:left="108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Marketplace Spend Fees </w:t>
      </w:r>
      <w:r>
        <w:rPr>
          <w:rFonts w:ascii="Times New Roman" w:eastAsia="Times New Roman" w:hAnsi="Times New Roman" w:cs="Times New Roman"/>
          <w:sz w:val="20"/>
        </w:rPr>
        <w:t xml:space="preserve">decreased by </w:t>
      </w:r>
      <w:r>
        <w:rPr>
          <w:rFonts w:ascii="Times New Roman" w:eastAsia="Times New Roman" w:hAnsi="Times New Roman" w:cs="Times New Roman"/>
          <w:sz w:val="20"/>
        </w:rPr>
        <w:t>$648,629</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when compared with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primarily as a result of lower spend levels from our marketers and lower fees assessed on those spends as a result of competitive pricing efforts and the incorporation of lower margin legacy workflow customers into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Revenue from Marketplace Spend Fees represents our net margins received on this business. After the migration of the last customers from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in February 2020, all revenue </w:t>
      </w:r>
      <w:r>
        <w:rPr>
          <w:rFonts w:ascii="Times New Roman" w:eastAsia="Times New Roman" w:hAnsi="Times New Roman" w:cs="Times New Roman"/>
          <w:sz w:val="20"/>
        </w:rPr>
        <w:t>wa</w:t>
      </w:r>
      <w:r>
        <w:rPr>
          <w:rFonts w:ascii="Times New Roman" w:eastAsia="Times New Roman" w:hAnsi="Times New Roman" w:cs="Times New Roman"/>
          <w:sz w:val="20"/>
        </w:rPr>
        <w:t xml:space="preserve">s solely generated from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platform</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until the launch of </w:t>
      </w:r>
      <w:r>
        <w:rPr>
          <w:rFonts w:ascii="Times New Roman" w:eastAsia="Times New Roman" w:hAnsi="Times New Roman" w:cs="Times New Roman"/>
          <w:i/>
          <w:sz w:val="20"/>
        </w:rPr>
        <w:t>Shake</w:t>
      </w:r>
      <w:r>
        <w:rPr>
          <w:rFonts w:ascii="Times New Roman" w:eastAsia="Times New Roman" w:hAnsi="Times New Roman" w:cs="Times New Roman"/>
          <w:sz w:val="20"/>
        </w:rPr>
        <w:t xml:space="preserve"> in November 2020</w:t>
      </w:r>
      <w:r>
        <w:rPr>
          <w:rFonts w:ascii="Times New Roman" w:eastAsia="Times New Roman" w:hAnsi="Times New Roman" w:cs="Times New Roman"/>
          <w:sz w:val="20"/>
        </w:rPr>
        <w:t xml:space="preserve">. </w:t>
      </w:r>
    </w:p>
    <w:p>
      <w:pPr>
        <w:keepNext w:val="0"/>
        <w:keepLines w:val="0"/>
        <w:pageBreakBefore w:val="0"/>
        <w:widowControl/>
        <w:numPr>
          <w:ilvl w:val="0"/>
          <w:numId w:val="14"/>
        </w:numPr>
        <w:spacing w:before="120" w:after="0" w:line="288" w:lineRule="auto"/>
        <w:ind w:left="108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License Fees </w:t>
      </w:r>
      <w:r>
        <w:rPr>
          <w:rFonts w:ascii="Times New Roman" w:eastAsia="Times New Roman" w:hAnsi="Times New Roman" w:cs="Times New Roman"/>
          <w:sz w:val="20"/>
        </w:rPr>
        <w:t xml:space="preserve">revenue decreased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to </w:t>
      </w:r>
      <w:r>
        <w:rPr>
          <w:rFonts w:ascii="Times New Roman" w:eastAsia="Times New Roman" w:hAnsi="Times New Roman" w:cs="Times New Roman"/>
          <w:sz w:val="20"/>
        </w:rPr>
        <w:t>$1,507,336</w:t>
      </w:r>
      <w:r>
        <w:rPr>
          <w:rFonts w:ascii="Times New Roman" w:eastAsia="Times New Roman" w:hAnsi="Times New Roman" w:cs="Times New Roman"/>
          <w:sz w:val="20"/>
        </w:rPr>
        <w:t xml:space="preserve"> compared to </w:t>
      </w:r>
      <w:r>
        <w:rPr>
          <w:rFonts w:ascii="Times New Roman" w:eastAsia="Times New Roman" w:hAnsi="Times New Roman" w:cs="Times New Roman"/>
          <w:sz w:val="20"/>
        </w:rPr>
        <w:t>$1,986,285</w:t>
      </w:r>
      <w:r>
        <w:rPr>
          <w:rFonts w:ascii="Times New Roman" w:eastAsia="Times New Roman" w:hAnsi="Times New Roman" w:cs="Times New Roman"/>
          <w:sz w:val="20"/>
        </w:rPr>
        <w:t xml:space="preserve"> in the same period of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 decrease was partly due to former TapInfluence customers who churned during the second half of 2019. Additionally, we implemented a competitive standardized pricing system for all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license fee customers that was at a lower price point than the former TapInfluence licensing contracts. </w:t>
      </w:r>
    </w:p>
    <w:p>
      <w:pPr>
        <w:keepNext w:val="0"/>
        <w:keepLines w:val="0"/>
        <w:pageBreakBefore w:val="0"/>
        <w:widowControl/>
        <w:numPr>
          <w:ilvl w:val="0"/>
          <w:numId w:val="14"/>
        </w:numPr>
        <w:spacing w:before="120" w:after="0" w:line="288" w:lineRule="auto"/>
        <w:ind w:left="108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Other Fees </w:t>
      </w:r>
      <w:r>
        <w:rPr>
          <w:rFonts w:ascii="Times New Roman" w:eastAsia="Times New Roman" w:hAnsi="Times New Roman" w:cs="Times New Roman"/>
          <w:sz w:val="20"/>
        </w:rPr>
        <w:t xml:space="preserve">revenue increased </w:t>
      </w:r>
      <w:r>
        <w:rPr>
          <w:rFonts w:ascii="Times New Roman" w:eastAsia="Times New Roman" w:hAnsi="Times New Roman" w:cs="Times New Roman"/>
          <w:sz w:val="20"/>
        </w:rPr>
        <w:t>94%</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due to increases in the number of subscriptions for certain new self-service offerings such as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Discovery</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Brand</w:t>
      </w:r>
      <w:r>
        <w:rPr>
          <w:rFonts w:ascii="Times New Roman" w:eastAsia="Times New Roman" w:hAnsi="Times New Roman" w:cs="Times New Roman"/>
          <w:i/>
          <w:sz w:val="20"/>
        </w:rPr>
        <w:t>G</w:t>
      </w:r>
      <w:r>
        <w:rPr>
          <w:rFonts w:ascii="Times New Roman" w:eastAsia="Times New Roman" w:hAnsi="Times New Roman" w:cs="Times New Roman"/>
          <w:i/>
          <w:sz w:val="20"/>
        </w:rPr>
        <w:t>raph</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i/>
          <w:sz w:val="20"/>
        </w:rPr>
      </w:pP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Cost of Revenue</w:t>
      </w:r>
    </w:p>
    <w:p>
      <w:pPr>
        <w:keepNext w:val="0"/>
        <w:keepLines/>
        <w:pageBreakBefore w:val="0"/>
        <w:widowControl w:val="0"/>
        <w:numPr>
          <w:ilvl w:val="0"/>
          <w:numId w:val="0"/>
        </w:numPr>
        <w:spacing w:before="120" w:after="0" w:line="28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Cost of revenue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$521,315</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6%</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primarily as a result of the decrease in Managed Services revenue. Cost of revenue as a percentage of revenue remained consistent at </w:t>
      </w:r>
      <w:r>
        <w:rPr>
          <w:rFonts w:ascii="Times New Roman" w:eastAsia="Times New Roman" w:hAnsi="Times New Roman" w:cs="Times New Roman"/>
          <w:sz w:val="20"/>
        </w:rPr>
        <w:t>45%</w:t>
      </w:r>
      <w:r>
        <w:rPr>
          <w:rFonts w:ascii="Times New Roman" w:eastAsia="Times New Roman" w:hAnsi="Times New Roman" w:cs="Times New Roman"/>
          <w:sz w:val="20"/>
        </w:rPr>
        <w:t xml:space="preserve">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and </w:t>
      </w:r>
      <w:r>
        <w:rPr>
          <w:rFonts w:ascii="Times New Roman" w:eastAsia="Times New Roman" w:hAnsi="Times New Roman" w:cs="Times New Roman"/>
          <w:sz w:val="20"/>
        </w:rPr>
        <w:t>44%</w:t>
      </w:r>
      <w:r>
        <w:rPr>
          <w:rFonts w:ascii="Times New Roman" w:eastAsia="Times New Roman" w:hAnsi="Times New Roman" w:cs="Times New Roman"/>
          <w:sz w:val="20"/>
        </w:rPr>
        <w:t xml:space="preserve"> in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Sales and Marketing</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12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Sales and marketing expense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$240,592</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4%</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r>
        <w:rPr>
          <w:rFonts w:ascii="Times New Roman" w:eastAsia="Times New Roman" w:hAnsi="Times New Roman" w:cs="Times New Roman"/>
          <w:sz w:val="20"/>
        </w:rPr>
        <w:t>Our</w:t>
      </w:r>
      <w:r>
        <w:rPr>
          <w:rFonts w:ascii="Times New Roman" w:eastAsia="Times New Roman" w:hAnsi="Times New Roman" w:cs="Times New Roman"/>
          <w:sz w:val="20"/>
        </w:rPr>
        <w:t xml:space="preserve"> </w:t>
      </w:r>
      <w:r>
        <w:rPr>
          <w:rFonts w:ascii="Times New Roman" w:eastAsia="Times New Roman" w:hAnsi="Times New Roman" w:cs="Times New Roman"/>
          <w:sz w:val="20"/>
        </w:rPr>
        <w:t>payroll and person</w:t>
      </w:r>
      <w:r>
        <w:rPr>
          <w:rFonts w:ascii="Times New Roman" w:eastAsia="Times New Roman" w:hAnsi="Times New Roman" w:cs="Times New Roman"/>
          <w:sz w:val="20"/>
        </w:rPr>
        <w:t>nel related expenses</w:t>
      </w:r>
      <w:r>
        <w:rPr>
          <w:rFonts w:ascii="Times New Roman" w:eastAsia="Times New Roman" w:hAnsi="Times New Roman" w:cs="Times New Roman"/>
          <w:sz w:val="20"/>
        </w:rPr>
        <w:t xml:space="preserve"> and stock compensation</w:t>
      </w:r>
      <w:r>
        <w:rPr>
          <w:rFonts w:ascii="Times New Roman" w:eastAsia="Times New Roman" w:hAnsi="Times New Roman" w:cs="Times New Roman"/>
          <w:sz w:val="20"/>
        </w:rPr>
        <w:t xml:space="preserve"> for sales and marketing personnel decreased</w:t>
      </w:r>
      <w:r>
        <w:rPr>
          <w:rFonts w:ascii="Times New Roman" w:eastAsia="Times New Roman" w:hAnsi="Times New Roman" w:cs="Times New Roman"/>
          <w:sz w:val="20"/>
        </w:rPr>
        <w:t xml:space="preserve"> $</w:t>
      </w:r>
      <w:r>
        <w:rPr>
          <w:rFonts w:ascii="Times New Roman" w:eastAsia="Times New Roman" w:hAnsi="Times New Roman" w:cs="Times New Roman"/>
          <w:sz w:val="20"/>
        </w:rPr>
        <w:t>52</w:t>
      </w:r>
      <w:r>
        <w:rPr>
          <w:rFonts w:ascii="Times New Roman" w:eastAsia="Times New Roman" w:hAnsi="Times New Roman" w:cs="Times New Roman"/>
          <w:sz w:val="20"/>
        </w:rPr>
        <w:t xml:space="preserve">,000 </w:t>
      </w:r>
      <w:r>
        <w:rPr>
          <w:rFonts w:ascii="Times New Roman" w:eastAsia="Times New Roman" w:hAnsi="Times New Roman" w:cs="Times New Roman"/>
          <w:sz w:val="20"/>
        </w:rPr>
        <w:t xml:space="preserve">as </w:t>
      </w:r>
      <w:r>
        <w:rPr>
          <w:rFonts w:ascii="Times New Roman" w:eastAsia="Times New Roman" w:hAnsi="Times New Roman" w:cs="Times New Roman"/>
          <w:sz w:val="20"/>
        </w:rPr>
        <w:t xml:space="preserve">a result of the </w:t>
      </w:r>
      <w:r>
        <w:rPr>
          <w:rFonts w:ascii="Times New Roman" w:eastAsia="Times New Roman" w:hAnsi="Times New Roman" w:cs="Times New Roman"/>
          <w:sz w:val="20"/>
        </w:rPr>
        <w:t>cost reduction</w:t>
      </w:r>
      <w:r>
        <w:rPr>
          <w:rFonts w:ascii="Times New Roman" w:eastAsia="Times New Roman" w:hAnsi="Times New Roman" w:cs="Times New Roman"/>
          <w:sz w:val="20"/>
        </w:rPr>
        <w:t xml:space="preserve">s and </w:t>
      </w:r>
      <w:r>
        <w:rPr>
          <w:rFonts w:ascii="Times New Roman" w:eastAsia="Times New Roman" w:hAnsi="Times New Roman" w:cs="Times New Roman"/>
          <w:sz w:val="20"/>
        </w:rPr>
        <w:t xml:space="preserve">operating </w:t>
      </w:r>
      <w:r>
        <w:rPr>
          <w:rFonts w:ascii="Times New Roman" w:eastAsia="Times New Roman" w:hAnsi="Times New Roman" w:cs="Times New Roman"/>
          <w:sz w:val="20"/>
        </w:rPr>
        <w:t xml:space="preserve">changes </w:t>
      </w:r>
      <w:r>
        <w:rPr>
          <w:rFonts w:ascii="Times New Roman" w:eastAsia="Times New Roman" w:hAnsi="Times New Roman" w:cs="Times New Roman"/>
          <w:sz w:val="20"/>
        </w:rPr>
        <w:t>implemented</w:t>
      </w:r>
      <w:r>
        <w:rPr>
          <w:rFonts w:ascii="Times New Roman" w:eastAsia="Times New Roman" w:hAnsi="Times New Roman" w:cs="Times New Roman"/>
          <w:sz w:val="20"/>
        </w:rPr>
        <w:t xml:space="preserve"> after the outbreak</w:t>
      </w:r>
      <w:r>
        <w:rPr>
          <w:rFonts w:ascii="Times New Roman" w:eastAsia="Times New Roman" w:hAnsi="Times New Roman" w:cs="Times New Roman"/>
          <w:sz w:val="20"/>
        </w:rPr>
        <w:t xml:space="preserve"> of COVID-19</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T</w:t>
      </w:r>
      <w:r>
        <w:rPr>
          <w:rFonts w:ascii="Times New Roman" w:eastAsia="Times New Roman" w:hAnsi="Times New Roman" w:cs="Times New Roman"/>
          <w:sz w:val="20"/>
        </w:rPr>
        <w:t xml:space="preserve">ravel related expenses </w:t>
      </w:r>
      <w:r>
        <w:rPr>
          <w:rFonts w:ascii="Times New Roman" w:eastAsia="Times New Roman" w:hAnsi="Times New Roman" w:cs="Times New Roman"/>
          <w:sz w:val="20"/>
        </w:rPr>
        <w:t>dec</w:t>
      </w:r>
      <w:r>
        <w:rPr>
          <w:rFonts w:ascii="Times New Roman" w:eastAsia="Times New Roman" w:hAnsi="Times New Roman" w:cs="Times New Roman"/>
          <w:sz w:val="20"/>
        </w:rPr>
        <w:t>reased by</w:t>
      </w:r>
      <w:r>
        <w:rPr>
          <w:rFonts w:ascii="Times New Roman" w:eastAsia="Times New Roman" w:hAnsi="Times New Roman" w:cs="Times New Roman"/>
          <w:sz w:val="20"/>
        </w:rPr>
        <w:t xml:space="preserve"> $1</w:t>
      </w:r>
      <w:r>
        <w:rPr>
          <w:rFonts w:ascii="Times New Roman" w:eastAsia="Times New Roman" w:hAnsi="Times New Roman" w:cs="Times New Roman"/>
          <w:sz w:val="20"/>
        </w:rPr>
        <w:t>7</w:t>
      </w:r>
      <w:r>
        <w:rPr>
          <w:rFonts w:ascii="Times New Roman" w:eastAsia="Times New Roman" w:hAnsi="Times New Roman" w:cs="Times New Roman"/>
          <w:sz w:val="20"/>
        </w:rPr>
        <w:t xml:space="preserve">6,000 due to the impact of COVID-19 restricting travel beginning in March 2020 and </w:t>
      </w:r>
      <w:r>
        <w:rPr>
          <w:rFonts w:ascii="Times New Roman" w:eastAsia="Times New Roman" w:hAnsi="Times New Roman" w:cs="Times New Roman"/>
          <w:sz w:val="20"/>
        </w:rPr>
        <w:t>subscription based software</w:t>
      </w:r>
      <w:r>
        <w:rPr>
          <w:rFonts w:ascii="Times New Roman" w:eastAsia="Times New Roman" w:hAnsi="Times New Roman" w:cs="Times New Roman"/>
          <w:sz w:val="20"/>
        </w:rPr>
        <w:t xml:space="preserve"> expenses dec</w:t>
      </w:r>
      <w:r>
        <w:rPr>
          <w:rFonts w:ascii="Times New Roman" w:eastAsia="Times New Roman" w:hAnsi="Times New Roman" w:cs="Times New Roman"/>
          <w:sz w:val="20"/>
        </w:rPr>
        <w:t xml:space="preserve">reased by </w:t>
      </w:r>
      <w:r>
        <w:rPr>
          <w:rFonts w:ascii="Times New Roman" w:eastAsia="Times New Roman" w:hAnsi="Times New Roman" w:cs="Times New Roman"/>
          <w:sz w:val="20"/>
        </w:rPr>
        <w:t>$</w:t>
      </w:r>
      <w:r>
        <w:rPr>
          <w:rFonts w:ascii="Times New Roman" w:eastAsia="Times New Roman" w:hAnsi="Times New Roman" w:cs="Times New Roman"/>
          <w:sz w:val="20"/>
        </w:rPr>
        <w:t>1</w:t>
      </w:r>
      <w:r>
        <w:rPr>
          <w:rFonts w:ascii="Times New Roman" w:eastAsia="Times New Roman" w:hAnsi="Times New Roman" w:cs="Times New Roman"/>
          <w:sz w:val="20"/>
        </w:rPr>
        <w:t>0</w:t>
      </w:r>
      <w:r>
        <w:rPr>
          <w:rFonts w:ascii="Times New Roman" w:eastAsia="Times New Roman" w:hAnsi="Times New Roman" w:cs="Times New Roman"/>
          <w:sz w:val="20"/>
        </w:rPr>
        <w:t>,000</w:t>
      </w:r>
      <w:r>
        <w:rPr>
          <w:rFonts w:ascii="Times New Roman" w:eastAsia="Times New Roman" w:hAnsi="Times New Roman" w:cs="Times New Roman"/>
          <w:sz w:val="20"/>
        </w:rPr>
        <w:t xml:space="preserve"> due to t</w:t>
      </w:r>
      <w:r>
        <w:rPr>
          <w:rFonts w:ascii="Times New Roman" w:eastAsia="Times New Roman" w:hAnsi="Times New Roman" w:cs="Times New Roman"/>
          <w:sz w:val="20"/>
        </w:rPr>
        <w:t xml:space="preserve">he non-renewal of </w:t>
      </w:r>
      <w:r>
        <w:rPr>
          <w:rFonts w:ascii="Times New Roman" w:eastAsia="Times New Roman" w:hAnsi="Times New Roman" w:cs="Times New Roman"/>
          <w:sz w:val="20"/>
        </w:rPr>
        <w:t>non-essential software a</w:t>
      </w:r>
      <w:r>
        <w:rPr>
          <w:rFonts w:ascii="Times New Roman" w:eastAsia="Times New Roman" w:hAnsi="Times New Roman" w:cs="Times New Roman"/>
          <w:sz w:val="20"/>
        </w:rPr>
        <w:t>s part of our operating cha</w:t>
      </w:r>
      <w:r>
        <w:rPr>
          <w:rFonts w:ascii="Times New Roman" w:eastAsia="Times New Roman" w:hAnsi="Times New Roman" w:cs="Times New Roman"/>
          <w:sz w:val="20"/>
        </w:rPr>
        <w:t>nges</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i/>
          <w:sz w:val="20"/>
        </w:rPr>
      </w:pPr>
    </w:p>
    <w:p>
      <w:pPr>
        <w:keepNext w:val="0"/>
        <w:keepLines w:val="0"/>
        <w:pageBreakBefore w:val="0"/>
        <w:widowControl w:val="0"/>
        <w:numPr>
          <w:ilvl w:val="0"/>
          <w:numId w:val="0"/>
        </w:numPr>
        <w:spacing w:before="0" w:after="0" w:line="28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General and Administrative</w:t>
      </w:r>
      <w:r>
        <w:rPr>
          <w:rFonts w:ascii="Times New Roman" w:eastAsia="Times New Roman" w:hAnsi="Times New Roman" w:cs="Times New Roman"/>
          <w:b/>
          <w:sz w:val="20"/>
        </w:rPr>
        <w:t xml:space="preserve"> </w:t>
      </w:r>
    </w:p>
    <w:p>
      <w:pPr>
        <w:keepNext w:val="0"/>
        <w:keepLines/>
        <w:pageBreakBefore w:val="0"/>
        <w:widowControl w:val="0"/>
        <w:numPr>
          <w:ilvl w:val="0"/>
          <w:numId w:val="0"/>
        </w:numPr>
        <w:spacing w:before="120" w:after="0" w:line="28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General and administrative expense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$581,609</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6%</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General and administrative expense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due to a </w:t>
      </w:r>
      <w:r>
        <w:rPr>
          <w:rFonts w:ascii="Times New Roman" w:eastAsia="Times New Roman" w:hAnsi="Times New Roman" w:cs="Times New Roman"/>
          <w:sz w:val="20"/>
        </w:rPr>
        <w:t>$</w:t>
      </w:r>
      <w:r>
        <w:rPr>
          <w:rFonts w:ascii="Times New Roman" w:eastAsia="Times New Roman" w:hAnsi="Times New Roman" w:cs="Times New Roman"/>
          <w:sz w:val="20"/>
        </w:rPr>
        <w:t>80</w:t>
      </w:r>
      <w:r>
        <w:rPr>
          <w:rFonts w:ascii="Times New Roman" w:eastAsia="Times New Roman" w:hAnsi="Times New Roman" w:cs="Times New Roman"/>
          <w:sz w:val="20"/>
        </w:rPr>
        <w:t>2</w:t>
      </w:r>
      <w:r>
        <w:rPr>
          <w:rFonts w:ascii="Times New Roman" w:eastAsia="Times New Roman" w:hAnsi="Times New Roman" w:cs="Times New Roman"/>
          <w:sz w:val="20"/>
        </w:rPr>
        <w:t>,000 reduction in  payroll and personnel related expenses as a result of a</w:t>
      </w:r>
      <w:r>
        <w:rPr>
          <w:rFonts w:ascii="Times New Roman" w:eastAsia="Times New Roman" w:hAnsi="Times New Roman" w:cs="Times New Roman"/>
          <w:sz w:val="20"/>
        </w:rPr>
        <w:t xml:space="preserve"> 1</w:t>
      </w:r>
      <w:r>
        <w:rPr>
          <w:rFonts w:ascii="Times New Roman" w:eastAsia="Times New Roman" w:hAnsi="Times New Roman" w:cs="Times New Roman"/>
          <w:sz w:val="20"/>
        </w:rPr>
        <w:t>3% decrease in the number of employees compared to the prior year period and the 20% average decrease in salaries that was implemented</w:t>
      </w:r>
      <w:r>
        <w:rPr>
          <w:rFonts w:ascii="Times New Roman" w:eastAsia="Times New Roman" w:hAnsi="Times New Roman" w:cs="Times New Roman"/>
          <w:sz w:val="20"/>
        </w:rPr>
        <w:t xml:space="preserve"> </w:t>
      </w:r>
      <w:r>
        <w:rPr>
          <w:rFonts w:ascii="Times New Roman" w:eastAsia="Times New Roman" w:hAnsi="Times New Roman" w:cs="Times New Roman"/>
          <w:sz w:val="20"/>
        </w:rPr>
        <w:t>for</w:t>
      </w:r>
      <w:r>
        <w:rPr>
          <w:rFonts w:ascii="Times New Roman" w:eastAsia="Times New Roman" w:hAnsi="Times New Roman" w:cs="Times New Roman"/>
          <w:sz w:val="20"/>
        </w:rPr>
        <w:t xml:space="preserve"> the second quarter of 2020 as a result of the COVID-19 cost reduction efforts.</w:t>
      </w:r>
      <w:r>
        <w:rPr>
          <w:rFonts w:ascii="Times New Roman" w:eastAsia="Times New Roman" w:hAnsi="Times New Roman" w:cs="Times New Roman"/>
          <w:sz w:val="20"/>
        </w:rPr>
        <w:t xml:space="preserve"> Rent expense also decreased by $</w:t>
      </w:r>
      <w:r>
        <w:rPr>
          <w:rFonts w:ascii="Times New Roman" w:eastAsia="Times New Roman" w:hAnsi="Times New Roman" w:cs="Times New Roman"/>
          <w:sz w:val="20"/>
        </w:rPr>
        <w:t>370</w:t>
      </w:r>
      <w:r>
        <w:rPr>
          <w:rFonts w:ascii="Times New Roman" w:eastAsia="Times New Roman" w:hAnsi="Times New Roman" w:cs="Times New Roman"/>
          <w:sz w:val="20"/>
        </w:rPr>
        <w:t>,000 due to the non-renewal of expiring office facility leases and travel costs decreased by $</w:t>
      </w:r>
      <w:r>
        <w:rPr>
          <w:rFonts w:ascii="Times New Roman" w:eastAsia="Times New Roman" w:hAnsi="Times New Roman" w:cs="Times New Roman"/>
          <w:sz w:val="20"/>
        </w:rPr>
        <w:t>142</w:t>
      </w:r>
      <w:r>
        <w:rPr>
          <w:rFonts w:ascii="Times New Roman" w:eastAsia="Times New Roman" w:hAnsi="Times New Roman" w:cs="Times New Roman"/>
          <w:sz w:val="20"/>
        </w:rPr>
        <w:t>,000 as our employees continue to work from home.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These decreases were offset by </w:t>
      </w:r>
      <w:r>
        <w:rPr>
          <w:rFonts w:ascii="Times New Roman" w:eastAsia="Times New Roman" w:hAnsi="Times New Roman" w:cs="Times New Roman"/>
          <w:sz w:val="20"/>
        </w:rPr>
        <w:t xml:space="preserve">an </w:t>
      </w:r>
      <w:r>
        <w:rPr>
          <w:rFonts w:ascii="Times New Roman" w:eastAsia="Times New Roman" w:hAnsi="Times New Roman" w:cs="Times New Roman"/>
          <w:sz w:val="20"/>
        </w:rPr>
        <w:t xml:space="preserve">increase of $133,000 in contractor expenses as we began to </w:t>
      </w:r>
      <w:r>
        <w:rPr>
          <w:rFonts w:ascii="Times New Roman" w:eastAsia="Times New Roman" w:hAnsi="Times New Roman" w:cs="Times New Roman"/>
          <w:sz w:val="20"/>
        </w:rPr>
        <w:t>increa</w:t>
      </w:r>
      <w:r>
        <w:rPr>
          <w:rFonts w:ascii="Times New Roman" w:eastAsia="Times New Roman" w:hAnsi="Times New Roman" w:cs="Times New Roman"/>
          <w:sz w:val="20"/>
        </w:rPr>
        <w:t>se th</w:t>
      </w:r>
      <w:r>
        <w:rPr>
          <w:rFonts w:ascii="Times New Roman" w:eastAsia="Times New Roman" w:hAnsi="Times New Roman" w:cs="Times New Roman"/>
          <w:sz w:val="20"/>
        </w:rPr>
        <w:t xml:space="preserve">e number of engineers working on our </w:t>
      </w:r>
      <w:r>
        <w:rPr>
          <w:rFonts w:ascii="Times New Roman" w:eastAsia="Times New Roman" w:hAnsi="Times New Roman" w:cs="Times New Roman"/>
          <w:sz w:val="20"/>
        </w:rPr>
        <w:t>technology offerings.  We al</w:t>
      </w:r>
      <w:r>
        <w:rPr>
          <w:rFonts w:ascii="Times New Roman" w:eastAsia="Times New Roman" w:hAnsi="Times New Roman" w:cs="Times New Roman"/>
          <w:sz w:val="20"/>
        </w:rPr>
        <w:t>s</w:t>
      </w:r>
      <w:r>
        <w:rPr>
          <w:rFonts w:ascii="Times New Roman" w:eastAsia="Times New Roman" w:hAnsi="Times New Roman" w:cs="Times New Roman"/>
          <w:sz w:val="20"/>
        </w:rPr>
        <w:t xml:space="preserve">o recorded </w:t>
      </w:r>
      <w:r>
        <w:rPr>
          <w:rFonts w:ascii="Times New Roman" w:eastAsia="Times New Roman" w:hAnsi="Times New Roman" w:cs="Times New Roman"/>
          <w:sz w:val="20"/>
        </w:rPr>
        <w:t xml:space="preserve">a gain of </w:t>
      </w:r>
      <w:r>
        <w:rPr>
          <w:rFonts w:ascii="Times New Roman" w:eastAsia="Times New Roman" w:hAnsi="Times New Roman" w:cs="Times New Roman"/>
          <w:sz w:val="20"/>
        </w:rPr>
        <w:t>$602,410</w:t>
      </w:r>
      <w:r>
        <w:rPr>
          <w:rFonts w:ascii="Times New Roman" w:eastAsia="Times New Roman" w:hAnsi="Times New Roman" w:cs="Times New Roman"/>
          <w:sz w:val="20"/>
        </w:rPr>
        <w:t xml:space="preserve"> related to the settlement of our acquisition cost liabilities in 2019 that did not recur in 2020. The gain resulted due to the actual closing market price of our common stock on the date of settlement being lower than the 30-day volume weighted average price used to calculate the number of shares used to pay for the liability</w:t>
      </w:r>
      <w:r>
        <w:rPr>
          <w:rFonts w:ascii="Times New Roman" w:eastAsia="Times New Roman" w:hAnsi="Times New Roman" w:cs="Times New Roman"/>
          <w:sz w:val="20"/>
        </w:rPr>
        <w:t xml:space="preserve"> pursuant to the terms of </w:t>
      </w:r>
      <w:r>
        <w:rPr>
          <w:rFonts w:ascii="Times New Roman" w:eastAsia="Times New Roman" w:hAnsi="Times New Roman" w:cs="Times New Roman"/>
          <w:sz w:val="20"/>
        </w:rPr>
        <w:t>the purchase agreements.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0" w:line="28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Impairment of </w:t>
      </w:r>
      <w:r>
        <w:rPr>
          <w:rFonts w:ascii="Times New Roman" w:eastAsia="Times New Roman" w:hAnsi="Times New Roman" w:cs="Times New Roman"/>
          <w:b/>
          <w:i/>
          <w:sz w:val="20"/>
        </w:rPr>
        <w:t xml:space="preserve">Goodwill and </w:t>
      </w:r>
      <w:r>
        <w:rPr>
          <w:rFonts w:ascii="Times New Roman" w:eastAsia="Times New Roman" w:hAnsi="Times New Roman" w:cs="Times New Roman"/>
          <w:b/>
          <w:i/>
          <w:sz w:val="20"/>
        </w:rPr>
        <w:t>Intangible Assets</w:t>
      </w:r>
      <w:r>
        <w:rPr>
          <w:rFonts w:ascii="Times New Roman" w:eastAsia="Times New Roman" w:hAnsi="Times New Roman" w:cs="Times New Roman"/>
          <w:b/>
          <w:i/>
          <w:sz w:val="20"/>
        </w:rPr>
        <w:t xml:space="preserve"> </w:t>
      </w:r>
    </w:p>
    <w:p>
      <w:pPr>
        <w:keepNext/>
        <w:keepLines w:val="0"/>
        <w:pageBreakBefore w:val="0"/>
        <w:widowControl/>
        <w:numPr>
          <w:ilvl w:val="0"/>
          <w:numId w:val="0"/>
        </w:numPr>
        <w:spacing w:before="12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In March 2020, we identified triggering events due to the reduction in our projected revenue due to adverse economic conditions caused by the COVID-19 pandemic, the continuation of a market capitalization below our carrying value, and uncertainty for recovery given the volatility of the capital markets surrounding COVID-19. We performed an interim assessment of goodwill</w:t>
      </w:r>
      <w:r>
        <w:rPr>
          <w:rFonts w:ascii="Times New Roman" w:eastAsia="Times New Roman" w:hAnsi="Times New Roman" w:cs="Times New Roman"/>
          <w:sz w:val="20"/>
        </w:rPr>
        <w:t>,</w:t>
      </w:r>
      <w:r>
        <w:rPr>
          <w:rFonts w:ascii="Times New Roman" w:eastAsia="Times New Roman" w:hAnsi="Times New Roman" w:cs="Times New Roman"/>
          <w:sz w:val="20"/>
        </w:rPr>
        <w:t xml:space="preserve"> using the </w:t>
      </w:r>
      <w:r>
        <w:rPr>
          <w:rFonts w:ascii="Times New Roman" w:eastAsia="Times New Roman" w:hAnsi="Times New Roman" w:cs="Times New Roman"/>
          <w:sz w:val="20"/>
        </w:rPr>
        <w:t xml:space="preserve">discounted cash flow method </w:t>
      </w:r>
      <w:r>
        <w:rPr>
          <w:rFonts w:ascii="Times New Roman" w:eastAsia="Times New Roman" w:hAnsi="Times New Roman" w:cs="Times New Roman"/>
          <w:sz w:val="20"/>
        </w:rPr>
        <w:t xml:space="preserve">under the </w:t>
      </w:r>
      <w:r>
        <w:rPr>
          <w:rFonts w:ascii="Times New Roman" w:eastAsia="Times New Roman" w:hAnsi="Times New Roman" w:cs="Times New Roman"/>
          <w:sz w:val="20"/>
        </w:rPr>
        <w:t>income approach</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sz w:val="20"/>
        </w:rPr>
        <w:t xml:space="preserve">the guideline transaction method </w:t>
      </w:r>
      <w:r>
        <w:rPr>
          <w:rFonts w:ascii="Times New Roman" w:eastAsia="Times New Roman" w:hAnsi="Times New Roman" w:cs="Times New Roman"/>
          <w:sz w:val="20"/>
        </w:rPr>
        <w:t xml:space="preserve">under </w:t>
      </w:r>
      <w:r>
        <w:rPr>
          <w:rFonts w:ascii="Times New Roman" w:eastAsia="Times New Roman" w:hAnsi="Times New Roman" w:cs="Times New Roman"/>
          <w:sz w:val="20"/>
        </w:rPr>
        <w:t>the market approach</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and determined that the carrying value of our Company</w:t>
      </w:r>
      <w:r>
        <w:rPr>
          <w:rFonts w:ascii="Times New Roman" w:eastAsia="Times New Roman" w:hAnsi="Times New Roman" w:cs="Times New Roman"/>
          <w:sz w:val="20"/>
        </w:rPr>
        <w:t>’</w:t>
      </w:r>
      <w:r>
        <w:rPr>
          <w:rFonts w:ascii="Times New Roman" w:eastAsia="Times New Roman" w:hAnsi="Times New Roman" w:cs="Times New Roman"/>
          <w:sz w:val="20"/>
        </w:rPr>
        <w:t>s reporting unit</w:t>
      </w:r>
      <w:r>
        <w:rPr>
          <w:rFonts w:ascii="Times New Roman" w:eastAsia="Times New Roman" w:hAnsi="Times New Roman" w:cs="Times New Roman"/>
          <w:sz w:val="20"/>
        </w:rPr>
        <w:t xml:space="preserve"> as of March 31, 2020 exceeded the fair value. As a result of the valuation, we recorded a </w:t>
      </w:r>
      <w:r>
        <w:rPr>
          <w:rFonts w:ascii="Times New Roman" w:eastAsia="Times New Roman" w:hAnsi="Times New Roman" w:cs="Times New Roman"/>
          <w:sz w:val="20"/>
        </w:rPr>
        <w:t>$4.3 million</w:t>
      </w:r>
      <w:r>
        <w:rPr>
          <w:rFonts w:ascii="Times New Roman" w:eastAsia="Times New Roman" w:hAnsi="Times New Roman" w:cs="Times New Roman"/>
          <w:sz w:val="20"/>
        </w:rPr>
        <w:t xml:space="preserve"> impairment of goodwill resulting in an expense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p>
    <w:p>
      <w:pPr>
        <w:keepNext/>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2019</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we</w:t>
      </w:r>
      <w:r>
        <w:rPr>
          <w:rFonts w:ascii="Times New Roman" w:eastAsia="Times New Roman" w:hAnsi="Times New Roman" w:cs="Times New Roman"/>
          <w:sz w:val="20"/>
        </w:rPr>
        <w:t xml:space="preserve"> recorded impairment charges of </w:t>
      </w:r>
      <w:r>
        <w:rPr>
          <w:rFonts w:ascii="Times New Roman" w:eastAsia="Times New Roman" w:hAnsi="Times New Roman" w:cs="Times New Roman"/>
          <w:sz w:val="20"/>
        </w:rPr>
        <w:t>$418,099</w:t>
      </w:r>
      <w:r>
        <w:rPr>
          <w:rFonts w:ascii="Times New Roman" w:eastAsia="Times New Roman" w:hAnsi="Times New Roman" w:cs="Times New Roman"/>
          <w:sz w:val="20"/>
        </w:rPr>
        <w:t xml:space="preserve"> associated with </w:t>
      </w:r>
      <w:r>
        <w:rPr>
          <w:rFonts w:ascii="Times New Roman" w:eastAsia="Times New Roman" w:hAnsi="Times New Roman" w:cs="Times New Roman"/>
          <w:sz w:val="20"/>
        </w:rPr>
        <w:t>our</w:t>
      </w:r>
      <w:r>
        <w:rPr>
          <w:rFonts w:ascii="Times New Roman" w:eastAsia="Times New Roman" w:hAnsi="Times New Roman" w:cs="Times New Roman"/>
          <w:sz w:val="20"/>
        </w:rPr>
        <w:t xml:space="preserve"> reduction in use of certain developed technology upon implementation of </w:t>
      </w:r>
      <w:r>
        <w:rPr>
          <w:rFonts w:ascii="Times New Roman" w:eastAsia="Times New Roman" w:hAnsi="Times New Roman" w:cs="Times New Roman"/>
          <w:i/>
          <w:sz w:val="20"/>
        </w:rPr>
        <w:t>IZEAx 3.0</w:t>
      </w:r>
      <w:r>
        <w:rPr>
          <w:rFonts w:ascii="Times New Roman" w:eastAsia="Times New Roman" w:hAnsi="Times New Roman" w:cs="Times New Roman"/>
          <w:sz w:val="20"/>
        </w:rPr>
        <w:t xml:space="preserve"> and the migration of TapInfluence customers and creators into the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platform.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b/>
          <w:i/>
          <w:sz w:val="20"/>
        </w:rPr>
        <w:t xml:space="preserve">Depreciation and Amortization </w:t>
      </w:r>
    </w:p>
    <w:p>
      <w:pPr>
        <w:keepNext w:val="0"/>
        <w:keepLines w:val="0"/>
        <w:pageBreakBefore w:val="0"/>
        <w:widowControl w:val="0"/>
        <w:numPr>
          <w:ilvl w:val="0"/>
          <w:numId w:val="0"/>
        </w:numPr>
        <w:spacing w:before="12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Depreciation and amortization expense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$98,503</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6%</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Depreciation and amortization expense on property and equipment was </w:t>
      </w:r>
      <w:r>
        <w:rPr>
          <w:rFonts w:ascii="Times New Roman" w:eastAsia="Times New Roman" w:hAnsi="Times New Roman" w:cs="Times New Roman"/>
          <w:sz w:val="20"/>
        </w:rPr>
        <w:t>$135,077</w:t>
      </w:r>
      <w:r>
        <w:rPr>
          <w:rFonts w:ascii="Times New Roman" w:eastAsia="Times New Roman" w:hAnsi="Times New Roman" w:cs="Times New Roman"/>
          <w:sz w:val="20"/>
        </w:rPr>
        <w:t xml:space="preserve"> and </w:t>
      </w:r>
      <w:r>
        <w:rPr>
          <w:rFonts w:ascii="Times New Roman" w:eastAsia="Times New Roman" w:hAnsi="Times New Roman" w:cs="Times New Roman"/>
          <w:sz w:val="20"/>
        </w:rPr>
        <w:t>$131,121</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Depreciation expense has increased slightly due to the purchase of new equipment in the fourth quarter of 2019 and first quarter of 2020.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Amortization expense was </w:t>
      </w:r>
      <w:r>
        <w:rPr>
          <w:rFonts w:ascii="Times New Roman" w:eastAsia="Times New Roman" w:hAnsi="Times New Roman" w:cs="Times New Roman"/>
          <w:sz w:val="20"/>
        </w:rPr>
        <w:t>$1,517,049</w:t>
      </w:r>
      <w:r>
        <w:rPr>
          <w:rFonts w:ascii="Times New Roman" w:eastAsia="Times New Roman" w:hAnsi="Times New Roman" w:cs="Times New Roman"/>
          <w:sz w:val="20"/>
        </w:rPr>
        <w:t xml:space="preserve"> and </w:t>
      </w:r>
      <w:r>
        <w:rPr>
          <w:rFonts w:ascii="Times New Roman" w:eastAsia="Times New Roman" w:hAnsi="Times New Roman" w:cs="Times New Roman"/>
          <w:sz w:val="20"/>
        </w:rPr>
        <w:t>$1,619,508</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Amortization expense related to intangible assets acquired in the Ebyline, ZenContent, and TapInfluence acquisitions was </w:t>
      </w:r>
      <w:r>
        <w:rPr>
          <w:rFonts w:ascii="Times New Roman" w:eastAsia="Times New Roman" w:hAnsi="Times New Roman" w:cs="Times New Roman"/>
          <w:sz w:val="20"/>
        </w:rPr>
        <w:t>$1,105,960</w:t>
      </w:r>
      <w:r>
        <w:rPr>
          <w:rFonts w:ascii="Times New Roman" w:eastAsia="Times New Roman" w:hAnsi="Times New Roman" w:cs="Times New Roman"/>
          <w:sz w:val="20"/>
        </w:rPr>
        <w:t xml:space="preserve"> and </w:t>
      </w:r>
      <w:r>
        <w:rPr>
          <w:rFonts w:ascii="Times New Roman" w:eastAsia="Times New Roman" w:hAnsi="Times New Roman" w:cs="Times New Roman"/>
          <w:sz w:val="20"/>
        </w:rPr>
        <w:t>$1,228,433</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while amortization expense related to internal use software development costs was </w:t>
      </w:r>
      <w:r>
        <w:rPr>
          <w:rFonts w:ascii="Times New Roman" w:eastAsia="Times New Roman" w:hAnsi="Times New Roman" w:cs="Times New Roman"/>
          <w:sz w:val="20"/>
        </w:rPr>
        <w:t>$411,089</w:t>
      </w:r>
      <w:r>
        <w:rPr>
          <w:rFonts w:ascii="Times New Roman" w:eastAsia="Times New Roman" w:hAnsi="Times New Roman" w:cs="Times New Roman"/>
          <w:sz w:val="20"/>
        </w:rPr>
        <w:t xml:space="preserve"> and </w:t>
      </w:r>
      <w:r>
        <w:rPr>
          <w:rFonts w:ascii="Times New Roman" w:eastAsia="Times New Roman" w:hAnsi="Times New Roman" w:cs="Times New Roman"/>
          <w:sz w:val="20"/>
        </w:rPr>
        <w:t>$391,075</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 Amortization on our intangible acquisition assets decreased in 2020 as several of these assets were fully amortized during 2020. Amortization on our internal use software increased due to the release of</w:t>
      </w:r>
      <w:r>
        <w:rPr>
          <w:rFonts w:ascii="Times New Roman" w:eastAsia="Times New Roman" w:hAnsi="Times New Roman" w:cs="Times New Roman"/>
          <w:i/>
          <w:sz w:val="20"/>
        </w:rPr>
        <w:t xml:space="preserve"> IZEAx 3.0</w:t>
      </w:r>
      <w:r>
        <w:rPr>
          <w:rFonts w:ascii="Times New Roman" w:eastAsia="Times New Roman" w:hAnsi="Times New Roman" w:cs="Times New Roman"/>
          <w:sz w:val="20"/>
        </w:rPr>
        <w:t xml:space="preserve"> in April 2019.</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Other Income (Expense)</w:t>
      </w:r>
    </w:p>
    <w:p>
      <w:pPr>
        <w:keepNext w:val="0"/>
        <w:keepLines w:val="0"/>
        <w:pageBreakBefore w:val="0"/>
        <w:widowControl/>
        <w:numPr>
          <w:ilvl w:val="0"/>
          <w:numId w:val="0"/>
        </w:numPr>
        <w:spacing w:before="120" w:after="0" w:line="28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Interest expense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$170,642</w:t>
      </w:r>
      <w:r>
        <w:rPr>
          <w:rFonts w:ascii="Times New Roman" w:eastAsia="Times New Roman" w:hAnsi="Times New Roman" w:cs="Times New Roman"/>
          <w:sz w:val="20"/>
        </w:rPr>
        <w:t xml:space="preserve"> to </w:t>
      </w:r>
      <w:r>
        <w:rPr>
          <w:rFonts w:ascii="Times New Roman" w:eastAsia="Times New Roman" w:hAnsi="Times New Roman" w:cs="Times New Roman"/>
          <w:sz w:val="20"/>
        </w:rPr>
        <w:t>$63,012</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due primarily to the elimination of amounts owed on our acquisition costs payable and amortization thereon after July 2019 and partly to the reduction in our average borrowings on our secured credit facility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The </w:t>
      </w:r>
      <w:r>
        <w:rPr>
          <w:rFonts w:ascii="Times New Roman" w:eastAsia="Times New Roman" w:hAnsi="Times New Roman" w:cs="Times New Roman"/>
          <w:sz w:val="20"/>
        </w:rPr>
        <w:t>$64,530</w:t>
      </w:r>
      <w:r>
        <w:rPr>
          <w:rFonts w:ascii="Times New Roman" w:eastAsia="Times New Roman" w:hAnsi="Times New Roman" w:cs="Times New Roman"/>
          <w:sz w:val="20"/>
        </w:rPr>
        <w:t xml:space="preserve"> decrease in other income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when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resulted primarily from reduced interest income received on cash balances as short term interest rates declined to near zero in 2020 after the outbreak of COVID-19 and</w:t>
      </w:r>
      <w:r>
        <w:rPr>
          <w:rFonts w:ascii="Times New Roman" w:eastAsia="Times New Roman" w:hAnsi="Times New Roman" w:cs="Times New Roman"/>
          <w:color w:val="1A1A1A"/>
          <w:sz w:val="20"/>
          <w:shd w:val="clear" w:color="auto" w:fill="FFFFFF"/>
        </w:rPr>
        <w:t xml:space="preserve"> currency exchange losses on </w:t>
      </w:r>
      <w:r>
        <w:rPr>
          <w:rFonts w:ascii="Times New Roman" w:eastAsia="Times New Roman" w:hAnsi="Times New Roman" w:cs="Times New Roman"/>
          <w:sz w:val="20"/>
        </w:rPr>
        <w:t xml:space="preserve">our Canadian transactions </w:t>
      </w:r>
      <w:r>
        <w:rPr>
          <w:rFonts w:ascii="Times New Roman" w:eastAsia="Times New Roman" w:hAnsi="Times New Roman" w:cs="Times New Roman"/>
          <w:color w:val="1A1A1A"/>
          <w:sz w:val="20"/>
          <w:shd w:val="clear" w:color="auto" w:fill="FFFFFF"/>
        </w:rPr>
        <w:t>in</w:t>
      </w:r>
      <w:r>
        <w:rPr>
          <w:rFonts w:ascii="Times New Roman" w:eastAsia="Times New Roman" w:hAnsi="Times New Roman" w:cs="Times New Roman"/>
          <w:sz w:val="20"/>
        </w:rPr>
        <w:t xml:space="preserve"> 2020</w:t>
      </w:r>
      <w:r>
        <w:rPr>
          <w:rFonts w:ascii="Times New Roman" w:eastAsia="Times New Roman" w:hAnsi="Times New Roman" w:cs="Times New Roman"/>
          <w:color w:val="1A1A1A"/>
          <w:sz w:val="20"/>
          <w:shd w:val="clear" w:color="auto" w:fill="FFFFFF"/>
        </w:rPr>
        <w: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Net Loss</w:t>
      </w:r>
    </w:p>
    <w:p>
      <w:pPr>
        <w:keepNext w:val="0"/>
        <w:keepLines w:val="0"/>
        <w:pageBreakBefore w:val="0"/>
        <w:widowControl/>
        <w:numPr>
          <w:ilvl w:val="0"/>
          <w:numId w:val="0"/>
        </w:numPr>
        <w:spacing w:before="12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Net loss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$10,250,007</w:t>
      </w:r>
      <w:r>
        <w:rPr>
          <w:rFonts w:ascii="Times New Roman" w:eastAsia="Times New Roman" w:hAnsi="Times New Roman" w:cs="Times New Roman"/>
          <w:sz w:val="20"/>
        </w:rPr>
        <w:t xml:space="preserve">, a </w:t>
      </w:r>
      <w:r>
        <w:rPr>
          <w:rFonts w:ascii="Times New Roman" w:eastAsia="Times New Roman" w:hAnsi="Times New Roman" w:cs="Times New Roman"/>
          <w:sz w:val="20"/>
        </w:rPr>
        <w:t>$2,959,887</w:t>
      </w:r>
      <w:r>
        <w:rPr>
          <w:rFonts w:ascii="Times New Roman" w:eastAsia="Times New Roman" w:hAnsi="Times New Roman" w:cs="Times New Roman"/>
          <w:sz w:val="20"/>
        </w:rPr>
        <w:t xml:space="preserve"> increase in the net loss of </w:t>
      </w:r>
      <w:r>
        <w:rPr>
          <w:rFonts w:ascii="Times New Roman" w:eastAsia="Times New Roman" w:hAnsi="Times New Roman" w:cs="Times New Roman"/>
          <w:sz w:val="20"/>
        </w:rPr>
        <w:t>$7,290,120</w:t>
      </w:r>
      <w:r>
        <w:rPr>
          <w:rFonts w:ascii="Times New Roman" w:eastAsia="Times New Roman" w:hAnsi="Times New Roman" w:cs="Times New Roman"/>
          <w:sz w:val="20"/>
        </w:rPr>
        <w:t xml:space="preserve"> for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 increase in net loss was primarily the result of the </w:t>
      </w:r>
      <w:r>
        <w:rPr>
          <w:rFonts w:ascii="Times New Roman" w:eastAsia="Times New Roman" w:hAnsi="Times New Roman" w:cs="Times New Roman"/>
          <w:sz w:val="20"/>
        </w:rPr>
        <w:t>impairment</w:t>
      </w:r>
      <w:r>
        <w:rPr>
          <w:rFonts w:ascii="Times New Roman" w:eastAsia="Times New Roman" w:hAnsi="Times New Roman" w:cs="Times New Roman"/>
          <w:sz w:val="20"/>
        </w:rPr>
        <w:t xml:space="preserve"> on intangible asse</w:t>
      </w:r>
      <w:r>
        <w:rPr>
          <w:rFonts w:ascii="Times New Roman" w:eastAsia="Times New Roman" w:hAnsi="Times New Roman" w:cs="Times New Roman"/>
          <w:sz w:val="20"/>
        </w:rPr>
        <w:t>ts</w:t>
      </w:r>
      <w:r>
        <w:rPr>
          <w:rFonts w:ascii="Times New Roman" w:eastAsia="Times New Roman" w:hAnsi="Times New Roman" w:cs="Times New Roman"/>
          <w:sz w:val="20"/>
        </w:rPr>
        <w:t xml:space="preserve"> discussed above</w:t>
      </w:r>
      <w:r>
        <w:rPr>
          <w:rFonts w:ascii="Times New Roman" w:eastAsia="Times New Roman" w:hAnsi="Times New Roman" w:cs="Times New Roman"/>
          <w:sz w:val="20"/>
        </w:rPr>
        <w:t xml:space="preserve"> offset by</w:t>
      </w:r>
      <w:r>
        <w:rPr>
          <w:rFonts w:ascii="Times New Roman" w:eastAsia="Times New Roman" w:hAnsi="Times New Roman" w:cs="Times New Roman"/>
          <w:sz w:val="20"/>
        </w:rPr>
        <w:t xml:space="preserve"> reductions</w:t>
      </w:r>
      <w:r>
        <w:rPr>
          <w:rFonts w:ascii="Times New Roman" w:eastAsia="Times New Roman" w:hAnsi="Times New Roman" w:cs="Times New Roman"/>
          <w:sz w:val="20"/>
        </w:rPr>
        <w:t xml:space="preserve"> in</w:t>
      </w:r>
      <w:r>
        <w:rPr>
          <w:rFonts w:ascii="Times New Roman" w:eastAsia="Times New Roman" w:hAnsi="Times New Roman" w:cs="Times New Roman"/>
          <w:sz w:val="20"/>
        </w:rPr>
        <w:t xml:space="preserve"> operating exp</w:t>
      </w:r>
      <w:r>
        <w:rPr>
          <w:rFonts w:ascii="Times New Roman" w:eastAsia="Times New Roman" w:hAnsi="Times New Roman" w:cs="Times New Roman"/>
          <w:sz w:val="20"/>
        </w:rPr>
        <w:t>enses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2"/>
        <w:rPr>
          <w:rFonts w:ascii="Times New Roman" w:eastAsia="Times New Roman" w:hAnsi="Times New Roman" w:cs="Times New Roman"/>
          <w:b/>
          <w:sz w:val="20"/>
        </w:rPr>
      </w:pPr>
      <w:bookmarkStart w:id="17" w:name="Section18"/>
      <w:bookmarkEnd w:id="17"/>
      <w:r>
        <w:rPr>
          <w:rFonts w:ascii="Times New Roman" w:eastAsia="Times New Roman" w:hAnsi="Times New Roman" w:cs="Times New Roman"/>
          <w:b/>
          <w:sz w:val="20"/>
        </w:rPr>
        <w:t>Key Metric</w:t>
      </w:r>
    </w:p>
    <w:p>
      <w:pPr>
        <w:keepNext w:val="0"/>
        <w:keepLines w:val="0"/>
        <w:pageBreakBefore w:val="0"/>
        <w:widowControl/>
        <w:numPr>
          <w:ilvl w:val="0"/>
          <w:numId w:val="0"/>
        </w:numPr>
        <w:spacing w:before="12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w:t>
      </w:r>
      <w:r>
        <w:rPr>
          <w:rFonts w:ascii="Times New Roman" w:eastAsia="Times New Roman" w:hAnsi="Times New Roman" w:cs="Times New Roman"/>
          <w:sz w:val="20"/>
        </w:rPr>
        <w:t xml:space="preserve">review information provided by our key </w:t>
      </w:r>
      <w:r>
        <w:rPr>
          <w:rFonts w:ascii="Times New Roman" w:eastAsia="Times New Roman" w:hAnsi="Times New Roman" w:cs="Times New Roman"/>
          <w:sz w:val="20"/>
        </w:rPr>
        <w:t xml:space="preserve">financial </w:t>
      </w:r>
      <w:r>
        <w:rPr>
          <w:rFonts w:ascii="Times New Roman" w:eastAsia="Times New Roman" w:hAnsi="Times New Roman" w:cs="Times New Roman"/>
          <w:sz w:val="20"/>
        </w:rPr>
        <w:t>metric</w:t>
      </w:r>
      <w:r>
        <w:rPr>
          <w:rFonts w:ascii="Times New Roman" w:eastAsia="Times New Roman" w:hAnsi="Times New Roman" w:cs="Times New Roman"/>
          <w:sz w:val="20"/>
        </w:rPr>
        <w:t xml:space="preserve">, </w:t>
      </w:r>
      <w:r>
        <w:rPr>
          <w:rFonts w:ascii="Times New Roman" w:eastAsia="Times New Roman" w:hAnsi="Times New Roman" w:cs="Times New Roman"/>
          <w:sz w:val="20"/>
        </w:rPr>
        <w:t>gross billings,</w:t>
      </w:r>
      <w:r>
        <w:rPr>
          <w:rFonts w:ascii="Times New Roman" w:eastAsia="Times New Roman" w:hAnsi="Times New Roman" w:cs="Times New Roman"/>
          <w:sz w:val="20"/>
        </w:rPr>
        <w:t xml:space="preserve"> to assess the progress of our business and make decisions on where to allocate our resources. As our business evolves, we may make changes</w:t>
      </w:r>
      <w:r>
        <w:rPr>
          <w:rFonts w:ascii="Times New Roman" w:eastAsia="Times New Roman" w:hAnsi="Times New Roman" w:cs="Times New Roman"/>
          <w:sz w:val="20"/>
        </w:rPr>
        <w:t xml:space="preserve"> </w:t>
      </w:r>
      <w:r>
        <w:rPr>
          <w:rFonts w:ascii="Times New Roman" w:eastAsia="Times New Roman" w:hAnsi="Times New Roman" w:cs="Times New Roman"/>
          <w:sz w:val="20"/>
        </w:rPr>
        <w:t>to the key financial metrics</w:t>
      </w:r>
      <w:r>
        <w:rPr>
          <w:rFonts w:ascii="Times New Roman" w:eastAsia="Times New Roman" w:hAnsi="Times New Roman" w:cs="Times New Roman"/>
          <w:sz w:val="20"/>
        </w:rPr>
        <w:t xml:space="preserve"> </w:t>
      </w:r>
      <w:r>
        <w:rPr>
          <w:rFonts w:ascii="Times New Roman" w:eastAsia="Times New Roman" w:hAnsi="Times New Roman" w:cs="Times New Roman"/>
          <w:sz w:val="20"/>
        </w:rPr>
        <w:t>that we consider to measure our business</w:t>
      </w:r>
      <w:r>
        <w:rPr>
          <w:rFonts w:ascii="Times New Roman" w:eastAsia="Times New Roman" w:hAnsi="Times New Roman" w:cs="Times New Roman"/>
          <w:sz w:val="20"/>
        </w:rPr>
        <w:t xml:space="preserve"> </w:t>
      </w:r>
      <w:r>
        <w:rPr>
          <w:rFonts w:ascii="Times New Roman" w:eastAsia="Times New Roman" w:hAnsi="Times New Roman" w:cs="Times New Roman"/>
          <w:sz w:val="20"/>
        </w:rPr>
        <w:t>in future periods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Gross Billings by Revenue Type</w:t>
      </w:r>
    </w:p>
    <w:p>
      <w:pPr>
        <w:keepNext w:val="0"/>
        <w:keepLines w:val="0"/>
        <w:pageBreakBefore w:val="0"/>
        <w:widowControl/>
        <w:numPr>
          <w:ilvl w:val="0"/>
          <w:numId w:val="0"/>
        </w:numPr>
        <w:spacing w:before="12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Company management evaluates our operations and makes strategic decisions based, in part, on our key metric of gross billings from our two primary types of revenue, Managed Services and SaaS Services. We define gross billings as the total dollar value of the amounts charged to our customers for the services we perform and the amounts billed to our SaaS customers for their self-service purchase of goods and services on our platforms. The amounts billed to our SaaS customers are on a cost plus basis. Gross billings are the amounts of our reported revenue plus the cost of payments we made to third-party creators providing the content or sponsorship services, which are netted against revenue for generally accepted accounting principles in the United States (“GAAP”) reporting purposes.</w:t>
      </w:r>
    </w:p>
    <w:p>
      <w:pPr>
        <w:keepNext w:val="0"/>
        <w:keepLines w:val="0"/>
        <w:pageBreakBefore w:val="0"/>
        <w:widowControl w:val="0"/>
        <w:numPr>
          <w:ilvl w:val="0"/>
          <w:numId w:val="0"/>
        </w:numPr>
        <w:spacing w:before="0" w:after="0" w:line="288" w:lineRule="auto"/>
        <w:ind w:left="1080" w:right="18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Gross billings for Managed Services are the same as revenue reported for those services in our consolidated statements of operations on a GAAP basis, as there is no requirement to net the costs of revenue against the revenue. Gross billings for SaaS Services differ from revenue reported for these services in our consolidated statements of operations on a GAAP basis, as revenue for these services are presented net of the amounts we collect and pay to the third-party creators providing the content or sponsorship services to the self-service SaaS customer.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consider gross billings to be an important indicator of our potential performance as it measures the total dollar volume of transactions generated through our marketplaces. Tracking gross billings allows us to monitor the percentage of gross billings that we are able to retain after payments to our creators. Additionally, tracking gross billings is critical as it pertains to our credit risk and cash flow. We invoice our customers based on our services performed or based on their self-service transactions plus our fee. Then we remit the agreed-upon transaction price to the creators. If we do not collect the money from our customers prior to the time of payment to our creators, we could experience large swings in our cash flows. Finally, gross billings allow us to evaluate our transaction totals on an equal basis in order for us to see our contribution margins by revenue stream so that we can better understand where we should be allocating our resources.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240" w:line="288" w:lineRule="auto"/>
        <w:ind w:left="0" w:right="18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tables set forth our gross billings by revenue type, the percentage of total gross billings by type, and the change between the periods: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0"/>
        <w:gridCol w:w="160"/>
        <w:gridCol w:w="865"/>
        <w:gridCol w:w="100"/>
        <w:gridCol w:w="1125"/>
        <w:gridCol w:w="75"/>
        <w:gridCol w:w="160"/>
        <w:gridCol w:w="865"/>
        <w:gridCol w:w="100"/>
        <w:gridCol w:w="1125"/>
        <w:gridCol w:w="75"/>
        <w:gridCol w:w="160"/>
        <w:gridCol w:w="865"/>
        <w:gridCol w:w="100"/>
        <w:gridCol w:w="112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3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575" w:type="dxa"/>
            <w:gridSpan w:val="9"/>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Twelve Months Ended December 31,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2250" w:type="dxa"/>
            <w:gridSpan w:val="4"/>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2020</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2250" w:type="dxa"/>
            <w:gridSpan w:val="4"/>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 Change</w:t>
            </w:r>
          </w:p>
        </w:tc>
        <w:tc>
          <w:tcPr>
            <w:tcW w:w="1125" w:type="dxa"/>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 Change</w:t>
            </w:r>
          </w:p>
        </w:tc>
      </w:tr>
      <w:tr>
        <w:tblPrEx>
          <w:tblW w:w="10465" w:type="dxa"/>
          <w:jc w:val="left"/>
          <w:tblInd w:w="0" w:type="dxa"/>
          <w:tblCellMar>
            <w:left w:w="108" w:type="dxa"/>
            <w:right w:w="108" w:type="dxa"/>
          </w:tblCellMar>
        </w:tblPrEx>
        <w:trPr>
          <w:cantSplit/>
          <w:trHeight w:hRule="exact" w:val="300"/>
          <w:jc w:val="left"/>
        </w:trPr>
        <w:tc>
          <w:tcPr>
            <w:tcW w:w="336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b/>
                <w:color w:val="000000"/>
                <w:sz w:val="20"/>
              </w:rPr>
              <w:t>Managed Services Gross Billings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15,987,226 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112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66%</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15,432,868 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112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53%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554,358 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112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4%</w:t>
            </w:r>
          </w:p>
        </w:tc>
      </w:tr>
      <w:tr>
        <w:tblPrEx>
          <w:tblW w:w="10465" w:type="dxa"/>
          <w:jc w:val="left"/>
          <w:tblInd w:w="0" w:type="dxa"/>
          <w:tblCellMar>
            <w:left w:w="108" w:type="dxa"/>
            <w:right w:w="108" w:type="dxa"/>
          </w:tblCellMar>
        </w:tblPrEx>
        <w:trPr>
          <w:cantSplit/>
          <w:trHeight w:hRule="exact" w:val="105"/>
          <w:jc w:val="left"/>
        </w:trPr>
        <w:tc>
          <w:tcPr>
            <w:tcW w:w="33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Legacy Workflow Fees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2,155,550 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(2,155,550)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(100)%</w:t>
            </w: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Marketplace Spend Fees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6,476,261 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27%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9,264,892 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32%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(2,788,631)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(30)%</w:t>
            </w: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License Fees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1,507,336 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1,986,285 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(478,949)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(24)%</w:t>
            </w: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40"/>
              <w:jc w:val="left"/>
            </w:pPr>
            <w:r>
              <w:rPr>
                <w:rFonts w:ascii="Times New Roman" w:eastAsia="Times New Roman" w:hAnsi="Times New Roman" w:cs="Times New Roman"/>
                <w:color w:val="000000"/>
                <w:sz w:val="20"/>
              </w:rPr>
              <w:t>Other Fees</w:t>
            </w: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213,062 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1%</w:t>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109,840 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103,222 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12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94%</w:t>
            </w:r>
          </w:p>
        </w:tc>
      </w:tr>
      <w:tr>
        <w:tblPrEx>
          <w:tblW w:w="10465" w:type="dxa"/>
          <w:jc w:val="left"/>
          <w:tblInd w:w="0" w:type="dxa"/>
          <w:tblCellMar>
            <w:left w:w="108" w:type="dxa"/>
            <w:right w:w="108" w:type="dxa"/>
          </w:tblCellMar>
        </w:tblPrEx>
        <w:trPr>
          <w:cantSplit/>
          <w:trHeight w:hRule="exact" w:val="300"/>
          <w:jc w:val="left"/>
        </w:trPr>
        <w:tc>
          <w:tcPr>
            <w:tcW w:w="3360"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b/>
                <w:color w:val="000000"/>
                <w:sz w:val="20"/>
              </w:rPr>
              <w:t>SaaS Services Gross Billings</w:t>
            </w:r>
          </w:p>
        </w:tc>
        <w:tc>
          <w:tcPr>
            <w:tcW w:w="102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8,196,659 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1125" w:type="dxa"/>
            <w:tcBorders>
              <w:top w:val="single" w:sz="8" w:space="0" w:color="000000"/>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34%</w:t>
            </w:r>
          </w:p>
        </w:tc>
        <w:tc>
          <w:tcPr>
            <w:tcW w:w="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13,516,567 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1125" w:type="dxa"/>
            <w:tcBorders>
              <w:top w:val="single" w:sz="8" w:space="0" w:color="000000"/>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47%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(5,319,908)</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1125" w:type="dxa"/>
            <w:tcBorders>
              <w:top w:val="single" w:sz="8" w:space="0" w:color="000000"/>
              <w:left w:val="nil"/>
              <w:bottom w:val="single" w:sz="8" w:space="0" w:color="000000"/>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(39)%</w:t>
            </w:r>
          </w:p>
        </w:tc>
      </w:tr>
      <w:tr>
        <w:tblPrEx>
          <w:tblW w:w="10465" w:type="dxa"/>
          <w:jc w:val="left"/>
          <w:tblInd w:w="0" w:type="dxa"/>
          <w:tblCellMar>
            <w:left w:w="108" w:type="dxa"/>
            <w:right w:w="108" w:type="dxa"/>
          </w:tblCellMar>
        </w:tblPrEx>
        <w:trPr>
          <w:cantSplit/>
          <w:trHeight w:hRule="exact" w:val="105"/>
          <w:jc w:val="left"/>
        </w:trPr>
        <w:tc>
          <w:tcPr>
            <w:tcW w:w="336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3360" w:type="dxa"/>
            <w:tcBorders>
              <w:top w:val="nil"/>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75" w:after="30" w:line="240" w:lineRule="auto"/>
              <w:ind w:left="360"/>
              <w:jc w:val="left"/>
            </w:pPr>
            <w:r>
              <w:rPr>
                <w:rFonts w:ascii="Times New Roman" w:eastAsia="Times New Roman" w:hAnsi="Times New Roman" w:cs="Times New Roman"/>
                <w:b/>
                <w:color w:val="000000"/>
                <w:sz w:val="20"/>
              </w:rPr>
              <w:t>Total Gross Billings</w:t>
            </w: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24,183,885 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112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100%</w:t>
            </w: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28,949,435 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112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100%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8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(4,765,550)</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112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(16)%</w:t>
            </w:r>
          </w:p>
        </w:tc>
      </w:tr>
    </w:tbl>
    <w:p>
      <w:pPr>
        <w:keepNext w:val="0"/>
        <w:keepLines w:val="0"/>
        <w:pageBreakBefore w:val="0"/>
        <w:widowControl w:val="0"/>
        <w:numPr>
          <w:ilvl w:val="0"/>
          <w:numId w:val="0"/>
        </w:numPr>
        <w:spacing w:before="100" w:after="0" w:line="288" w:lineRule="auto"/>
        <w:ind w:left="0" w:right="18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180" w:firstLine="0"/>
        <w:jc w:val="left"/>
        <w:outlineLvl w:val="9"/>
        <w:rPr>
          <w:rFonts w:ascii="Times New Roman" w:eastAsia="Times New Roman" w:hAnsi="Times New Roman" w:cs="Times New Roman"/>
          <w:sz w:val="18"/>
          <w:vertAlign w:val="superscript"/>
        </w:rPr>
      </w:pPr>
    </w:p>
    <w:p>
      <w:pPr>
        <w:keepNext w:val="0"/>
        <w:keepLines w:val="0"/>
        <w:pageBreakBefore w:val="0"/>
        <w:widowControl w:val="0"/>
        <w:numPr>
          <w:ilvl w:val="0"/>
          <w:numId w:val="0"/>
        </w:numPr>
        <w:spacing w:before="0" w:after="0" w:line="288" w:lineRule="auto"/>
        <w:ind w:left="0" w:right="180" w:firstLine="0"/>
        <w:jc w:val="left"/>
        <w:outlineLvl w:val="9"/>
        <w:rPr>
          <w:rFonts w:ascii="Times New Roman" w:eastAsia="Times New Roman" w:hAnsi="Times New Roman" w:cs="Times New Roman"/>
          <w:b/>
          <w:sz w:val="18"/>
          <w:vertAlign w:val="superscript"/>
        </w:rPr>
      </w:pPr>
      <w:r>
        <w:rPr>
          <w:rFonts w:ascii="Times New Roman" w:eastAsia="Times New Roman" w:hAnsi="Times New Roman" w:cs="Times New Roman"/>
          <w:b/>
          <w:sz w:val="20"/>
        </w:rPr>
        <w:t>Non-GAAP Financial Measure</w:t>
      </w:r>
    </w:p>
    <w:p>
      <w:pPr>
        <w:keepNext w:val="0"/>
        <w:keepLines w:val="0"/>
        <w:pageBreakBefore w:val="0"/>
        <w:widowControl w:val="0"/>
        <w:numPr>
          <w:ilvl w:val="0"/>
          <w:numId w:val="0"/>
        </w:numPr>
        <w:spacing w:before="0" w:after="0" w:line="288" w:lineRule="auto"/>
        <w:ind w:left="0" w:right="18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Adjusted EBITDA</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Adjusted EBITDA is a “non-GAAP financial measure” as defined under the rules of the Securities and Exchange Commission (the “SEC”). We define Adjusted EBITDA as earnings or loss before interest, taxes, depreciation and amortization, non-cash stock-based compensation, gain or loss on asset disposals or impairment, changes in acquisition cost estimates, and certain other unusual or non-cash income and expense items such as gains or losses on settlement of liabilities and exchanges, and changes in the fair value of derivatives, if applicable. </w:t>
      </w: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use Adjusted EBITDA as a measure of operating performance, for planning purposes, to allocate resources to enhance the financial performance of our business, and in communications with our Board of Directors regarding our financial performance. We believe that Adjusted EBITDA also provides useful information to investors as it excludes transactions not related to our core cash-generating operating business activities, and it provides consistency to facilitate period-to-period comparisons. We believe that excluding these transactions allows investors to meaningfully trend and analyze the performance of our core cash-generating operations. </w:t>
      </w:r>
    </w:p>
    <w:p>
      <w:pPr>
        <w:keepNext w:val="0"/>
        <w:keepLines w:val="0"/>
        <w:pageBreakBefore w:val="0"/>
        <w:widowControl w:val="0"/>
        <w:numPr>
          <w:ilvl w:val="0"/>
          <w:numId w:val="0"/>
        </w:numPr>
        <w:spacing w:before="0" w:after="0" w:line="288" w:lineRule="auto"/>
        <w:ind w:left="0" w:right="180" w:firstLine="72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All companies do not calculate Adjusted EBITDA in the same manner, and Adjusted EBITDA as presented by us may not be comparable to Adjusted EBITDA presented by other companies, which limits its usefulness as a comparative measure. Moreover, Adjusted EBITDA has limitations as an analytical tool, and you should not consider it in isolation or as a substitute for an analysis of our results of operations as under GAAP. These limitations are that Adjusted EBITDA: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15"/>
        </w:numPr>
        <w:spacing w:before="0" w:after="0" w:line="28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does not include stock-based compensation expense, which is a non-cash expense, but has been, and will continue to be for the foreseeable future, a significant recurring expense for our business and an important part of our compensation strategy; </w:t>
      </w:r>
    </w:p>
    <w:p>
      <w:pPr>
        <w:keepNext w:val="0"/>
        <w:keepLines w:val="0"/>
        <w:pageBreakBefore w:val="0"/>
        <w:widowControl/>
        <w:numPr>
          <w:ilvl w:val="0"/>
          <w:numId w:val="15"/>
        </w:numPr>
        <w:spacing w:before="0" w:after="0" w:line="28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does not include stock issued for payment of services, which is a non-cash expense, but has been, and is expected to be for the foreseeable future, an important means for us to compensate our directors, vendors and other parties who provide us with services; </w:t>
      </w:r>
    </w:p>
    <w:p>
      <w:pPr>
        <w:keepNext w:val="0"/>
        <w:keepLines w:val="0"/>
        <w:pageBreakBefore w:val="0"/>
        <w:widowControl/>
        <w:numPr>
          <w:ilvl w:val="0"/>
          <w:numId w:val="15"/>
        </w:numPr>
        <w:spacing w:before="0" w:after="0" w:line="28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does not include changes in acquisition cost estimates as a result of the allocation of acquisition costs payable to compensation expense which may be a significant recurring expense for our business if we continue to make business acquisitions;</w:t>
      </w:r>
    </w:p>
    <w:p>
      <w:pPr>
        <w:keepNext w:val="0"/>
        <w:keepLines w:val="0"/>
        <w:pageBreakBefore w:val="0"/>
        <w:widowControl/>
        <w:numPr>
          <w:ilvl w:val="0"/>
          <w:numId w:val="15"/>
        </w:numPr>
        <w:spacing w:before="0" w:after="0" w:line="28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does not include gains or losses on the settlement of acquisition costs payable or liabilities when the stock value, as agreed upon in the agreement, varies from the market price of our stock on the settlement date. This is a non-cash expense, but was a recurring expense for our business on certain business contracts where the amounts could vary; </w:t>
      </w:r>
    </w:p>
    <w:p>
      <w:pPr>
        <w:keepNext w:val="0"/>
        <w:keepLines w:val="0"/>
        <w:pageBreakBefore w:val="0"/>
        <w:widowControl/>
        <w:numPr>
          <w:ilvl w:val="0"/>
          <w:numId w:val="15"/>
        </w:numPr>
        <w:spacing w:before="0" w:after="0" w:line="28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does not include depreciation and intangible assets amortization expense, impairment charges and gains or losses on disposal of equipment, which is not always a current period cash expense, but the assets being depreciated and amortized may have to be replaced in the future; and</w:t>
      </w:r>
    </w:p>
    <w:p>
      <w:pPr>
        <w:keepNext w:val="0"/>
        <w:keepLines w:val="0"/>
        <w:pageBreakBefore w:val="0"/>
        <w:widowControl/>
        <w:numPr>
          <w:ilvl w:val="0"/>
          <w:numId w:val="15"/>
        </w:numPr>
        <w:spacing w:before="0" w:after="0" w:line="28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does not include interest expense and other gains, losses, and expenses that we believe are not indicative of our ongoing core operating results, but these items may represent a reduction or increase in cash available to us.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Because of these limitations, Adjusted EBITDA should not be considered as a measure of discretionary cash available to us to invest in the operation and growth of our business or as a measure of cash that will be available to us to meet our obligations. You should compensate for these limitations by relying primarily on our GAAP results and using these non-GAAP financial measures as supplements. In evaluating these non-GAAP financial measures, you should be aware that in the future, we may incur expenses similar to those for which adjustments are made in calculating Adjusted EBITDA. Our presentation of these non-GAAP financial measures should also not be construed to infer that our future results will be unaffected by unusual or non-recurring items.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following table sets forth a reconciliation from the GAAP measurement of net loss to our non-GAAP financial measure of Adjusted EBITDA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00"/>
        <w:gridCol w:w="75"/>
        <w:gridCol w:w="160"/>
        <w:gridCol w:w="1345"/>
        <w:gridCol w:w="100"/>
        <w:gridCol w:w="75"/>
        <w:gridCol w:w="160"/>
        <w:gridCol w:w="1345"/>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jc w:val="center"/>
        </w:trPr>
        <w:tc>
          <w:tcPr>
            <w:tcW w:w="69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28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Twelve Months Ended December 31,</w:t>
            </w:r>
          </w:p>
        </w:tc>
      </w:tr>
      <w:tr>
        <w:tblPrEx>
          <w:tblW w:w="10465" w:type="dxa"/>
          <w:jc w:val="center"/>
          <w:tblInd w:w="0" w:type="dxa"/>
          <w:tblCellMar>
            <w:left w:w="108" w:type="dxa"/>
            <w:right w:w="108" w:type="dxa"/>
          </w:tblCellMar>
        </w:tblPrEx>
        <w:trPr>
          <w:cantSplit/>
          <w:trHeight w:hRule="exact" w:val="300"/>
          <w:jc w:val="center"/>
        </w:trPr>
        <w:tc>
          <w:tcPr>
            <w:tcW w:w="6900"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2020</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2019</w:t>
            </w: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Net loss</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(10,250,007)</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(7,290,120)</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Non-cash stock-based compensation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477,993 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634,651 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Non-cash stock issued for payment of services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125,000 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141,665 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Gain on settlement of acquisition costs payable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(602,410)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Increase in value of acquisition costs payable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6,222 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Interest expense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63,012 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233,654 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Depreciation and amortization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1,652,126 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1,750,629 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Impairment of goodwill and intangible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4,300,000 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418,099 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135"/>
              <w:jc w:val="left"/>
            </w:pPr>
            <w:r>
              <w:rPr>
                <w:rFonts w:ascii="Times New Roman" w:eastAsia="Times New Roman" w:hAnsi="Times New Roman" w:cs="Times New Roman"/>
                <w:color w:val="000000"/>
                <w:sz w:val="20"/>
              </w:rPr>
              <w:t>Other non-cash items</w:t>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(22,598)</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18,786 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single" w:sz="8" w:space="0" w:color="000000"/>
              <w:left w:val="nil"/>
              <w:bottom w:val="double" w:sz="8" w:space="0" w:color="000000"/>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Adjusted EBITDA</w:t>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(3,654,474)</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(4,688,824)</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center"/>
          <w:tblInd w:w="0" w:type="dxa"/>
          <w:tblCellMar>
            <w:left w:w="108" w:type="dxa"/>
            <w:right w:w="108" w:type="dxa"/>
          </w:tblCellMar>
        </w:tblPrEx>
        <w:trPr>
          <w:cantSplit/>
          <w:trHeight w:hRule="exact" w:val="180"/>
          <w:jc w:val="center"/>
        </w:trPr>
        <w:tc>
          <w:tcPr>
            <w:tcW w:w="69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15"/>
              <w:jc w:val="left"/>
            </w:pPr>
            <w:r>
              <w:rPr>
                <w:rFonts w:ascii="Times New Roman" w:eastAsia="Times New Roman" w:hAnsi="Times New Roman" w:cs="Times New Roman"/>
                <w:color w:val="000000"/>
                <w:sz w:val="20"/>
              </w:rPr>
              <w:t>Revenue</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18,329,555 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18,955,672 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center"/>
          <w:tblInd w:w="0" w:type="dxa"/>
          <w:tblCellMar>
            <w:left w:w="108" w:type="dxa"/>
            <w:right w:w="108" w:type="dxa"/>
          </w:tblCellMar>
        </w:tblPrEx>
        <w:trPr>
          <w:cantSplit/>
          <w:trHeight w:hRule="exact" w:val="285"/>
          <w:jc w:val="center"/>
        </w:trPr>
        <w:tc>
          <w:tcPr>
            <w:tcW w:w="6900" w:type="dxa"/>
            <w:tcBorders>
              <w:top w:val="double" w:sz="8" w:space="0" w:color="000000"/>
              <w:left w:val="nil"/>
              <w:bottom w:val="nil"/>
              <w:right w:val="nil"/>
            </w:tcBorders>
            <w:shd w:val="clear" w:color="auto" w:fill="CCEEFF"/>
            <w:tcMar>
              <w:top w:w="0" w:type="dxa"/>
              <w:left w:w="53" w:type="dxa"/>
              <w:bottom w:w="0" w:type="dxa"/>
              <w:right w:w="53" w:type="dxa"/>
            </w:tcMar>
            <w:vAlign w:val="bottom"/>
          </w:tcPr>
          <w:p>
            <w:pPr>
              <w:pageBreakBefore w:val="0"/>
              <w:spacing w:before="55" w:after="30" w:line="240" w:lineRule="auto"/>
              <w:ind w:left="135"/>
              <w:jc w:val="left"/>
            </w:pPr>
            <w:r>
              <w:rPr>
                <w:rFonts w:ascii="Times New Roman" w:eastAsia="Times New Roman" w:hAnsi="Times New Roman" w:cs="Times New Roman"/>
                <w:color w:val="000000"/>
                <w:sz w:val="20"/>
              </w:rPr>
              <w:t>Adjusted EBITDA as a % of Revenue</w:t>
            </w: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(20)</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w:t>
            </w: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0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(25)</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w:t>
            </w:r>
          </w:p>
        </w:tc>
      </w:tr>
    </w:tbl>
    <w:p>
      <w:pPr>
        <w:keepNext/>
        <w:keepLines/>
        <w:pageBreakBefore w:val="0"/>
        <w:widowControl w:val="0"/>
        <w:numPr>
          <w:ilvl w:val="0"/>
          <w:numId w:val="0"/>
        </w:numPr>
        <w:spacing w:before="0" w:after="100" w:line="288" w:lineRule="auto"/>
        <w:ind w:left="0" w:right="0" w:firstLine="720"/>
        <w:jc w:val="left"/>
        <w:outlineLvl w:val="9"/>
      </w:pPr>
    </w:p>
    <w:p>
      <w:pPr>
        <w:keepNext/>
        <w:keepLines/>
        <w:pageBreakBefore w:val="0"/>
        <w:widowControl w:val="0"/>
        <w:numPr>
          <w:ilvl w:val="0"/>
          <w:numId w:val="0"/>
        </w:numPr>
        <w:spacing w:before="0" w:after="100" w:line="288" w:lineRule="auto"/>
        <w:ind w:left="0" w:right="0" w:firstLine="720"/>
        <w:jc w:val="left"/>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2"/>
        <w:rPr>
          <w:rFonts w:ascii="Times New Roman" w:eastAsia="Times New Roman" w:hAnsi="Times New Roman" w:cs="Times New Roman"/>
          <w:b/>
          <w:sz w:val="20"/>
        </w:rPr>
      </w:pPr>
      <w:bookmarkStart w:id="18" w:name="Section19"/>
      <w:bookmarkEnd w:id="18"/>
      <w:r>
        <w:rPr>
          <w:rFonts w:ascii="Times New Roman" w:eastAsia="Times New Roman" w:hAnsi="Times New Roman" w:cs="Times New Roman"/>
          <w:b/>
          <w:sz w:val="20"/>
        </w:rPr>
        <w:t>Liquidity and Capital Resources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had cash and cash equivalents of </w:t>
      </w:r>
      <w:r>
        <w:rPr>
          <w:rFonts w:ascii="Times New Roman" w:eastAsia="Times New Roman" w:hAnsi="Times New Roman" w:cs="Times New Roman"/>
          <w:sz w:val="20"/>
        </w:rPr>
        <w:t>$33,045,225</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as compared to </w:t>
      </w:r>
      <w:r>
        <w:rPr>
          <w:rFonts w:ascii="Times New Roman" w:eastAsia="Times New Roman" w:hAnsi="Times New Roman" w:cs="Times New Roman"/>
          <w:sz w:val="20"/>
        </w:rPr>
        <w:t>$5,884,629</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an increase of </w:t>
      </w:r>
      <w:r>
        <w:rPr>
          <w:rFonts w:ascii="Times New Roman" w:eastAsia="Times New Roman" w:hAnsi="Times New Roman" w:cs="Times New Roman"/>
          <w:sz w:val="20"/>
        </w:rPr>
        <w:t>$27,160,596</w:t>
      </w:r>
      <w:r>
        <w:rPr>
          <w:rFonts w:ascii="Times New Roman" w:eastAsia="Times New Roman" w:hAnsi="Times New Roman" w:cs="Times New Roman"/>
          <w:sz w:val="20"/>
        </w:rPr>
        <w:t>,</w:t>
      </w:r>
      <w:r>
        <w:rPr>
          <w:rFonts w:ascii="Times New Roman" w:eastAsia="Times New Roman" w:hAnsi="Times New Roman" w:cs="Times New Roman"/>
          <w:sz w:val="20"/>
        </w:rPr>
        <w:t xml:space="preserve"> primarily due to net proceeds received from the sale of our </w:t>
      </w:r>
      <w:r>
        <w:rPr>
          <w:rFonts w:ascii="Times New Roman" w:eastAsia="Times New Roman" w:hAnsi="Times New Roman" w:cs="Times New Roman"/>
          <w:sz w:val="20"/>
        </w:rPr>
        <w:t>common stock in our at the market offering program</w:t>
      </w:r>
      <w:r>
        <w:rPr>
          <w:rFonts w:ascii="Times New Roman" w:eastAsia="Times New Roman" w:hAnsi="Times New Roman" w:cs="Times New Roman"/>
          <w:sz w:val="20"/>
        </w:rPr>
        <w:t>,</w:t>
      </w:r>
      <w:r>
        <w:rPr>
          <w:rFonts w:ascii="Times New Roman" w:eastAsia="Times New Roman" w:hAnsi="Times New Roman" w:cs="Times New Roman"/>
          <w:sz w:val="20"/>
        </w:rPr>
        <w:t xml:space="preserve"> offset by operating losses. We have incurred significant net losses and negative cash flow from operations for most periods since our inception, which has resulted in a total accumulated deficit of </w:t>
      </w:r>
      <w:r>
        <w:rPr>
          <w:rFonts w:ascii="Times New Roman" w:eastAsia="Times New Roman" w:hAnsi="Times New Roman" w:cs="Times New Roman"/>
          <w:sz w:val="20"/>
        </w:rPr>
        <w:t>$70,634,776</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To date, we have financed our operations through revenue from operations, borrowings under our secured credit facility, the PPP Loan (described below) and the sale of our equity securities.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75"/>
        <w:gridCol w:w="160"/>
        <w:gridCol w:w="1345"/>
        <w:gridCol w:w="100"/>
        <w:gridCol w:w="75"/>
        <w:gridCol w:w="160"/>
        <w:gridCol w:w="134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69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28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Twelve Months Ended December 31,</w:t>
            </w:r>
          </w:p>
        </w:tc>
      </w:tr>
      <w:tr>
        <w:tblPrEx>
          <w:tblW w:w="10465" w:type="dxa"/>
          <w:jc w:val="left"/>
          <w:tblInd w:w="0" w:type="dxa"/>
          <w:tblCellMar>
            <w:left w:w="108" w:type="dxa"/>
            <w:right w:w="108" w:type="dxa"/>
          </w:tblCellMar>
        </w:tblPrEx>
        <w:trPr>
          <w:cantSplit/>
          <w:trHeight w:hRule="exact" w:val="300"/>
          <w:jc w:val="left"/>
        </w:trPr>
        <w:tc>
          <w:tcPr>
            <w:tcW w:w="69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2020</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2019</w:t>
            </w:r>
          </w:p>
        </w:tc>
      </w:tr>
      <w:tr>
        <w:tblPrEx>
          <w:tblW w:w="10465" w:type="dxa"/>
          <w:jc w:val="left"/>
          <w:tblInd w:w="0" w:type="dxa"/>
          <w:tblCellMar>
            <w:left w:w="108" w:type="dxa"/>
            <w:right w:w="108" w:type="dxa"/>
          </w:tblCellMar>
        </w:tblPrEx>
        <w:trPr>
          <w:cantSplit/>
          <w:trHeight w:hRule="exact" w:val="300"/>
          <w:jc w:val="left"/>
        </w:trPr>
        <w:tc>
          <w:tcPr>
            <w:tcW w:w="69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Net cash (used for)/provided by:</w:t>
            </w:r>
          </w:p>
        </w:tc>
        <w:tc>
          <w:tcPr>
            <w:tcW w:w="16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69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Operating activities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(2,095,651)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(2,914,114)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69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Investing activities</w:t>
            </w: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(354,407)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(679,350)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Financing activities</w:t>
            </w: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29,610,654 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7,509,690 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7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40" w:lineRule="auto"/>
              <w:ind w:left="0"/>
              <w:jc w:val="left"/>
            </w:pPr>
            <w:r>
              <w:rPr>
                <w:rFonts w:ascii="Times New Roman" w:eastAsia="Times New Roman" w:hAnsi="Times New Roman" w:cs="Times New Roman"/>
                <w:color w:val="000000"/>
                <w:sz w:val="20"/>
              </w:rPr>
              <w:t>Net increase in cash and cash equivalents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27,160,596 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3,916,226 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Cash used for operating activities was </w:t>
      </w:r>
      <w:r>
        <w:rPr>
          <w:rFonts w:ascii="Times New Roman" w:eastAsia="Times New Roman" w:hAnsi="Times New Roman" w:cs="Times New Roman"/>
          <w:sz w:val="20"/>
        </w:rPr>
        <w:t>$2,095,651</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is primarily the result of continued use of cash to cover operating losses. Net cash used for investing activities was </w:t>
      </w:r>
      <w:r>
        <w:rPr>
          <w:rFonts w:ascii="Times New Roman" w:eastAsia="Times New Roman" w:hAnsi="Times New Roman" w:cs="Times New Roman"/>
          <w:sz w:val="20"/>
        </w:rPr>
        <w:t>$354,407</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primarily due to the payment of </w:t>
      </w:r>
      <w:r>
        <w:rPr>
          <w:rFonts w:ascii="Times New Roman" w:eastAsia="Times New Roman" w:hAnsi="Times New Roman" w:cs="Times New Roman"/>
          <w:sz w:val="20"/>
        </w:rPr>
        <w:t>$363,793</w:t>
      </w:r>
      <w:r>
        <w:rPr>
          <w:rFonts w:ascii="Times New Roman" w:eastAsia="Times New Roman" w:hAnsi="Times New Roman" w:cs="Times New Roman"/>
          <w:sz w:val="20"/>
        </w:rPr>
        <w:t xml:space="preserve"> in the development of our proprietary software. Net cash provided by financing activities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$29,610,654</w:t>
      </w:r>
      <w:r>
        <w:rPr>
          <w:rFonts w:ascii="Times New Roman" w:eastAsia="Times New Roman" w:hAnsi="Times New Roman" w:cs="Times New Roman"/>
          <w:sz w:val="20"/>
        </w:rPr>
        <w:t xml:space="preserve">, which consisted primarily of net proceeds of approximately </w:t>
      </w:r>
      <w:r>
        <w:rPr>
          <w:rFonts w:ascii="Times New Roman" w:eastAsia="Times New Roman" w:hAnsi="Times New Roman" w:cs="Times New Roman"/>
          <w:sz w:val="20"/>
        </w:rPr>
        <w:t>$27.7 million</w:t>
      </w:r>
      <w:r>
        <w:rPr>
          <w:rFonts w:ascii="Times New Roman" w:eastAsia="Times New Roman" w:hAnsi="Times New Roman" w:cs="Times New Roman"/>
          <w:sz w:val="20"/>
        </w:rPr>
        <w:t xml:space="preserve"> from the sale of our </w:t>
      </w:r>
      <w:r>
        <w:rPr>
          <w:rFonts w:ascii="Times New Roman" w:eastAsia="Times New Roman" w:hAnsi="Times New Roman" w:cs="Times New Roman"/>
          <w:sz w:val="20"/>
        </w:rPr>
        <w:t>common stock in our at the market offering program</w:t>
      </w:r>
      <w:r>
        <w:rPr>
          <w:rFonts w:ascii="Times New Roman" w:eastAsia="Times New Roman" w:hAnsi="Times New Roman" w:cs="Times New Roman"/>
          <w:sz w:val="20"/>
        </w:rPr>
        <w:t xml:space="preserve"> and approximately </w:t>
      </w:r>
      <w:r>
        <w:rPr>
          <w:rFonts w:ascii="Times New Roman" w:eastAsia="Times New Roman" w:hAnsi="Times New Roman" w:cs="Times New Roman"/>
          <w:sz w:val="20"/>
        </w:rPr>
        <w:t>$1.9 million</w:t>
      </w:r>
      <w:r>
        <w:rPr>
          <w:rFonts w:ascii="Times New Roman" w:eastAsia="Times New Roman" w:hAnsi="Times New Roman" w:cs="Times New Roman"/>
          <w:sz w:val="20"/>
        </w:rPr>
        <w:t xml:space="preserve"> from the PPP Loan (described below).</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val="0"/>
        <w:keepLines w:val="0"/>
        <w:pageBreakBefore w:val="0"/>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Secured Credit Facility</w:t>
      </w:r>
    </w:p>
    <w:p>
      <w:pPr>
        <w:keepNext w:val="0"/>
        <w:keepLines w:val="0"/>
        <w:pageBreakBefore w:val="0"/>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have a secured credit facility agreement with Western Alliance Bank, the parent company of Bridge Bank, National Association. Pursuant to this agreement, we may submit requests for funding up to 80% of our eligible accounts receivable up to a maximum credit limit of $5 million.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we had </w:t>
      </w:r>
      <w:r>
        <w:rPr>
          <w:rFonts w:ascii="Times New Roman" w:eastAsia="Times New Roman" w:hAnsi="Times New Roman" w:cs="Times New Roman"/>
          <w:sz w:val="20"/>
        </w:rPr>
        <w:t>no amounts</w:t>
      </w:r>
      <w:r>
        <w:rPr>
          <w:rFonts w:ascii="Times New Roman" w:eastAsia="Times New Roman" w:hAnsi="Times New Roman" w:cs="Times New Roman"/>
          <w:sz w:val="20"/>
        </w:rPr>
        <w:t xml:space="preserve"> outstanding under this agreement. Assuming that our unfunded remaining trade accounts receivable balance was eligible for funding, we had approximately </w:t>
      </w:r>
      <w:r>
        <w:rPr>
          <w:rFonts w:ascii="Times New Roman" w:eastAsia="Times New Roman" w:hAnsi="Times New Roman" w:cs="Times New Roman"/>
          <w:sz w:val="20"/>
        </w:rPr>
        <w:t>$4.1 million</w:t>
      </w:r>
      <w:r>
        <w:rPr>
          <w:rFonts w:ascii="Times New Roman" w:eastAsia="Times New Roman" w:hAnsi="Times New Roman" w:cs="Times New Roman"/>
          <w:sz w:val="20"/>
        </w:rPr>
        <w:t xml:space="preserve"> in available credit </w:t>
      </w:r>
      <w:r>
        <w:rPr>
          <w:rFonts w:ascii="Times New Roman" w:eastAsia="Times New Roman" w:hAnsi="Times New Roman" w:cs="Times New Roman"/>
          <w:sz w:val="20"/>
        </w:rPr>
        <w:t xml:space="preserve">under the agreement as of </w:t>
      </w:r>
      <w:r>
        <w:rPr>
          <w:rFonts w:ascii="Times New Roman" w:eastAsia="Times New Roman" w:hAnsi="Times New Roman" w:cs="Times New Roman"/>
          <w:sz w:val="20"/>
        </w:rPr>
        <w:t>December 31, 2020</w:t>
      </w:r>
      <w:r>
        <w:rPr>
          <w:rFonts w:ascii="Times New Roman" w:eastAsia="Times New Roman" w:hAnsi="Times New Roman" w:cs="Times New Roman"/>
          <w:sz w:val="20"/>
        </w:rPr>
        <w:t>.</w:t>
      </w:r>
    </w:p>
    <w:p>
      <w:pPr>
        <w:keepNext w:val="0"/>
        <w:keepLines w:val="0"/>
        <w:pageBreakBefore w:val="0"/>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9"/>
        <w:rPr>
          <w:rFonts w:ascii="Times New Roman" w:eastAsia="Times New Roman" w:hAnsi="Times New Roman" w:cs="Times New Roman"/>
          <w:b/>
          <w:i/>
          <w:sz w:val="20"/>
        </w:rPr>
      </w:pPr>
    </w:p>
    <w:p>
      <w:pPr>
        <w:keepNext/>
        <w:keepLines w:val="0"/>
        <w:pageBreakBefore w:val="0"/>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PPP Loan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color w:val="1A1A1A"/>
          <w:sz w:val="20"/>
        </w:rPr>
      </w:pPr>
      <w:r>
        <w:rPr>
          <w:rFonts w:ascii="Times New Roman" w:eastAsia="Times New Roman" w:hAnsi="Times New Roman" w:cs="Times New Roman"/>
          <w:sz w:val="20"/>
        </w:rPr>
        <w:t xml:space="preserve">On April 23, 2020, we received a loan from Western Alliance Bank (the “Lender”) in the principal amount of $1,905,100 (the “PPP Loan”) under the Paycheck Protection Program (“PPP”), which was established under the Coronavirus Aid, Relief, and Economic Security Act (the “CARES Act”) administered by the U.S. Small Business Administration (the  “SBA”). The term of the promissory note  (the “Note”) issued in respect of the loan is two years, though it may be payable sooner in connection with an event of default under the Note. The PPP Loan carries a fixed interest rate of one percent per year. Certain amounts received under the PPP Loan may be forgiven if the loan proceeds are used for eligible purposes, including payroll costs and certain rent or utility costs, and we meet other requirements regarding, among other things, the maintenance of employment and compensation levels. </w:t>
      </w:r>
      <w:r>
        <w:rPr>
          <w:rFonts w:ascii="Times New Roman" w:eastAsia="Times New Roman" w:hAnsi="Times New Roman" w:cs="Times New Roman"/>
          <w:color w:val="1A1A1A"/>
          <w:sz w:val="20"/>
        </w:rPr>
        <w:t>Loan payments on the PPP Loan may be deferred to either (1) the date that the SBA remits our loan forgiveness amount to the Lender or (2) ten months after the end of our loan forgiveness covered period, if we do not apply for loan forgiveness</w:t>
      </w:r>
      <w:r>
        <w:rPr>
          <w:rFonts w:ascii="Times New Roman" w:eastAsia="Times New Roman" w:hAnsi="Times New Roman" w:cs="Times New Roman"/>
          <w:sz w:val="20"/>
        </w:rPr>
        <w:t xml:space="preserve">. We </w:t>
      </w:r>
      <w:r>
        <w:rPr>
          <w:rFonts w:ascii="Times New Roman" w:eastAsia="Times New Roman" w:hAnsi="Times New Roman" w:cs="Times New Roman"/>
          <w:sz w:val="20"/>
        </w:rPr>
        <w:t xml:space="preserve">submitted </w:t>
      </w:r>
      <w:r>
        <w:rPr>
          <w:rFonts w:ascii="Times New Roman" w:eastAsia="Times New Roman" w:hAnsi="Times New Roman" w:cs="Times New Roman"/>
          <w:sz w:val="20"/>
        </w:rPr>
        <w:t>our</w:t>
      </w:r>
      <w:r>
        <w:rPr>
          <w:rFonts w:ascii="Times New Roman" w:eastAsia="Times New Roman" w:hAnsi="Times New Roman" w:cs="Times New Roman"/>
          <w:sz w:val="20"/>
        </w:rPr>
        <w:t xml:space="preserve"> forgiveness application for the entire amount of the loan in December 2020</w:t>
      </w:r>
      <w:r>
        <w:rPr>
          <w:rFonts w:ascii="Times New Roman" w:eastAsia="Times New Roman" w:hAnsi="Times New Roman" w:cs="Times New Roman"/>
          <w:sz w:val="20"/>
        </w:rPr>
        <w:t xml:space="preserve"> and</w:t>
      </w:r>
      <w:r>
        <w:rPr>
          <w:rFonts w:ascii="Times New Roman" w:eastAsia="Times New Roman" w:hAnsi="Times New Roman" w:cs="Times New Roman"/>
          <w:sz w:val="20"/>
        </w:rPr>
        <w:t>, as of the date of this Annual Report,</w:t>
      </w:r>
      <w:r>
        <w:rPr>
          <w:rFonts w:ascii="Times New Roman" w:eastAsia="Times New Roman" w:hAnsi="Times New Roman" w:cs="Times New Roman"/>
          <w:sz w:val="20"/>
        </w:rPr>
        <w:t xml:space="preserve"> </w:t>
      </w:r>
      <w:r>
        <w:rPr>
          <w:rFonts w:ascii="Times New Roman" w:eastAsia="Times New Roman" w:hAnsi="Times New Roman" w:cs="Times New Roman"/>
          <w:sz w:val="20"/>
        </w:rPr>
        <w:t>are</w:t>
      </w:r>
      <w:r>
        <w:rPr>
          <w:rFonts w:ascii="Times New Roman" w:eastAsia="Times New Roman" w:hAnsi="Times New Roman" w:cs="Times New Roman"/>
          <w:sz w:val="20"/>
        </w:rPr>
        <w:t xml:space="preserve"> awaiting approval from the SBA. </w:t>
      </w:r>
      <w:r>
        <w:rPr>
          <w:rFonts w:ascii="Times New Roman" w:eastAsia="Times New Roman" w:hAnsi="Times New Roman" w:cs="Times New Roman"/>
          <w:color w:val="1A1A1A"/>
          <w:sz w:val="20"/>
        </w:rPr>
        <w:t xml:space="preserve">The forgiveness of the </w:t>
      </w:r>
      <w:r>
        <w:rPr>
          <w:rFonts w:ascii="Times New Roman" w:eastAsia="Times New Roman" w:hAnsi="Times New Roman" w:cs="Times New Roman"/>
          <w:color w:val="1A1A1A"/>
          <w:sz w:val="20"/>
        </w:rPr>
        <w:t>PPP Loan is</w:t>
      </w:r>
      <w:r>
        <w:rPr>
          <w:rFonts w:ascii="Times New Roman" w:eastAsia="Times New Roman" w:hAnsi="Times New Roman" w:cs="Times New Roman"/>
          <w:color w:val="1A1A1A"/>
          <w:sz w:val="20"/>
        </w:rPr>
        <w:t xml:space="preserve"> based on our adherence to the forgiveness criteria under the CARES Act, </w:t>
      </w:r>
      <w:r>
        <w:rPr>
          <w:rFonts w:ascii="Times New Roman" w:eastAsia="Times New Roman" w:hAnsi="Times New Roman" w:cs="Times New Roman"/>
          <w:color w:val="1A1A1A"/>
          <w:sz w:val="20"/>
        </w:rPr>
        <w:t>and</w:t>
      </w:r>
      <w:r>
        <w:rPr>
          <w:rFonts w:ascii="Times New Roman" w:eastAsia="Times New Roman" w:hAnsi="Times New Roman" w:cs="Times New Roman"/>
          <w:color w:val="1A1A1A"/>
          <w:sz w:val="20"/>
        </w:rPr>
        <w:t xml:space="preserve"> no assurance is provided that we will obtain forgiveness of the PPP Loan in whole or in part.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76" w:lineRule="auto"/>
        <w:ind w:left="0" w:right="0" w:firstLine="0"/>
        <w:jc w:val="both"/>
        <w:outlineLvl w:val="9"/>
        <w:rPr>
          <w:rFonts w:ascii="Times New Roman" w:eastAsia="Times New Roman" w:hAnsi="Times New Roman" w:cs="Times New Roman"/>
          <w:b/>
          <w:i/>
          <w:color w:val="1A1A1A"/>
          <w:sz w:val="20"/>
          <w:shd w:val="clear" w:color="auto" w:fill="FFFFFF"/>
        </w:rPr>
      </w:pPr>
      <w:r>
        <w:rPr>
          <w:rFonts w:ascii="Times New Roman" w:eastAsia="Times New Roman" w:hAnsi="Times New Roman" w:cs="Times New Roman"/>
          <w:b/>
          <w:i/>
          <w:sz w:val="20"/>
        </w:rPr>
        <w:t>At the Market (ATM) Offering</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On June 4, 2020</w:t>
      </w:r>
      <w:r>
        <w:rPr>
          <w:rFonts w:ascii="Times New Roman" w:eastAsia="Times New Roman" w:hAnsi="Times New Roman" w:cs="Times New Roman"/>
          <w:sz w:val="20"/>
        </w:rPr>
        <w:t xml:space="preserve"> and January 25, 2021</w:t>
      </w:r>
      <w:r>
        <w:rPr>
          <w:rFonts w:ascii="Times New Roman" w:eastAsia="Times New Roman" w:hAnsi="Times New Roman" w:cs="Times New Roman"/>
          <w:sz w:val="20"/>
        </w:rPr>
        <w:t xml:space="preserve">, we entered into </w:t>
      </w:r>
      <w:r>
        <w:rPr>
          <w:rFonts w:ascii="Times New Roman" w:eastAsia="Times New Roman" w:hAnsi="Times New Roman" w:cs="Times New Roman"/>
          <w:sz w:val="20"/>
        </w:rPr>
        <w:t>ATM Sales Agreement</w:t>
      </w:r>
      <w:r>
        <w:rPr>
          <w:rFonts w:ascii="Times New Roman" w:eastAsia="Times New Roman" w:hAnsi="Times New Roman" w:cs="Times New Roman"/>
          <w:sz w:val="20"/>
        </w:rPr>
        <w:t>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amended, </w:t>
      </w:r>
      <w:r>
        <w:rPr>
          <w:rFonts w:ascii="Times New Roman" w:eastAsia="Times New Roman" w:hAnsi="Times New Roman" w:cs="Times New Roman"/>
          <w:sz w:val="20"/>
        </w:rPr>
        <w:t>the “Sales Agreement</w:t>
      </w:r>
      <w:r>
        <w:rPr>
          <w:rFonts w:ascii="Times New Roman" w:eastAsia="Times New Roman" w:hAnsi="Times New Roman" w:cs="Times New Roman"/>
          <w:sz w:val="20"/>
        </w:rPr>
        <w:t>s</w:t>
      </w:r>
      <w:r>
        <w:rPr>
          <w:rFonts w:ascii="Times New Roman" w:eastAsia="Times New Roman" w:hAnsi="Times New Roman" w:cs="Times New Roman"/>
          <w:sz w:val="20"/>
        </w:rPr>
        <w:t>”) with National Securities Corporation, as sales agent (“National Securities”), pursuant to which we may offer and sell, from time to time, through National Securities, shares of our common stock, by any method deemed to be an “at the market offering” as defined in Rule 415 under the Securities Act of 1933, as amended (the “ATM Offering”)</w:t>
      </w:r>
      <w:r>
        <w:rPr>
          <w:rFonts w:ascii="Times New Roman" w:eastAsia="Times New Roman" w:hAnsi="Times New Roman" w:cs="Times New Roman"/>
          <w:sz w:val="20"/>
        </w:rPr>
        <w:t xml:space="preserve">, </w:t>
      </w:r>
      <w:r>
        <w:rPr>
          <w:rFonts w:ascii="Times New Roman" w:eastAsia="Times New Roman" w:hAnsi="Times New Roman" w:cs="Times New Roman"/>
          <w:sz w:val="20"/>
        </w:rPr>
        <w:t>for aggregate purchase prices of up to $40,000,000 and $35,000,000, respectively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r>
        <w:rPr>
          <w:rFonts w:ascii="Times New Roman" w:eastAsia="Times New Roman" w:hAnsi="Times New Roman" w:cs="Times New Roman"/>
          <w:sz w:val="20"/>
        </w:rPr>
        <w:t>we</w:t>
      </w:r>
      <w:r>
        <w:rPr>
          <w:rFonts w:ascii="Times New Roman" w:eastAsia="Times New Roman" w:hAnsi="Times New Roman" w:cs="Times New Roman"/>
          <w:sz w:val="20"/>
        </w:rPr>
        <w:t xml:space="preserve"> had sold </w:t>
      </w:r>
      <w:r>
        <w:rPr>
          <w:rFonts w:ascii="Times New Roman" w:eastAsia="Times New Roman" w:hAnsi="Times New Roman" w:cs="Times New Roman"/>
          <w:sz w:val="20"/>
        </w:rPr>
        <w:t>14,819,740</w:t>
      </w:r>
      <w:r>
        <w:rPr>
          <w:rFonts w:ascii="Times New Roman" w:eastAsia="Times New Roman" w:hAnsi="Times New Roman" w:cs="Times New Roman"/>
          <w:sz w:val="20"/>
        </w:rPr>
        <w:t xml:space="preserve"> shares at an average price of </w:t>
      </w:r>
      <w:r>
        <w:rPr>
          <w:rFonts w:ascii="Times New Roman" w:eastAsia="Times New Roman" w:hAnsi="Times New Roman" w:cs="Times New Roman"/>
          <w:sz w:val="20"/>
        </w:rPr>
        <w:t>$1.92</w:t>
      </w:r>
      <w:r>
        <w:rPr>
          <w:rFonts w:ascii="Times New Roman" w:eastAsia="Times New Roman" w:hAnsi="Times New Roman" w:cs="Times New Roman"/>
          <w:sz w:val="20"/>
        </w:rPr>
        <w:t xml:space="preserve"> per share for total gross proceeds of </w:t>
      </w:r>
      <w:r>
        <w:rPr>
          <w:rFonts w:ascii="Times New Roman" w:eastAsia="Times New Roman" w:hAnsi="Times New Roman" w:cs="Times New Roman"/>
          <w:sz w:val="20"/>
        </w:rPr>
        <w:t>$28,455,096</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From January 1, 2021 to </w:t>
      </w:r>
      <w:r>
        <w:rPr>
          <w:rFonts w:ascii="Times New Roman" w:eastAsia="Times New Roman" w:hAnsi="Times New Roman" w:cs="Times New Roman"/>
          <w:sz w:val="20"/>
        </w:rPr>
        <w:t>March 26, 2021</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we </w:t>
      </w:r>
      <w:r>
        <w:rPr>
          <w:rFonts w:ascii="Times New Roman" w:eastAsia="Times New Roman" w:hAnsi="Times New Roman" w:cs="Times New Roman"/>
          <w:sz w:val="20"/>
        </w:rPr>
        <w:t xml:space="preserve">sold </w:t>
      </w:r>
      <w:r>
        <w:rPr>
          <w:rFonts w:ascii="Times New Roman" w:eastAsia="Times New Roman" w:hAnsi="Times New Roman" w:cs="Times New Roman"/>
          <w:sz w:val="20"/>
        </w:rPr>
        <w:t>8,691,391</w:t>
      </w:r>
      <w:r>
        <w:rPr>
          <w:rFonts w:ascii="Times New Roman" w:eastAsia="Times New Roman" w:hAnsi="Times New Roman" w:cs="Times New Roman"/>
          <w:sz w:val="20"/>
        </w:rPr>
        <w:t xml:space="preserve"> shares at an average price of </w:t>
      </w:r>
      <w:r>
        <w:rPr>
          <w:rFonts w:ascii="Times New Roman" w:eastAsia="Times New Roman" w:hAnsi="Times New Roman" w:cs="Times New Roman"/>
          <w:sz w:val="20"/>
        </w:rPr>
        <w:t>$3.95</w:t>
      </w:r>
      <w:r>
        <w:rPr>
          <w:rFonts w:ascii="Times New Roman" w:eastAsia="Times New Roman" w:hAnsi="Times New Roman" w:cs="Times New Roman"/>
          <w:sz w:val="20"/>
        </w:rPr>
        <w:t xml:space="preserve"> per share for gross proceeds of </w:t>
      </w:r>
      <w:r>
        <w:rPr>
          <w:rFonts w:ascii="Times New Roman" w:eastAsia="Times New Roman" w:hAnsi="Times New Roman" w:cs="Times New Roman"/>
          <w:sz w:val="20"/>
        </w:rPr>
        <w:t>$34,311,634</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Thus, </w:t>
      </w:r>
      <w:r>
        <w:rPr>
          <w:rFonts w:ascii="Times New Roman" w:eastAsia="Times New Roman" w:hAnsi="Times New Roman" w:cs="Times New Roman"/>
          <w:sz w:val="20"/>
        </w:rPr>
        <w:t xml:space="preserve">total proceeds raised </w:t>
      </w:r>
      <w:r>
        <w:rPr>
          <w:rFonts w:ascii="Times New Roman" w:eastAsia="Times New Roman" w:hAnsi="Times New Roman" w:cs="Times New Roman"/>
          <w:sz w:val="20"/>
        </w:rPr>
        <w:t>in the ATM Offering under our shelf registration statement on Form S-3 (File No. 333-238619)</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March 26, 2021</w:t>
      </w:r>
      <w:r>
        <w:rPr>
          <w:rFonts w:ascii="Times New Roman" w:eastAsia="Times New Roman" w:hAnsi="Times New Roman" w:cs="Times New Roman"/>
          <w:sz w:val="20"/>
        </w:rPr>
        <w:t xml:space="preserve"> were</w:t>
      </w:r>
      <w:r>
        <w:rPr>
          <w:rFonts w:ascii="Times New Roman" w:eastAsia="Times New Roman" w:hAnsi="Times New Roman" w:cs="Times New Roman"/>
          <w:sz w:val="20"/>
        </w:rPr>
        <w:t xml:space="preserve"> </w:t>
      </w:r>
      <w:r>
        <w:rPr>
          <w:rFonts w:ascii="Times New Roman" w:eastAsia="Times New Roman" w:hAnsi="Times New Roman" w:cs="Times New Roman"/>
          <w:sz w:val="20"/>
        </w:rPr>
        <w:t>$62,766,730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76"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Financial Condition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color w:val="1A1A1A"/>
          <w:sz w:val="20"/>
        </w:rPr>
      </w:pPr>
      <w:r>
        <w:rPr>
          <w:rFonts w:ascii="Times New Roman" w:eastAsia="Times New Roman" w:hAnsi="Times New Roman" w:cs="Times New Roman"/>
          <w:sz w:val="20"/>
        </w:rPr>
        <w:t>W</w:t>
      </w:r>
      <w:r>
        <w:rPr>
          <w:rFonts w:ascii="Times New Roman" w:eastAsia="Times New Roman" w:hAnsi="Times New Roman" w:cs="Times New Roman"/>
          <w:color w:val="1A1A1A"/>
          <w:sz w:val="20"/>
          <w:shd w:val="clear" w:color="auto" w:fill="FFFFFF"/>
        </w:rPr>
        <w:t xml:space="preserve">e have seen impacts on our operations due to changes in advertising decisions, timing and spending priorities from our customers as a result of COVID-19, which has had and may continue to have a negative impact to our expected future sales and valuation estimates. </w:t>
      </w:r>
      <w:r>
        <w:rPr>
          <w:rFonts w:ascii="Times New Roman" w:eastAsia="Times New Roman" w:hAnsi="Times New Roman" w:cs="Times New Roman"/>
          <w:sz w:val="20"/>
        </w:rPr>
        <w:t xml:space="preserve">With our cash on hand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we expect to have sufficient cash reserves and financing sources available to cover expenses at least one year from the issuance of this </w:t>
      </w:r>
      <w:r>
        <w:rPr>
          <w:rFonts w:ascii="Times New Roman" w:eastAsia="Times New Roman" w:hAnsi="Times New Roman" w:cs="Times New Roman"/>
          <w:sz w:val="20"/>
        </w:rPr>
        <w:t>Annual</w:t>
      </w:r>
      <w:r>
        <w:rPr>
          <w:rFonts w:ascii="Times New Roman" w:eastAsia="Times New Roman" w:hAnsi="Times New Roman" w:cs="Times New Roman"/>
          <w:sz w:val="20"/>
        </w:rPr>
        <w:t xml:space="preserve"> Report b</w:t>
      </w:r>
      <w:r>
        <w:rPr>
          <w:rFonts w:ascii="Times New Roman" w:eastAsia="Times New Roman" w:hAnsi="Times New Roman" w:cs="Times New Roman"/>
          <w:color w:val="1A1A1A"/>
          <w:sz w:val="20"/>
          <w:shd w:val="clear" w:color="auto" w:fill="FFFFFF"/>
        </w:rPr>
        <w:t>ased on our current estimates of revenue and expenses for the next twelve months. While the disruption caused by COVID-19 is currently expected to be temporary, it is generally outside of our control and there is uncertainty around the duration and the total economic impact. Therefore, this matter c</w:t>
      </w:r>
      <w:r>
        <w:rPr>
          <w:rFonts w:ascii="Times New Roman" w:eastAsia="Times New Roman" w:hAnsi="Times New Roman" w:cs="Times New Roman"/>
          <w:sz w:val="20"/>
        </w:rPr>
        <w:t xml:space="preserve">ould have a further material adverse impact on our business, </w:t>
      </w:r>
      <w:r>
        <w:rPr>
          <w:rFonts w:ascii="Times New Roman" w:eastAsia="Times New Roman" w:hAnsi="Times New Roman" w:cs="Times New Roman"/>
          <w:color w:val="1A1A1A"/>
          <w:sz w:val="20"/>
          <w:shd w:val="clear" w:color="auto" w:fill="FFFFFF"/>
        </w:rPr>
        <w:t>results of operations, and financial position in future periods.</w:t>
      </w:r>
      <w:r>
        <w:rPr>
          <w:rFonts w:ascii="Times New Roman" w:eastAsia="Times New Roman" w:hAnsi="Times New Roman" w:cs="Times New Roman"/>
          <w:color w:val="1A1A1A"/>
          <w:sz w:val="20"/>
          <w:shd w:val="clear" w:color="auto" w:fill="FFFFFF"/>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color w:val="1A1A1A"/>
          <w:sz w:val="20"/>
          <w:shd w:val="clear" w:color="auto" w:fill="FFFFFF"/>
        </w:rPr>
      </w:pPr>
      <w:r>
        <w:rPr>
          <w:rFonts w:ascii="Times New Roman" w:eastAsia="Times New Roman" w:hAnsi="Times New Roman" w:cs="Times New Roman"/>
          <w:color w:val="1A1A1A"/>
          <w:sz w:val="20"/>
          <w:shd w:val="clear" w:color="auto" w:fill="FFFFFF"/>
        </w:rPr>
        <w:t xml:space="preserve">                                            </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76"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2"/>
        <w:rPr>
          <w:rFonts w:ascii="Times New Roman" w:eastAsia="Times New Roman" w:hAnsi="Times New Roman" w:cs="Times New Roman"/>
          <w:sz w:val="24"/>
        </w:rPr>
      </w:pPr>
      <w:bookmarkStart w:id="19" w:name="Section20"/>
      <w:bookmarkEnd w:id="19"/>
      <w:r>
        <w:rPr>
          <w:rFonts w:ascii="Times New Roman" w:eastAsia="Times New Roman" w:hAnsi="Times New Roman" w:cs="Times New Roman"/>
          <w:b/>
          <w:sz w:val="20"/>
        </w:rPr>
        <w:t>Off-Balance Sheet Arrangements</w:t>
      </w:r>
    </w:p>
    <w:p>
      <w:pPr>
        <w:keepNext w:val="0"/>
        <w:keepLines w:val="0"/>
        <w:pageBreakBefore w:val="0"/>
        <w:widowControl/>
        <w:numPr>
          <w:ilvl w:val="0"/>
          <w:numId w:val="0"/>
        </w:numPr>
        <w:spacing w:before="0" w:after="0" w:line="276" w:lineRule="auto"/>
        <w:ind w:left="0" w:right="0" w:firstLine="0"/>
        <w:jc w:val="left"/>
        <w:outlineLvl w:val="9"/>
        <w:rPr>
          <w:rFonts w:ascii="Arial" w:eastAsia="Arial" w:hAnsi="Arial" w:cs="Arial"/>
          <w:sz w:val="24"/>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4"/>
        </w:rPr>
      </w:pPr>
      <w:r>
        <w:rPr>
          <w:rFonts w:ascii="Times New Roman" w:eastAsia="Times New Roman" w:hAnsi="Times New Roman" w:cs="Times New Roman"/>
          <w:sz w:val="20"/>
        </w:rPr>
        <w:t>The Company did not engage in any “off-balance sheet arrangements” (as that term is defined in Item 303(a)(4)(ii) of Regulation S-K) as of December 31, 2020.</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2"/>
        <w:rPr>
          <w:rFonts w:ascii="Times New Roman" w:eastAsia="Times New Roman" w:hAnsi="Times New Roman" w:cs="Times New Roman"/>
          <w:b/>
          <w:sz w:val="20"/>
        </w:rPr>
      </w:pPr>
      <w:bookmarkStart w:id="20" w:name="Section21"/>
      <w:bookmarkEnd w:id="20"/>
      <w:r>
        <w:rPr>
          <w:rFonts w:ascii="Times New Roman" w:eastAsia="Times New Roman" w:hAnsi="Times New Roman" w:cs="Times New Roman"/>
          <w:b/>
          <w:sz w:val="20"/>
        </w:rPr>
        <w:t xml:space="preserve">Critical Accounting Policies and Use of Estimates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prepare our financial statements in conformity with accounting principles generally accepted in the United States (“GAAP”). Certain of our accounting policies require that we apply significant judgment in defining the appropriate assumptions for calculating financial estimates. By their nature, these judgments will be subject to an inherent degree of uncertainty. Our judgments are based upon the historical experience of the Company, terms of existing contracts, observance of trends in the industry, information provided by our customers and information available from other outside sources, as appropriate. For a summary of our significant accounting policies, please refer to Note 1 — Company and Summary of Significant Accounting Policies included in Item 8 of this Annual Report. We consider accounting estimates to be critical accounting policies when: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16"/>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estimates involve matters that are highly uncertain at the time the accounting estimate is made; and</w:t>
      </w:r>
    </w:p>
    <w:p>
      <w:pPr>
        <w:keepNext w:val="0"/>
        <w:keepLines w:val="0"/>
        <w:pageBreakBefore w:val="0"/>
        <w:widowControl/>
        <w:numPr>
          <w:ilvl w:val="0"/>
          <w:numId w:val="16"/>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different estimates or changes to estimates could have a material impact on the reported financial position, changes in financial position, or results of operations.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When more than one accounting principle, or method of its application, is generally accepted, we select the principle or method that we consider to be the most appropriate when given the specific circumstances. Application of these accounting principles requires us to make estimates about the future resolution of existing uncertainties. Due to the inherent uncertainty involving estimates, actual results reported in the future may differ from our estimates. The following critical accounting policies are significantly affected by judgments, assumptions and estimates used in the preparation of the financial statements.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Accounts Receivable and Concentration of Credit Risk</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Accounts receivable are customer obligations due under normal trade terms. We consider an account to be delinquent when the customer has not paid its balance due by the associated due date. Uncollectibility of accounts receivable is not significant since most customers are bound by contract and are required to fund us for all the costs of an “opportunity,” defined as an order created by a marketer for a creator to develop or share content on behalf of a marketer. If a portion of the account balance is deemed uncollectible, we will either write-off the amount owed or provide a reserve based on our best estimate of the uncollectible portion of the account. Management estimates the collectibility of accounts by regularly evaluating individual customer receivables and considering a customer’s financial condition, credit history</w:t>
      </w:r>
      <w:r>
        <w:rPr>
          <w:rFonts w:ascii="Times New Roman" w:eastAsia="Times New Roman" w:hAnsi="Times New Roman" w:cs="Times New Roman"/>
          <w:sz w:val="20"/>
        </w:rPr>
        <w:t>,</w:t>
      </w:r>
      <w:r>
        <w:rPr>
          <w:rFonts w:ascii="Times New Roman" w:eastAsia="Times New Roman" w:hAnsi="Times New Roman" w:cs="Times New Roman"/>
          <w:sz w:val="20"/>
        </w:rPr>
        <w:t xml:space="preserve"> and current economic conditions. We have a reserve of </w:t>
      </w:r>
      <w:r>
        <w:rPr>
          <w:rFonts w:ascii="Times New Roman" w:eastAsia="Times New Roman" w:hAnsi="Times New Roman" w:cs="Times New Roman"/>
          <w:sz w:val="20"/>
        </w:rPr>
        <w:t>$155,000</w:t>
      </w:r>
      <w:r>
        <w:rPr>
          <w:rFonts w:ascii="Times New Roman" w:eastAsia="Times New Roman" w:hAnsi="Times New Roman" w:cs="Times New Roman"/>
          <w:sz w:val="20"/>
        </w:rPr>
        <w:t xml:space="preserve"> for doubtful accounts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We believe that this estimate is reasonable, but there can be no assurance that the estimate will not change as a result of a change in economic conditions or business conditions within the industry, the individual customers or our Company. Any adjustments to this account are reflected in the consolidated statements of operations as a general and administrative expense. Bad debt expense was less than 1% of revenue for each of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Concentrations of credit risk with respect to accounts receivable were typically limited, because a large number of geographically diverse customers make up our customer base, thus spreading the trade credit risk. However, with our acquisition of TapInfluence, we have increased credit exposure on certain customers who carry significant credit balances related to their Marketplace Spend. We control credit risk through credit approvals, credit limits</w:t>
      </w:r>
      <w:r>
        <w:rPr>
          <w:rFonts w:ascii="Times New Roman" w:eastAsia="Times New Roman" w:hAnsi="Times New Roman" w:cs="Times New Roman"/>
          <w:sz w:val="20"/>
        </w:rPr>
        <w:t>,</w:t>
      </w:r>
      <w:r>
        <w:rPr>
          <w:rFonts w:ascii="Times New Roman" w:eastAsia="Times New Roman" w:hAnsi="Times New Roman" w:cs="Times New Roman"/>
          <w:sz w:val="20"/>
        </w:rPr>
        <w:t xml:space="preserve"> and monitoring procedures. We perform credit evaluations of our customers, but generally do not require collateral to support accounts receivable. </w:t>
      </w:r>
      <w:r>
        <w:rPr>
          <w:rFonts w:ascii="Times New Roman" w:eastAsia="Times New Roman" w:hAnsi="Times New Roman" w:cs="Times New Roman"/>
          <w:sz w:val="20"/>
        </w:rPr>
        <w:t>We</w:t>
      </w:r>
      <w:r>
        <w:rPr>
          <w:rFonts w:ascii="Times New Roman" w:eastAsia="Times New Roman" w:hAnsi="Times New Roman" w:cs="Times New Roman"/>
          <w:sz w:val="20"/>
        </w:rPr>
        <w:t xml:space="preserve"> had </w:t>
      </w:r>
      <w:r>
        <w:rPr>
          <w:rFonts w:ascii="Times New Roman" w:eastAsia="Times New Roman" w:hAnsi="Times New Roman" w:cs="Times New Roman"/>
          <w:sz w:val="20"/>
        </w:rPr>
        <w:t>no</w:t>
      </w:r>
      <w:r>
        <w:rPr>
          <w:rFonts w:ascii="Times New Roman" w:eastAsia="Times New Roman" w:hAnsi="Times New Roman" w:cs="Times New Roman"/>
          <w:sz w:val="20"/>
        </w:rPr>
        <w:t xml:space="preserve"> customer</w:t>
      </w:r>
      <w:r>
        <w:rPr>
          <w:rFonts w:ascii="Times New Roman" w:eastAsia="Times New Roman" w:hAnsi="Times New Roman" w:cs="Times New Roman"/>
          <w:sz w:val="20"/>
        </w:rPr>
        <w:t xml:space="preserve"> that accounted for </w:t>
      </w:r>
      <w:r>
        <w:rPr>
          <w:rFonts w:ascii="Times New Roman" w:eastAsia="Times New Roman" w:hAnsi="Times New Roman" w:cs="Times New Roman"/>
          <w:sz w:val="20"/>
        </w:rPr>
        <w:t>more than 10%</w:t>
      </w:r>
      <w:r>
        <w:rPr>
          <w:rFonts w:ascii="Times New Roman" w:eastAsia="Times New Roman" w:hAnsi="Times New Roman" w:cs="Times New Roman"/>
          <w:sz w:val="20"/>
        </w:rPr>
        <w:t xml:space="preserve"> of total accounts receivable at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We had </w:t>
      </w:r>
      <w:r>
        <w:rPr>
          <w:rFonts w:ascii="Times New Roman" w:eastAsia="Times New Roman" w:hAnsi="Times New Roman" w:cs="Times New Roman"/>
          <w:sz w:val="20"/>
        </w:rPr>
        <w:t>one</w:t>
      </w:r>
      <w:r>
        <w:rPr>
          <w:rFonts w:ascii="Times New Roman" w:eastAsia="Times New Roman" w:hAnsi="Times New Roman" w:cs="Times New Roman"/>
          <w:sz w:val="20"/>
        </w:rPr>
        <w:t xml:space="preserve"> customer that accounted for </w:t>
      </w:r>
      <w:r>
        <w:rPr>
          <w:rFonts w:ascii="Times New Roman" w:eastAsia="Times New Roman" w:hAnsi="Times New Roman" w:cs="Times New Roman"/>
          <w:sz w:val="20"/>
        </w:rPr>
        <w:t>12%</w:t>
      </w:r>
      <w:r>
        <w:rPr>
          <w:rFonts w:ascii="Times New Roman" w:eastAsia="Times New Roman" w:hAnsi="Times New Roman" w:cs="Times New Roman"/>
          <w:sz w:val="20"/>
        </w:rPr>
        <w:t xml:space="preserve"> of our revenue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no</w:t>
      </w:r>
      <w:r>
        <w:rPr>
          <w:rFonts w:ascii="Times New Roman" w:eastAsia="Times New Roman" w:hAnsi="Times New Roman" w:cs="Times New Roman"/>
          <w:sz w:val="20"/>
        </w:rPr>
        <w:t xml:space="preserve"> customer that accounted for </w:t>
      </w:r>
      <w:r>
        <w:rPr>
          <w:rFonts w:ascii="Times New Roman" w:eastAsia="Times New Roman" w:hAnsi="Times New Roman" w:cs="Times New Roman"/>
          <w:sz w:val="20"/>
        </w:rPr>
        <w:t>more than 10%</w:t>
      </w:r>
      <w:r>
        <w:rPr>
          <w:rFonts w:ascii="Times New Roman" w:eastAsia="Times New Roman" w:hAnsi="Times New Roman" w:cs="Times New Roman"/>
          <w:sz w:val="20"/>
        </w:rPr>
        <w:t xml:space="preserve"> of our revenue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2019</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Software Development Costs and Acquired Intangible Software</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In accordance with Accounting Standards Codification (“ASC”) 350-40,</w:t>
      </w:r>
      <w:r>
        <w:rPr>
          <w:rFonts w:ascii="Times New Roman" w:eastAsia="Times New Roman" w:hAnsi="Times New Roman" w:cs="Times New Roman"/>
          <w:i/>
          <w:sz w:val="20"/>
        </w:rPr>
        <w:t xml:space="preserve"> Internal Use Software,</w:t>
      </w:r>
      <w:r>
        <w:rPr>
          <w:rFonts w:ascii="Times New Roman" w:eastAsia="Times New Roman" w:hAnsi="Times New Roman" w:cs="Times New Roman"/>
          <w:sz w:val="20"/>
        </w:rPr>
        <w:t xml:space="preserve"> we capitalize certain internal use software development costs associated with creating and enhancing internally developed software related to our platforms. Software development activities generally consist of three stages (i) the research and planning stage, (ii) the application and development stage, and (iii) the post-implementation stage. Costs incurred in the research and planning stage and in the post-implementation stage of software development, or other maintenance and development expenses that do not meet the qualification for capitalization, are expensed as incurred. Costs incurred in the application and infrastructure development stage, including significant enhancements and upgrades, are capitalized. These costs include personnel and related employee benefits expenses for employees or consultants who are directly associated with and who devote time to software projects, and external direct costs of materials obtained in developing the software. </w:t>
      </w:r>
      <w:r>
        <w:rPr>
          <w:rFonts w:ascii="Times New Roman" w:eastAsia="Times New Roman" w:hAnsi="Times New Roman" w:cs="Times New Roman"/>
          <w:sz w:val="20"/>
        </w:rPr>
        <w:t xml:space="preserve">We </w:t>
      </w:r>
      <w:r>
        <w:rPr>
          <w:rFonts w:ascii="Times New Roman" w:eastAsia="Times New Roman" w:hAnsi="Times New Roman" w:cs="Times New Roman"/>
          <w:sz w:val="20"/>
        </w:rPr>
        <w:t xml:space="preserve">also </w:t>
      </w:r>
      <w:r>
        <w:rPr>
          <w:rFonts w:ascii="Times New Roman" w:eastAsia="Times New Roman" w:hAnsi="Times New Roman" w:cs="Times New Roman"/>
          <w:sz w:val="20"/>
        </w:rPr>
        <w:t xml:space="preserve">capitalize certain costs associated with cloud computing arrangements ("CCAs"). </w:t>
      </w:r>
      <w:r>
        <w:rPr>
          <w:rFonts w:ascii="Times New Roman" w:eastAsia="Times New Roman" w:hAnsi="Times New Roman" w:cs="Times New Roman"/>
          <w:sz w:val="20"/>
        </w:rPr>
        <w:t xml:space="preserve">We have capitalized software development costs of </w:t>
      </w:r>
      <w:r>
        <w:rPr>
          <w:rFonts w:ascii="Times New Roman" w:eastAsia="Times New Roman" w:hAnsi="Times New Roman" w:cs="Times New Roman"/>
          <w:sz w:val="20"/>
        </w:rPr>
        <w:t>$3,036,810</w:t>
      </w:r>
      <w:r>
        <w:rPr>
          <w:rFonts w:ascii="Times New Roman" w:eastAsia="Times New Roman" w:hAnsi="Times New Roman" w:cs="Times New Roman"/>
          <w:sz w:val="20"/>
        </w:rPr>
        <w:t xml:space="preserve"> in the consolidated balance sheet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We also have additional proprietary software platforms valued at </w:t>
      </w:r>
      <w:r>
        <w:rPr>
          <w:rFonts w:ascii="Times New Roman" w:eastAsia="Times New Roman" w:hAnsi="Times New Roman" w:cs="Times New Roman"/>
          <w:sz w:val="20"/>
        </w:rPr>
        <w:t>$820,000</w:t>
      </w:r>
      <w:r>
        <w:rPr>
          <w:rFonts w:ascii="Times New Roman" w:eastAsia="Times New Roman" w:hAnsi="Times New Roman" w:cs="Times New Roman"/>
          <w:sz w:val="20"/>
        </w:rPr>
        <w:t xml:space="preserve"> from our acquisitions of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w:t>
      </w:r>
      <w:r>
        <w:rPr>
          <w:rFonts w:ascii="Times New Roman" w:eastAsia="Times New Roman" w:hAnsi="Times New Roman" w:cs="Times New Roman"/>
          <w:i/>
          <w:sz w:val="20"/>
        </w:rPr>
        <w:t>ZenContent</w:t>
      </w:r>
      <w:r>
        <w:rPr>
          <w:rFonts w:ascii="Times New Roman" w:eastAsia="Times New Roman" w:hAnsi="Times New Roman" w:cs="Times New Roman"/>
          <w:i/>
          <w:sz w:val="20"/>
        </w:rPr>
        <w:t>,</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These costs are reflected as intangible assets in the consolidated balance sheet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We do not transfer ownership of our software to third parties. These software development</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acquired technology </w:t>
      </w:r>
      <w:r>
        <w:rPr>
          <w:rFonts w:ascii="Times New Roman" w:eastAsia="Times New Roman" w:hAnsi="Times New Roman" w:cs="Times New Roman"/>
          <w:sz w:val="20"/>
        </w:rPr>
        <w:t xml:space="preserve">and CCA </w:t>
      </w:r>
      <w:r>
        <w:rPr>
          <w:rFonts w:ascii="Times New Roman" w:eastAsia="Times New Roman" w:hAnsi="Times New Roman" w:cs="Times New Roman"/>
          <w:sz w:val="20"/>
        </w:rPr>
        <w:t xml:space="preserve">costs </w:t>
      </w:r>
      <w:r>
        <w:rPr>
          <w:rFonts w:ascii="Times New Roman" w:eastAsia="Times New Roman" w:hAnsi="Times New Roman" w:cs="Times New Roman"/>
          <w:sz w:val="20"/>
        </w:rPr>
        <w:t>are amortized on a straight-line basis over the estimated useful life of five years upon initial release of the software or additional features.</w:t>
      </w:r>
      <w:r>
        <w:rPr>
          <w:rFonts w:ascii="Times New Roman" w:eastAsia="Times New Roman" w:hAnsi="Times New Roman" w:cs="Times New Roman"/>
          <w:sz w:val="20"/>
        </w:rPr>
        <w:t xml:space="preserve"> </w:t>
      </w:r>
      <w:r>
        <w:rPr>
          <w:rFonts w:ascii="Times New Roman" w:eastAsia="Times New Roman" w:hAnsi="Times New Roman" w:cs="Times New Roman"/>
          <w:sz w:val="20"/>
        </w:rPr>
        <w:t>We review the software development costs for impairment when circumstances indicate that their carrying amounts may not be recoverable. If the carrying value of an asset group is not recoverable, we recognize an impairment loss for the excess of carrying value over the fair value in our</w:t>
      </w:r>
      <w:r>
        <w:rPr>
          <w:rFonts w:ascii="Times New Roman" w:eastAsia="Times New Roman" w:hAnsi="Times New Roman" w:cs="Times New Roman"/>
          <w:sz w:val="20"/>
        </w:rPr>
        <w:t xml:space="preserve"> </w:t>
      </w:r>
      <w:r>
        <w:rPr>
          <w:rFonts w:ascii="Times New Roman" w:eastAsia="Times New Roman" w:hAnsi="Times New Roman" w:cs="Times New Roman"/>
          <w:sz w:val="20"/>
        </w:rPr>
        <w:t>consolidated statements of operations.</w:t>
      </w: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Goodwill and Business Combinations</w:t>
      </w: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Goodwill represents the excess of the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consideration </w:t>
      </w:r>
      <w:r>
        <w:rPr>
          <w:rFonts w:ascii="Times New Roman" w:eastAsia="Times New Roman" w:hAnsi="Times New Roman" w:cs="Times New Roman"/>
          <w:sz w:val="20"/>
        </w:rPr>
        <w:t>transferred for</w:t>
      </w:r>
      <w:r>
        <w:rPr>
          <w:rFonts w:ascii="Times New Roman" w:eastAsia="Times New Roman" w:hAnsi="Times New Roman" w:cs="Times New Roman"/>
          <w:sz w:val="20"/>
        </w:rPr>
        <w:t xml:space="preserve"> an acquired business over the fair value of the underlying </w:t>
      </w:r>
      <w:r>
        <w:rPr>
          <w:rFonts w:ascii="Times New Roman" w:eastAsia="Times New Roman" w:hAnsi="Times New Roman" w:cs="Times New Roman"/>
          <w:sz w:val="20"/>
        </w:rPr>
        <w:t>id</w:t>
      </w:r>
      <w:r>
        <w:rPr>
          <w:rFonts w:ascii="Times New Roman" w:eastAsia="Times New Roman" w:hAnsi="Times New Roman" w:cs="Times New Roman"/>
          <w:sz w:val="20"/>
        </w:rPr>
        <w:t>entifiable net</w:t>
      </w:r>
      <w:r>
        <w:rPr>
          <w:rFonts w:ascii="Times New Roman" w:eastAsia="Times New Roman" w:hAnsi="Times New Roman" w:cs="Times New Roman"/>
          <w:sz w:val="20"/>
        </w:rPr>
        <w:t xml:space="preserve"> assets. We have goodwill in connection with our acquisitions of Ebyline, ZenContent, and TapInfluence. Goodwill is not amortized, but instead it is tested for impairment at least annually. In the event that management determines that the value of goodwill has become impaired, we will record a charge for the amount of impairment during the fiscal quarter in which the determination is made.</w:t>
      </w: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w:t>
      </w:r>
      <w:r>
        <w:rPr>
          <w:rFonts w:ascii="Times New Roman" w:eastAsia="Times New Roman" w:hAnsi="Times New Roman" w:cs="Times New Roman"/>
          <w:sz w:val="20"/>
        </w:rPr>
        <w:t xml:space="preserve"> perform</w:t>
      </w:r>
      <w:r>
        <w:rPr>
          <w:rFonts w:ascii="Times New Roman" w:eastAsia="Times New Roman" w:hAnsi="Times New Roman" w:cs="Times New Roman"/>
          <w:sz w:val="20"/>
        </w:rPr>
        <w:t xml:space="preserve"> </w:t>
      </w:r>
      <w:r>
        <w:rPr>
          <w:rFonts w:ascii="Times New Roman" w:eastAsia="Times New Roman" w:hAnsi="Times New Roman" w:cs="Times New Roman"/>
          <w:sz w:val="20"/>
        </w:rPr>
        <w:t>our</w:t>
      </w:r>
      <w:r>
        <w:rPr>
          <w:rFonts w:ascii="Times New Roman" w:eastAsia="Times New Roman" w:hAnsi="Times New Roman" w:cs="Times New Roman"/>
          <w:sz w:val="20"/>
        </w:rPr>
        <w:t xml:space="preserve"> annual impairment tests of goodwill as of October 1 of each year, or more frequently, if certain indicators are present. For instance, in March 2020, </w:t>
      </w:r>
      <w:r>
        <w:rPr>
          <w:rFonts w:ascii="Times New Roman" w:eastAsia="Times New Roman" w:hAnsi="Times New Roman" w:cs="Times New Roman"/>
          <w:sz w:val="20"/>
        </w:rPr>
        <w:t>we</w:t>
      </w:r>
      <w:r>
        <w:rPr>
          <w:rFonts w:ascii="Times New Roman" w:eastAsia="Times New Roman" w:hAnsi="Times New Roman" w:cs="Times New Roman"/>
          <w:sz w:val="20"/>
        </w:rPr>
        <w:t xml:space="preserve"> identified triggering events, including the reduction in </w:t>
      </w:r>
      <w:r>
        <w:rPr>
          <w:rFonts w:ascii="Times New Roman" w:eastAsia="Times New Roman" w:hAnsi="Times New Roman" w:cs="Times New Roman"/>
          <w:sz w:val="20"/>
        </w:rPr>
        <w:t>our</w:t>
      </w:r>
      <w:r>
        <w:rPr>
          <w:rFonts w:ascii="Times New Roman" w:eastAsia="Times New Roman" w:hAnsi="Times New Roman" w:cs="Times New Roman"/>
          <w:sz w:val="20"/>
        </w:rPr>
        <w:t xml:space="preserve"> projected revenue due to adverse economic conditions caused by the COVID-19 pandemic, the continuation of a market capitalization below</w:t>
      </w:r>
      <w:r>
        <w:rPr>
          <w:rFonts w:ascii="Times New Roman" w:eastAsia="Times New Roman" w:hAnsi="Times New Roman" w:cs="Times New Roman"/>
          <w:sz w:val="20"/>
        </w:rPr>
        <w:t xml:space="preserve"> </w:t>
      </w:r>
      <w:r>
        <w:rPr>
          <w:rFonts w:ascii="Times New Roman" w:eastAsia="Times New Roman" w:hAnsi="Times New Roman" w:cs="Times New Roman"/>
          <w:sz w:val="20"/>
        </w:rPr>
        <w:t>our</w:t>
      </w:r>
      <w:r>
        <w:rPr>
          <w:rFonts w:ascii="Times New Roman" w:eastAsia="Times New Roman" w:hAnsi="Times New Roman" w:cs="Times New Roman"/>
          <w:sz w:val="20"/>
        </w:rPr>
        <w:t xml:space="preserve"> carrying value, and uncertainty for recovery given the volatility of the capital markets surrounding COVID-19. Therefore, </w:t>
      </w:r>
      <w:r>
        <w:rPr>
          <w:rFonts w:ascii="Times New Roman" w:eastAsia="Times New Roman" w:hAnsi="Times New Roman" w:cs="Times New Roman"/>
          <w:sz w:val="20"/>
        </w:rPr>
        <w:t>we</w:t>
      </w:r>
      <w:r>
        <w:rPr>
          <w:rFonts w:ascii="Times New Roman" w:eastAsia="Times New Roman" w:hAnsi="Times New Roman" w:cs="Times New Roman"/>
          <w:sz w:val="20"/>
        </w:rPr>
        <w:t xml:space="preserve"> performed an interim assessment of goodwill, </w:t>
      </w:r>
      <w:r>
        <w:rPr>
          <w:rFonts w:ascii="Times New Roman" w:eastAsia="Times New Roman" w:hAnsi="Times New Roman" w:cs="Times New Roman"/>
          <w:sz w:val="20"/>
        </w:rPr>
        <w:t xml:space="preserve">using the </w:t>
      </w:r>
      <w:r>
        <w:rPr>
          <w:rFonts w:ascii="Times New Roman" w:eastAsia="Times New Roman" w:hAnsi="Times New Roman" w:cs="Times New Roman"/>
          <w:sz w:val="20"/>
        </w:rPr>
        <w:t>discounted cash flow method under the income approach and the guideline transaction method under the market approach</w:t>
      </w:r>
      <w:r>
        <w:rPr>
          <w:rFonts w:ascii="Times New Roman" w:eastAsia="Times New Roman" w:hAnsi="Times New Roman" w:cs="Times New Roman"/>
          <w:sz w:val="20"/>
        </w:rPr>
        <w:t>,</w:t>
      </w:r>
      <w:r>
        <w:rPr>
          <w:rFonts w:ascii="Times New Roman" w:eastAsia="Times New Roman" w:hAnsi="Times New Roman" w:cs="Times New Roman"/>
          <w:sz w:val="20"/>
        </w:rPr>
        <w:t xml:space="preserve"> and determined that the carrying value of our Company’s reporting unit</w:t>
      </w:r>
      <w:r>
        <w:rPr>
          <w:rFonts w:ascii="Times New Roman" w:eastAsia="Times New Roman" w:hAnsi="Times New Roman" w:cs="Times New Roman"/>
          <w:sz w:val="20"/>
        </w:rPr>
        <w:t xml:space="preserve"> as of March 31, 2020 exceeded the fair value. </w:t>
      </w:r>
      <w:r>
        <w:rPr>
          <w:rFonts w:ascii="Times New Roman" w:eastAsia="Times New Roman" w:hAnsi="Times New Roman" w:cs="Times New Roman"/>
          <w:sz w:val="20"/>
        </w:rPr>
        <w:t xml:space="preserve">As a result of the March 2020 valuation, we recorded a </w:t>
      </w:r>
      <w:r>
        <w:rPr>
          <w:rFonts w:ascii="Times New Roman" w:eastAsia="Times New Roman" w:hAnsi="Times New Roman" w:cs="Times New Roman"/>
          <w:sz w:val="20"/>
        </w:rPr>
        <w:t>$4.3 million</w:t>
      </w:r>
      <w:r>
        <w:rPr>
          <w:rFonts w:ascii="Times New Roman" w:eastAsia="Times New Roman" w:hAnsi="Times New Roman" w:cs="Times New Roman"/>
          <w:sz w:val="20"/>
        </w:rPr>
        <w:t xml:space="preserve"> impairment of goodwill which is reflected as an expense in the consolidated statements of operations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Goodwill is required to be tested for impairment at the reporting unit level. A reporting unit is an operating segment or one level below the operating segment level, which is referred to as a component. Management identifies its reporting units by assessing whether components (i) have discrete financial information available; (ii) engage in business activities; and (iii) whether a segment manager regularly reviews the component's operating results. Net assets and goodwill of acquired businesses are allocated to the reporting unit associated with the acquired business based on the anticipated organizational structure of the combined entities. If two or more components are deemed economically similar, those components are aggregated into one reporting unit when performing the annual goodwill impairment review. </w:t>
      </w:r>
      <w:r>
        <w:rPr>
          <w:rFonts w:ascii="Times New Roman" w:eastAsia="Times New Roman" w:hAnsi="Times New Roman" w:cs="Times New Roman"/>
          <w:sz w:val="20"/>
        </w:rPr>
        <w:t>We have determined that we have one reporting unit.</w:t>
      </w:r>
    </w:p>
    <w:p>
      <w:pPr>
        <w:keepNext w:val="0"/>
        <w:keepLines/>
        <w:pageBreakBefore w:val="0"/>
        <w:widowControl w:val="0"/>
        <w:numPr>
          <w:ilvl w:val="0"/>
          <w:numId w:val="0"/>
        </w:numPr>
        <w:spacing w:before="120" w:after="0" w:line="288" w:lineRule="auto"/>
        <w:ind w:left="0" w:right="0" w:firstLine="720"/>
        <w:jc w:val="left"/>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Revenue Recognition</w:t>
      </w: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w:t>
      </w:r>
      <w:r>
        <w:rPr>
          <w:rFonts w:ascii="Times New Roman" w:eastAsia="Times New Roman" w:hAnsi="Times New Roman" w:cs="Times New Roman"/>
          <w:sz w:val="20"/>
        </w:rPr>
        <w:t xml:space="preserve"> historically generated revenue from five primary sources: (1) revenue from </w:t>
      </w:r>
      <w:r>
        <w:rPr>
          <w:rFonts w:ascii="Times New Roman" w:eastAsia="Times New Roman" w:hAnsi="Times New Roman" w:cs="Times New Roman"/>
          <w:sz w:val="20"/>
        </w:rPr>
        <w:t>our</w:t>
      </w:r>
      <w:r>
        <w:rPr>
          <w:rFonts w:ascii="Times New Roman" w:eastAsia="Times New Roman" w:hAnsi="Times New Roman" w:cs="Times New Roman"/>
          <w:sz w:val="20"/>
        </w:rPr>
        <w:t xml:space="preserve"> managed services when a marketer (typically a brand, agency or partner) pays </w:t>
      </w:r>
      <w:r>
        <w:rPr>
          <w:rFonts w:ascii="Times New Roman" w:eastAsia="Times New Roman" w:hAnsi="Times New Roman" w:cs="Times New Roman"/>
          <w:sz w:val="20"/>
        </w:rPr>
        <w:t>us</w:t>
      </w:r>
      <w:r>
        <w:rPr>
          <w:rFonts w:ascii="Times New Roman" w:eastAsia="Times New Roman" w:hAnsi="Times New Roman" w:cs="Times New Roman"/>
          <w:sz w:val="20"/>
        </w:rPr>
        <w:t xml:space="preserve"> to provide custom content, influencer marketing, amplification or other campaign management services (“Managed Services”); (2) revenue from fees charged to software customers on their marketplace spend within </w:t>
      </w:r>
      <w:r>
        <w:rPr>
          <w:rFonts w:ascii="Times New Roman" w:eastAsia="Times New Roman" w:hAnsi="Times New Roman" w:cs="Times New Roman"/>
          <w:sz w:val="20"/>
        </w:rPr>
        <w:t>our</w:t>
      </w:r>
      <w:r>
        <w:rPr>
          <w:rFonts w:ascii="Times New Roman" w:eastAsia="Times New Roman" w:hAnsi="Times New Roman" w:cs="Times New Roman"/>
          <w:sz w:val="20"/>
        </w:rPr>
        <w:t xml:space="preserve"> </w:t>
      </w:r>
      <w:r>
        <w:rPr>
          <w:rFonts w:ascii="Times New Roman" w:eastAsia="Times New Roman" w:hAnsi="Times New Roman" w:cs="Times New Roman"/>
          <w:i/>
          <w:sz w:val="20"/>
        </w:rPr>
        <w:t>IZEAx</w:t>
      </w:r>
      <w:r>
        <w:rPr>
          <w:rFonts w:ascii="Times New Roman" w:eastAsia="Times New Roman" w:hAnsi="Times New Roman" w:cs="Times New Roman"/>
          <w:i/>
          <w:sz w:val="20"/>
        </w:rPr>
        <w:t>, Shake</w:t>
      </w:r>
      <w:r>
        <w:rPr>
          <w:rFonts w:ascii="Times New Roman" w:eastAsia="Times New Roman" w:hAnsi="Times New Roman" w:cs="Times New Roman"/>
          <w:i/>
          <w:sz w:val="20"/>
        </w:rPr>
        <w:t>,</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platforms (“Marketplace Spend Fees”); (3) revenue from fees charged to access the </w:t>
      </w:r>
      <w:r>
        <w:rPr>
          <w:rFonts w:ascii="Times New Roman" w:eastAsia="Times New Roman" w:hAnsi="Times New Roman" w:cs="Times New Roman"/>
          <w:i/>
          <w:sz w:val="20"/>
        </w:rPr>
        <w:t xml:space="preserve">IZEAx, </w:t>
      </w:r>
      <w:r>
        <w:rPr>
          <w:rFonts w:ascii="Times New Roman" w:eastAsia="Times New Roman" w:hAnsi="Times New Roman" w:cs="Times New Roman"/>
          <w:i/>
          <w:sz w:val="20"/>
        </w:rPr>
        <w:t xml:space="preserve">BrandGraph,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platforms (“License Fees”); (4) revenue from transactions generated by the self-service use of </w:t>
      </w:r>
      <w:r>
        <w:rPr>
          <w:rFonts w:ascii="Times New Roman" w:eastAsia="Times New Roman" w:hAnsi="Times New Roman" w:cs="Times New Roman"/>
          <w:sz w:val="20"/>
        </w:rPr>
        <w:t>our</w:t>
      </w:r>
      <w:r>
        <w:rPr>
          <w:rFonts w:ascii="Times New Roman" w:eastAsia="Times New Roman" w:hAnsi="Times New Roman" w:cs="Times New Roman"/>
          <w:sz w:val="20"/>
        </w:rPr>
        <w:t xml:space="preserv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for professional custom content workflow (“Legacy Workflow Fees”); and (5) revenue derived from other fees such as inactivity fees, early cash-out fees, and subscription plan fees charged to users of</w:t>
      </w:r>
      <w:r>
        <w:rPr>
          <w:rFonts w:ascii="Times New Roman" w:eastAsia="Times New Roman" w:hAnsi="Times New Roman" w:cs="Times New Roman"/>
          <w:sz w:val="20"/>
        </w:rPr>
        <w:t xml:space="preserve"> </w:t>
      </w:r>
      <w:r>
        <w:rPr>
          <w:rFonts w:ascii="Times New Roman" w:eastAsia="Times New Roman" w:hAnsi="Times New Roman" w:cs="Times New Roman"/>
          <w:sz w:val="20"/>
        </w:rPr>
        <w:t>our</w:t>
      </w:r>
      <w:r>
        <w:rPr>
          <w:rFonts w:ascii="Times New Roman" w:eastAsia="Times New Roman" w:hAnsi="Times New Roman" w:cs="Times New Roman"/>
          <w:sz w:val="20"/>
        </w:rPr>
        <w:t xml:space="preserve"> platforms (“Other”). After the migration of the last customers from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in December 2019, there is </w:t>
      </w:r>
      <w:r>
        <w:rPr>
          <w:rFonts w:ascii="Times New Roman" w:eastAsia="Times New Roman" w:hAnsi="Times New Roman" w:cs="Times New Roman"/>
          <w:sz w:val="20"/>
        </w:rPr>
        <w:t>no</w:t>
      </w:r>
      <w:r>
        <w:rPr>
          <w:rFonts w:ascii="Times New Roman" w:eastAsia="Times New Roman" w:hAnsi="Times New Roman" w:cs="Times New Roman"/>
          <w:sz w:val="20"/>
        </w:rPr>
        <w:t xml:space="preserve"> longer any revenue generated from Legacy Workflow Fees and all such revenue is reported as Marketplace Spend Fees under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platform.</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w:t>
      </w:r>
      <w:r>
        <w:rPr>
          <w:rFonts w:ascii="Times New Roman" w:eastAsia="Times New Roman" w:hAnsi="Times New Roman" w:cs="Times New Roman"/>
          <w:sz w:val="20"/>
        </w:rPr>
        <w:t xml:space="preserve"> recognize</w:t>
      </w:r>
      <w:r>
        <w:rPr>
          <w:rFonts w:ascii="Times New Roman" w:eastAsia="Times New Roman" w:hAnsi="Times New Roman" w:cs="Times New Roman"/>
          <w:sz w:val="20"/>
        </w:rPr>
        <w:t xml:space="preserve"> revenue in accordance with Accounting Standards Codification Topic 606, </w:t>
      </w:r>
      <w:r>
        <w:rPr>
          <w:rFonts w:ascii="Times New Roman" w:eastAsia="Times New Roman" w:hAnsi="Times New Roman" w:cs="Times New Roman"/>
          <w:i/>
          <w:sz w:val="20"/>
        </w:rPr>
        <w:t xml:space="preserve">Revenue from Contracts with Customers </w:t>
      </w:r>
      <w:r>
        <w:rPr>
          <w:rFonts w:ascii="Times New Roman" w:eastAsia="Times New Roman" w:hAnsi="Times New Roman" w:cs="Times New Roman"/>
          <w:sz w:val="20"/>
        </w:rPr>
        <w:t xml:space="preserve">(“ASC 606”). Under ASC 606, revenue is recognized based on a five-step model as follows: (i) identify the contract with the customer; (ii) identify the performance obligations in the contract; (iii) determine the transaction price; (iv) allocate the transaction price to the performance obligations in the contract; and (v) recognize revenue when (or as) performance obligations are satisfied. The core principle of ASC 606 is that revenue is recognized when the transfer of promised goods or services to customers is made in an amount that reflects the consideration to which the entity expects to be entitled in exchange for those goods or services. </w:t>
      </w:r>
      <w:r>
        <w:rPr>
          <w:rFonts w:ascii="Times New Roman" w:eastAsia="Times New Roman" w:hAnsi="Times New Roman" w:cs="Times New Roman"/>
          <w:sz w:val="20"/>
        </w:rPr>
        <w:t>We</w:t>
      </w:r>
      <w:r>
        <w:rPr>
          <w:rFonts w:ascii="Times New Roman" w:eastAsia="Times New Roman" w:hAnsi="Times New Roman" w:cs="Times New Roman"/>
          <w:sz w:val="20"/>
        </w:rPr>
        <w:t xml:space="preserve"> appl</w:t>
      </w:r>
      <w:r>
        <w:rPr>
          <w:rFonts w:ascii="Times New Roman" w:eastAsia="Times New Roman" w:hAnsi="Times New Roman" w:cs="Times New Roman"/>
          <w:sz w:val="20"/>
        </w:rPr>
        <w:t>y</w:t>
      </w:r>
      <w:r>
        <w:rPr>
          <w:rFonts w:ascii="Times New Roman" w:eastAsia="Times New Roman" w:hAnsi="Times New Roman" w:cs="Times New Roman"/>
          <w:sz w:val="20"/>
        </w:rPr>
        <w:t xml:space="preserve"> the five-step model to contracts when it is probable that it will collect the consideration it is entitled to in exchange for the goods or services it transfers to the customer. At contract inception, once the contract is determined to be within the scope of ASC 606, </w:t>
      </w:r>
      <w:r>
        <w:rPr>
          <w:rFonts w:ascii="Times New Roman" w:eastAsia="Times New Roman" w:hAnsi="Times New Roman" w:cs="Times New Roman"/>
          <w:sz w:val="20"/>
        </w:rPr>
        <w:t>we</w:t>
      </w:r>
      <w:r>
        <w:rPr>
          <w:rFonts w:ascii="Times New Roman" w:eastAsia="Times New Roman" w:hAnsi="Times New Roman" w:cs="Times New Roman"/>
          <w:sz w:val="20"/>
        </w:rPr>
        <w:t xml:space="preserve"> asses</w:t>
      </w:r>
      <w:r>
        <w:rPr>
          <w:rFonts w:ascii="Times New Roman" w:eastAsia="Times New Roman" w:hAnsi="Times New Roman" w:cs="Times New Roman"/>
          <w:sz w:val="20"/>
        </w:rPr>
        <w:t>s the goods or services promised within each contract and determine</w:t>
      </w:r>
      <w:r>
        <w:rPr>
          <w:rFonts w:ascii="Times New Roman" w:eastAsia="Times New Roman" w:hAnsi="Times New Roman" w:cs="Times New Roman"/>
          <w:sz w:val="20"/>
        </w:rPr>
        <w:t xml:space="preserve"> those that are distinct performance obligations. </w:t>
      </w:r>
      <w:r>
        <w:rPr>
          <w:rFonts w:ascii="Times New Roman" w:eastAsia="Times New Roman" w:hAnsi="Times New Roman" w:cs="Times New Roman"/>
          <w:sz w:val="20"/>
        </w:rPr>
        <w:t>We</w:t>
      </w:r>
      <w:r>
        <w:rPr>
          <w:rFonts w:ascii="Times New Roman" w:eastAsia="Times New Roman" w:hAnsi="Times New Roman" w:cs="Times New Roman"/>
          <w:sz w:val="20"/>
        </w:rPr>
        <w:t xml:space="preserve"> also determine</w:t>
      </w:r>
      <w:r>
        <w:rPr>
          <w:rFonts w:ascii="Times New Roman" w:eastAsia="Times New Roman" w:hAnsi="Times New Roman" w:cs="Times New Roman"/>
          <w:sz w:val="20"/>
        </w:rPr>
        <w:t xml:space="preserve"> whether </w:t>
      </w:r>
      <w:r>
        <w:rPr>
          <w:rFonts w:ascii="Times New Roman" w:eastAsia="Times New Roman" w:hAnsi="Times New Roman" w:cs="Times New Roman"/>
          <w:sz w:val="20"/>
        </w:rPr>
        <w:t xml:space="preserve">we </w:t>
      </w:r>
      <w:r>
        <w:rPr>
          <w:rFonts w:ascii="Times New Roman" w:eastAsia="Times New Roman" w:hAnsi="Times New Roman" w:cs="Times New Roman"/>
          <w:sz w:val="20"/>
        </w:rPr>
        <w:t>act</w:t>
      </w:r>
      <w:r>
        <w:rPr>
          <w:rFonts w:ascii="Times New Roman" w:eastAsia="Times New Roman" w:hAnsi="Times New Roman" w:cs="Times New Roman"/>
          <w:sz w:val="20"/>
        </w:rPr>
        <w:t xml:space="preserve"> as an agent or a principal for each identified performance obligation. The determination of whether </w:t>
      </w:r>
      <w:r>
        <w:rPr>
          <w:rFonts w:ascii="Times New Roman" w:eastAsia="Times New Roman" w:hAnsi="Times New Roman" w:cs="Times New Roman"/>
          <w:sz w:val="20"/>
        </w:rPr>
        <w:t>we</w:t>
      </w:r>
      <w:r>
        <w:rPr>
          <w:rFonts w:ascii="Times New Roman" w:eastAsia="Times New Roman" w:hAnsi="Times New Roman" w:cs="Times New Roman"/>
          <w:sz w:val="20"/>
        </w:rPr>
        <w:t xml:space="preserve"> act</w:t>
      </w:r>
      <w:r>
        <w:rPr>
          <w:rFonts w:ascii="Times New Roman" w:eastAsia="Times New Roman" w:hAnsi="Times New Roman" w:cs="Times New Roman"/>
          <w:sz w:val="20"/>
        </w:rPr>
        <w:t xml:space="preserve"> as the principal or the agent is highly subjective and requires </w:t>
      </w:r>
      <w:r>
        <w:rPr>
          <w:rFonts w:ascii="Times New Roman" w:eastAsia="Times New Roman" w:hAnsi="Times New Roman" w:cs="Times New Roman"/>
          <w:sz w:val="20"/>
        </w:rPr>
        <w:t>us</w:t>
      </w:r>
      <w:r>
        <w:rPr>
          <w:rFonts w:ascii="Times New Roman" w:eastAsia="Times New Roman" w:hAnsi="Times New Roman" w:cs="Times New Roman"/>
          <w:sz w:val="20"/>
        </w:rPr>
        <w:t xml:space="preserve"> to evaluate a number of indicators individually and as a whole in order to make </w:t>
      </w:r>
      <w:r>
        <w:rPr>
          <w:rFonts w:ascii="Times New Roman" w:eastAsia="Times New Roman" w:hAnsi="Times New Roman" w:cs="Times New Roman"/>
          <w:sz w:val="20"/>
        </w:rPr>
        <w:t>our</w:t>
      </w:r>
      <w:r>
        <w:rPr>
          <w:rFonts w:ascii="Times New Roman" w:eastAsia="Times New Roman" w:hAnsi="Times New Roman" w:cs="Times New Roman"/>
          <w:sz w:val="20"/>
        </w:rPr>
        <w:t xml:space="preserve"> determination</w:t>
      </w:r>
      <w:r>
        <w:rPr>
          <w:rFonts w:ascii="Times New Roman" w:eastAsia="Times New Roman" w:hAnsi="Times New Roman" w:cs="Times New Roman"/>
          <w:sz w:val="22"/>
        </w:rPr>
        <w:t xml:space="preserve">. </w:t>
      </w:r>
      <w:r>
        <w:rPr>
          <w:rFonts w:ascii="Times New Roman" w:eastAsia="Times New Roman" w:hAnsi="Times New Roman" w:cs="Times New Roman"/>
          <w:sz w:val="20"/>
        </w:rPr>
        <w:t xml:space="preserve">For transactions in which </w:t>
      </w:r>
      <w:r>
        <w:rPr>
          <w:rFonts w:ascii="Times New Roman" w:eastAsia="Times New Roman" w:hAnsi="Times New Roman" w:cs="Times New Roman"/>
          <w:sz w:val="20"/>
        </w:rPr>
        <w:t>we</w:t>
      </w:r>
      <w:r>
        <w:rPr>
          <w:rFonts w:ascii="Times New Roman" w:eastAsia="Times New Roman" w:hAnsi="Times New Roman" w:cs="Times New Roman"/>
          <w:sz w:val="20"/>
        </w:rPr>
        <w:t xml:space="preserve"> act</w:t>
      </w:r>
      <w:r>
        <w:rPr>
          <w:rFonts w:ascii="Times New Roman" w:eastAsia="Times New Roman" w:hAnsi="Times New Roman" w:cs="Times New Roman"/>
          <w:sz w:val="20"/>
        </w:rPr>
        <w:t xml:space="preserve"> as a principal, revenue is reported on a gross basis as the amount paid by the marketer for the purchase of content or sponsorship, promotion and other related services and </w:t>
      </w:r>
      <w:r>
        <w:rPr>
          <w:rFonts w:ascii="Times New Roman" w:eastAsia="Times New Roman" w:hAnsi="Times New Roman" w:cs="Times New Roman"/>
          <w:sz w:val="20"/>
        </w:rPr>
        <w:t>we</w:t>
      </w:r>
      <w:r>
        <w:rPr>
          <w:rFonts w:ascii="Times New Roman" w:eastAsia="Times New Roman" w:hAnsi="Times New Roman" w:cs="Times New Roman"/>
          <w:sz w:val="20"/>
        </w:rPr>
        <w:t xml:space="preserve"> record</w:t>
      </w:r>
      <w:r>
        <w:rPr>
          <w:rFonts w:ascii="Times New Roman" w:eastAsia="Times New Roman" w:hAnsi="Times New Roman" w:cs="Times New Roman"/>
          <w:sz w:val="20"/>
        </w:rPr>
        <w:t xml:space="preserve"> the amounts </w:t>
      </w:r>
      <w:r>
        <w:rPr>
          <w:rFonts w:ascii="Times New Roman" w:eastAsia="Times New Roman" w:hAnsi="Times New Roman" w:cs="Times New Roman"/>
          <w:sz w:val="20"/>
        </w:rPr>
        <w:t>we</w:t>
      </w:r>
      <w:r>
        <w:rPr>
          <w:rFonts w:ascii="Times New Roman" w:eastAsia="Times New Roman" w:hAnsi="Times New Roman" w:cs="Times New Roman"/>
          <w:sz w:val="20"/>
        </w:rPr>
        <w:t xml:space="preserve"> pay</w:t>
      </w:r>
      <w:r>
        <w:rPr>
          <w:rFonts w:ascii="Times New Roman" w:eastAsia="Times New Roman" w:hAnsi="Times New Roman" w:cs="Times New Roman"/>
          <w:sz w:val="20"/>
        </w:rPr>
        <w:t xml:space="preserve"> to third-party creators as cost of revenue. For transactions in which </w:t>
      </w:r>
      <w:r>
        <w:rPr>
          <w:rFonts w:ascii="Times New Roman" w:eastAsia="Times New Roman" w:hAnsi="Times New Roman" w:cs="Times New Roman"/>
          <w:sz w:val="20"/>
        </w:rPr>
        <w:t>we</w:t>
      </w:r>
      <w:r>
        <w:rPr>
          <w:rFonts w:ascii="Times New Roman" w:eastAsia="Times New Roman" w:hAnsi="Times New Roman" w:cs="Times New Roman"/>
          <w:sz w:val="20"/>
        </w:rPr>
        <w:t xml:space="preserve"> act</w:t>
      </w:r>
      <w:r>
        <w:rPr>
          <w:rFonts w:ascii="Times New Roman" w:eastAsia="Times New Roman" w:hAnsi="Times New Roman" w:cs="Times New Roman"/>
          <w:sz w:val="20"/>
        </w:rPr>
        <w:t xml:space="preserve"> as an agent, revenue is reported on a net basis as the amount</w:t>
      </w:r>
      <w:r>
        <w:rPr>
          <w:rFonts w:ascii="Times New Roman" w:eastAsia="Times New Roman" w:hAnsi="Times New Roman" w:cs="Times New Roman"/>
          <w:sz w:val="20"/>
        </w:rPr>
        <w:t xml:space="preserve"> </w:t>
      </w:r>
      <w:r>
        <w:rPr>
          <w:rFonts w:ascii="Times New Roman" w:eastAsia="Times New Roman" w:hAnsi="Times New Roman" w:cs="Times New Roman"/>
          <w:sz w:val="20"/>
        </w:rPr>
        <w:t>we</w:t>
      </w:r>
      <w:r>
        <w:rPr>
          <w:rFonts w:ascii="Times New Roman" w:eastAsia="Times New Roman" w:hAnsi="Times New Roman" w:cs="Times New Roman"/>
          <w:sz w:val="20"/>
        </w:rPr>
        <w:t xml:space="preserve"> charged to the self-service marketer using </w:t>
      </w:r>
      <w:r>
        <w:rPr>
          <w:rFonts w:ascii="Times New Roman" w:eastAsia="Times New Roman" w:hAnsi="Times New Roman" w:cs="Times New Roman"/>
          <w:sz w:val="20"/>
        </w:rPr>
        <w:t>our</w:t>
      </w:r>
      <w:r>
        <w:rPr>
          <w:rFonts w:ascii="Times New Roman" w:eastAsia="Times New Roman" w:hAnsi="Times New Roman" w:cs="Times New Roman"/>
          <w:sz w:val="20"/>
        </w:rPr>
        <w:t xml:space="preserve"> platforms, less the amounts paid to the third-party creators providing the service.</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w:t>
      </w:r>
      <w:r>
        <w:rPr>
          <w:rFonts w:ascii="Times New Roman" w:eastAsia="Times New Roman" w:hAnsi="Times New Roman" w:cs="Times New Roman"/>
          <w:sz w:val="20"/>
        </w:rPr>
        <w:t xml:space="preserve"> maintain</w:t>
      </w:r>
      <w:r>
        <w:rPr>
          <w:rFonts w:ascii="Times New Roman" w:eastAsia="Times New Roman" w:hAnsi="Times New Roman" w:cs="Times New Roman"/>
          <w:sz w:val="20"/>
        </w:rPr>
        <w:t xml:space="preserve"> separate arrangements with each marketer and content creator either in the form of a master agreement or terms of service, which specify the terms of the relationship and access to its platforms, or by statement of work, which specifies the price and the services to be performed, along with other terms. The transaction price is determined based on the fixed fee stated in the statement of work and does not contain variable consideration. Marketers who contract with </w:t>
      </w:r>
      <w:r>
        <w:rPr>
          <w:rFonts w:ascii="Times New Roman" w:eastAsia="Times New Roman" w:hAnsi="Times New Roman" w:cs="Times New Roman"/>
          <w:sz w:val="20"/>
        </w:rPr>
        <w:t>us</w:t>
      </w:r>
      <w:r>
        <w:rPr>
          <w:rFonts w:ascii="Times New Roman" w:eastAsia="Times New Roman" w:hAnsi="Times New Roman" w:cs="Times New Roman"/>
          <w:sz w:val="20"/>
        </w:rPr>
        <w:t xml:space="preserve"> to manage their advertising campaigns or custom content requests may prepay for services or request credit terms. Payment terms are typically </w:t>
      </w:r>
      <w:r>
        <w:rPr>
          <w:rFonts w:ascii="Times New Roman" w:eastAsia="Times New Roman" w:hAnsi="Times New Roman" w:cs="Times New Roman"/>
          <w:sz w:val="20"/>
        </w:rPr>
        <w:t>30</w:t>
      </w:r>
      <w:r>
        <w:rPr>
          <w:rFonts w:ascii="Times New Roman" w:eastAsia="Times New Roman" w:hAnsi="Times New Roman" w:cs="Times New Roman"/>
          <w:sz w:val="20"/>
        </w:rPr>
        <w:t xml:space="preserve"> days from the invoice date. The agreement typically provides for either a non-refundable deposit, or a cancellation fee if the agreement is canceled by the customer prior to completion of services. Billings in advance of completed services are recorded as a contract liability until earned. </w:t>
      </w:r>
      <w:r>
        <w:rPr>
          <w:rFonts w:ascii="Times New Roman" w:eastAsia="Times New Roman" w:hAnsi="Times New Roman" w:cs="Times New Roman"/>
          <w:sz w:val="20"/>
        </w:rPr>
        <w:t>We</w:t>
      </w:r>
      <w:r>
        <w:rPr>
          <w:rFonts w:ascii="Times New Roman" w:eastAsia="Times New Roman" w:hAnsi="Times New Roman" w:cs="Times New Roman"/>
          <w:sz w:val="20"/>
        </w:rPr>
        <w:t xml:space="preserve"> assess</w:t>
      </w:r>
      <w:r>
        <w:rPr>
          <w:rFonts w:ascii="Times New Roman" w:eastAsia="Times New Roman" w:hAnsi="Times New Roman" w:cs="Times New Roman"/>
          <w:sz w:val="20"/>
        </w:rPr>
        <w:t xml:space="preserve"> collectibility based on a number of factors, including the creditworthiness of the customer and payment and transaction history.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b/>
          <w:i/>
          <w:sz w:val="20"/>
        </w:rPr>
        <w:t>Managed Services Revenue</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For Managed Services Revenue, </w:t>
      </w:r>
      <w:r>
        <w:rPr>
          <w:rFonts w:ascii="Times New Roman" w:eastAsia="Times New Roman" w:hAnsi="Times New Roman" w:cs="Times New Roman"/>
          <w:sz w:val="20"/>
        </w:rPr>
        <w:t>we</w:t>
      </w:r>
      <w:r>
        <w:rPr>
          <w:rFonts w:ascii="Times New Roman" w:eastAsia="Times New Roman" w:hAnsi="Times New Roman" w:cs="Times New Roman"/>
          <w:sz w:val="20"/>
        </w:rPr>
        <w:t xml:space="preserve"> enter</w:t>
      </w:r>
      <w:r>
        <w:rPr>
          <w:rFonts w:ascii="Times New Roman" w:eastAsia="Times New Roman" w:hAnsi="Times New Roman" w:cs="Times New Roman"/>
          <w:sz w:val="20"/>
        </w:rPr>
        <w:t xml:space="preserve"> into an agreement to provide services that may include multiple distinct performance obligations in the form of: (i) an integrated marketing campaign to provide influencer marketing services, which may include the provision of blogs, tweets, photos or videos shared through social network offerings and content promotion, such as click-through advertisements appearing in websites and social media channels; and (ii) custom content items, such as a research or news article, informational material or videos. Marketers typically purchase influencer marketing services for the purpose of providing public awareness or advertising buzz regarding the marketer’s brand and they purchase custom content for internal and external use. </w:t>
      </w:r>
      <w:r>
        <w:rPr>
          <w:rFonts w:ascii="Times New Roman" w:eastAsia="Times New Roman" w:hAnsi="Times New Roman" w:cs="Times New Roman"/>
          <w:sz w:val="20"/>
        </w:rPr>
        <w:t>We</w:t>
      </w:r>
      <w:r>
        <w:rPr>
          <w:rFonts w:ascii="Times New Roman" w:eastAsia="Times New Roman" w:hAnsi="Times New Roman" w:cs="Times New Roman"/>
          <w:sz w:val="20"/>
        </w:rPr>
        <w:t xml:space="preserve"> may provide one type or a combination of all types of these performance obligations on a statement of work for a lump sum fee. </w:t>
      </w:r>
      <w:r>
        <w:rPr>
          <w:rFonts w:ascii="Times New Roman" w:eastAsia="Times New Roman" w:hAnsi="Times New Roman" w:cs="Times New Roman"/>
          <w:sz w:val="20"/>
        </w:rPr>
        <w:t xml:space="preserve">We </w:t>
      </w:r>
      <w:r>
        <w:rPr>
          <w:rFonts w:ascii="Times New Roman" w:eastAsia="Times New Roman" w:hAnsi="Times New Roman" w:cs="Times New Roman"/>
          <w:sz w:val="20"/>
        </w:rPr>
        <w:t>allocate</w:t>
      </w:r>
      <w:r>
        <w:rPr>
          <w:rFonts w:ascii="Times New Roman" w:eastAsia="Times New Roman" w:hAnsi="Times New Roman" w:cs="Times New Roman"/>
          <w:sz w:val="20"/>
        </w:rPr>
        <w:t xml:space="preserve"> revenue to each performance obligation in the contract at inception based on its relative standalone selling price. These performance obligations are to be provided over a stated period that generally ranges from one day to one year. Revenue is accounted for when the performance obligation has been satisfied depending on the type of service provided. </w:t>
      </w:r>
      <w:r>
        <w:rPr>
          <w:rFonts w:ascii="Times New Roman" w:eastAsia="Times New Roman" w:hAnsi="Times New Roman" w:cs="Times New Roman"/>
          <w:sz w:val="20"/>
        </w:rPr>
        <w:t>We</w:t>
      </w:r>
      <w:r>
        <w:rPr>
          <w:rFonts w:ascii="Times New Roman" w:eastAsia="Times New Roman" w:hAnsi="Times New Roman" w:cs="Times New Roman"/>
          <w:sz w:val="20"/>
        </w:rPr>
        <w:t xml:space="preserve"> view</w:t>
      </w:r>
      <w:r>
        <w:rPr>
          <w:rFonts w:ascii="Times New Roman" w:eastAsia="Times New Roman" w:hAnsi="Times New Roman" w:cs="Times New Roman"/>
          <w:sz w:val="20"/>
        </w:rPr>
        <w:t xml:space="preserve"> </w:t>
      </w:r>
      <w:r>
        <w:rPr>
          <w:rFonts w:ascii="Times New Roman" w:eastAsia="Times New Roman" w:hAnsi="Times New Roman" w:cs="Times New Roman"/>
          <w:sz w:val="20"/>
        </w:rPr>
        <w:t>our</w:t>
      </w:r>
      <w:r>
        <w:rPr>
          <w:rFonts w:ascii="Times New Roman" w:eastAsia="Times New Roman" w:hAnsi="Times New Roman" w:cs="Times New Roman"/>
          <w:sz w:val="20"/>
        </w:rPr>
        <w:t xml:space="preserve"> obligation to deliver influencer marketing services, including management services, as a single performance obligation that is satisfied over time as the customer receives the benefits from the services. Revenue is recognized using an input method of costs incurred compared to total expected costs to measure the progress towards satisfying the overall performance obligation of the marketing campaign. The delivery of custom content represents a distinct performance obligation that is satisfied over time as</w:t>
      </w:r>
      <w:r>
        <w:rPr>
          <w:rFonts w:ascii="Times New Roman" w:eastAsia="Times New Roman" w:hAnsi="Times New Roman" w:cs="Times New Roman"/>
          <w:sz w:val="20"/>
        </w:rPr>
        <w:t xml:space="preserve"> </w:t>
      </w:r>
      <w:r>
        <w:rPr>
          <w:rFonts w:ascii="Times New Roman" w:eastAsia="Times New Roman" w:hAnsi="Times New Roman" w:cs="Times New Roman"/>
          <w:sz w:val="20"/>
        </w:rPr>
        <w:t>we have</w:t>
      </w:r>
      <w:r>
        <w:rPr>
          <w:rFonts w:ascii="Times New Roman" w:eastAsia="Times New Roman" w:hAnsi="Times New Roman" w:cs="Times New Roman"/>
          <w:sz w:val="20"/>
        </w:rPr>
        <w:t xml:space="preserve"> no alternative for the custom content</w:t>
      </w:r>
      <w:r>
        <w:rPr>
          <w:rFonts w:ascii="Times New Roman" w:eastAsia="Times New Roman" w:hAnsi="Times New Roman" w:cs="Times New Roman"/>
          <w:sz w:val="20"/>
        </w:rPr>
        <w:t>,</w:t>
      </w:r>
      <w:r>
        <w:rPr>
          <w:rFonts w:ascii="Times New Roman" w:eastAsia="Times New Roman" w:hAnsi="Times New Roman" w:cs="Times New Roman"/>
          <w:sz w:val="20"/>
        </w:rPr>
        <w:t xml:space="preserve"> and </w:t>
      </w:r>
      <w:r>
        <w:rPr>
          <w:rFonts w:ascii="Times New Roman" w:eastAsia="Times New Roman" w:hAnsi="Times New Roman" w:cs="Times New Roman"/>
          <w:sz w:val="20"/>
        </w:rPr>
        <w:t>we have</w:t>
      </w:r>
      <w:r>
        <w:rPr>
          <w:rFonts w:ascii="Times New Roman" w:eastAsia="Times New Roman" w:hAnsi="Times New Roman" w:cs="Times New Roman"/>
          <w:sz w:val="20"/>
        </w:rPr>
        <w:t xml:space="preserve"> an enforceable right to payment for performance completed to date under the contracts. </w:t>
      </w:r>
      <w:r>
        <w:rPr>
          <w:rFonts w:ascii="Times New Roman" w:eastAsia="Times New Roman" w:hAnsi="Times New Roman" w:cs="Times New Roman"/>
          <w:sz w:val="20"/>
        </w:rPr>
        <w:t>We</w:t>
      </w:r>
      <w:r>
        <w:rPr>
          <w:rFonts w:ascii="Times New Roman" w:eastAsia="Times New Roman" w:hAnsi="Times New Roman" w:cs="Times New Roman"/>
          <w:sz w:val="20"/>
        </w:rPr>
        <w:t xml:space="preserve"> consider</w:t>
      </w:r>
      <w:r>
        <w:rPr>
          <w:rFonts w:ascii="Times New Roman" w:eastAsia="Times New Roman" w:hAnsi="Times New Roman" w:cs="Times New Roman"/>
          <w:sz w:val="20"/>
        </w:rPr>
        <w:t xml:space="preserve"> custom content to be a series of distinct services that are substantially the same and that have the same pattern of transfer to the customer, and revenue is recognized over time using an output method based on when each individual piece of content is delivered to the customer. Based on </w:t>
      </w:r>
      <w:r>
        <w:rPr>
          <w:rFonts w:ascii="Times New Roman" w:eastAsia="Times New Roman" w:hAnsi="Times New Roman" w:cs="Times New Roman"/>
          <w:sz w:val="20"/>
        </w:rPr>
        <w:t xml:space="preserve">our </w:t>
      </w:r>
      <w:r>
        <w:rPr>
          <w:rFonts w:ascii="Times New Roman" w:eastAsia="Times New Roman" w:hAnsi="Times New Roman" w:cs="Times New Roman"/>
          <w:sz w:val="20"/>
        </w:rPr>
        <w:t xml:space="preserve">evaluations, revenue from Managed Services is reported on a gross basis because </w:t>
      </w:r>
      <w:r>
        <w:rPr>
          <w:rFonts w:ascii="Times New Roman" w:eastAsia="Times New Roman" w:hAnsi="Times New Roman" w:cs="Times New Roman"/>
          <w:sz w:val="20"/>
        </w:rPr>
        <w:t>we</w:t>
      </w:r>
      <w:r>
        <w:rPr>
          <w:rFonts w:ascii="Times New Roman" w:eastAsia="Times New Roman" w:hAnsi="Times New Roman" w:cs="Times New Roman"/>
          <w:sz w:val="20"/>
        </w:rPr>
        <w:t xml:space="preserve"> ha</w:t>
      </w:r>
      <w:r>
        <w:rPr>
          <w:rFonts w:ascii="Times New Roman" w:eastAsia="Times New Roman" w:hAnsi="Times New Roman" w:cs="Times New Roman"/>
          <w:sz w:val="20"/>
        </w:rPr>
        <w:t>ve</w:t>
      </w:r>
      <w:r>
        <w:rPr>
          <w:rFonts w:ascii="Times New Roman" w:eastAsia="Times New Roman" w:hAnsi="Times New Roman" w:cs="Times New Roman"/>
          <w:sz w:val="20"/>
        </w:rPr>
        <w:t xml:space="preserve"> the primary obligation to fulfill the performance obligations and </w:t>
      </w:r>
      <w:r>
        <w:rPr>
          <w:rFonts w:ascii="Times New Roman" w:eastAsia="Times New Roman" w:hAnsi="Times New Roman" w:cs="Times New Roman"/>
          <w:sz w:val="20"/>
        </w:rPr>
        <w:t>we</w:t>
      </w:r>
      <w:r>
        <w:rPr>
          <w:rFonts w:ascii="Times New Roman" w:eastAsia="Times New Roman" w:hAnsi="Times New Roman" w:cs="Times New Roman"/>
          <w:sz w:val="20"/>
        </w:rPr>
        <w:t xml:space="preserve"> create</w:t>
      </w:r>
      <w:r>
        <w:rPr>
          <w:rFonts w:ascii="Times New Roman" w:eastAsia="Times New Roman" w:hAnsi="Times New Roman" w:cs="Times New Roman"/>
          <w:sz w:val="20"/>
        </w:rPr>
        <w:t>, review</w:t>
      </w:r>
      <w:r>
        <w:rPr>
          <w:rFonts w:ascii="Times New Roman" w:eastAsia="Times New Roman" w:hAnsi="Times New Roman" w:cs="Times New Roman"/>
          <w:sz w:val="20"/>
        </w:rPr>
        <w:t>,</w:t>
      </w:r>
      <w:r>
        <w:rPr>
          <w:rFonts w:ascii="Times New Roman" w:eastAsia="Times New Roman" w:hAnsi="Times New Roman" w:cs="Times New Roman"/>
          <w:sz w:val="20"/>
        </w:rPr>
        <w:t xml:space="preserve"> and control</w:t>
      </w:r>
      <w:r>
        <w:rPr>
          <w:rFonts w:ascii="Times New Roman" w:eastAsia="Times New Roman" w:hAnsi="Times New Roman" w:cs="Times New Roman"/>
          <w:sz w:val="20"/>
        </w:rPr>
        <w:t xml:space="preserve"> the services. </w:t>
      </w:r>
      <w:r>
        <w:rPr>
          <w:rFonts w:ascii="Times New Roman" w:eastAsia="Times New Roman" w:hAnsi="Times New Roman" w:cs="Times New Roman"/>
          <w:sz w:val="20"/>
        </w:rPr>
        <w:t>We</w:t>
      </w:r>
      <w:r>
        <w:rPr>
          <w:rFonts w:ascii="Times New Roman" w:eastAsia="Times New Roman" w:hAnsi="Times New Roman" w:cs="Times New Roman"/>
          <w:sz w:val="20"/>
        </w:rPr>
        <w:t xml:space="preserve"> take</w:t>
      </w:r>
      <w:r>
        <w:rPr>
          <w:rFonts w:ascii="Times New Roman" w:eastAsia="Times New Roman" w:hAnsi="Times New Roman" w:cs="Times New Roman"/>
          <w:sz w:val="20"/>
        </w:rPr>
        <w:t xml:space="preserve"> on the risk of payment to any third-party creators</w:t>
      </w:r>
      <w:r>
        <w:rPr>
          <w:rFonts w:ascii="Times New Roman" w:eastAsia="Times New Roman" w:hAnsi="Times New Roman" w:cs="Times New Roman"/>
          <w:sz w:val="20"/>
        </w:rPr>
        <w:t>,</w:t>
      </w:r>
      <w:r>
        <w:rPr>
          <w:rFonts w:ascii="Times New Roman" w:eastAsia="Times New Roman" w:hAnsi="Times New Roman" w:cs="Times New Roman"/>
          <w:sz w:val="20"/>
        </w:rPr>
        <w:t xml:space="preserve"> and </w:t>
      </w:r>
      <w:r>
        <w:rPr>
          <w:rFonts w:ascii="Times New Roman" w:eastAsia="Times New Roman" w:hAnsi="Times New Roman" w:cs="Times New Roman"/>
          <w:sz w:val="20"/>
        </w:rPr>
        <w:t xml:space="preserve">we </w:t>
      </w:r>
      <w:r>
        <w:rPr>
          <w:rFonts w:ascii="Times New Roman" w:eastAsia="Times New Roman" w:hAnsi="Times New Roman" w:cs="Times New Roman"/>
          <w:sz w:val="20"/>
        </w:rPr>
        <w:t>establish</w:t>
      </w:r>
      <w:r>
        <w:rPr>
          <w:rFonts w:ascii="Times New Roman" w:eastAsia="Times New Roman" w:hAnsi="Times New Roman" w:cs="Times New Roman"/>
          <w:sz w:val="20"/>
        </w:rPr>
        <w:t xml:space="preserve"> the contract price directly with </w:t>
      </w:r>
      <w:r>
        <w:rPr>
          <w:rFonts w:ascii="Times New Roman" w:eastAsia="Times New Roman" w:hAnsi="Times New Roman" w:cs="Times New Roman"/>
          <w:sz w:val="20"/>
        </w:rPr>
        <w:t>our</w:t>
      </w:r>
      <w:r>
        <w:rPr>
          <w:rFonts w:ascii="Times New Roman" w:eastAsia="Times New Roman" w:hAnsi="Times New Roman" w:cs="Times New Roman"/>
          <w:sz w:val="20"/>
        </w:rPr>
        <w:t xml:space="preserve"> customers based on the services requested in the statement of work.</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Marketplace Spend Fees and Legacy Workflow Fees Revenue</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For Marketplace Spend Fees and Legacy Workflow Fees Revenue, the self-service customer instructs creators found through the Company’s platforms to provide and/or distribute custom content for an agreed upon transaction price. </w:t>
      </w:r>
      <w:r>
        <w:rPr>
          <w:rFonts w:ascii="Times New Roman" w:eastAsia="Times New Roman" w:hAnsi="Times New Roman" w:cs="Times New Roman"/>
          <w:sz w:val="20"/>
        </w:rPr>
        <w:t>Our</w:t>
      </w:r>
      <w:r>
        <w:rPr>
          <w:rFonts w:ascii="Times New Roman" w:eastAsia="Times New Roman" w:hAnsi="Times New Roman" w:cs="Times New Roman"/>
          <w:sz w:val="20"/>
        </w:rPr>
        <w:t xml:space="preserve"> platforms control the contracting, description of services, acceptance of and payment for the requested content. This service is used primarily by news agencies or marketers to control the outsourcing of their content and advertising needs. </w:t>
      </w:r>
      <w:r>
        <w:rPr>
          <w:rFonts w:ascii="Times New Roman" w:eastAsia="Times New Roman" w:hAnsi="Times New Roman" w:cs="Times New Roman"/>
          <w:sz w:val="20"/>
        </w:rPr>
        <w:t>We</w:t>
      </w:r>
      <w:r>
        <w:rPr>
          <w:rFonts w:ascii="Times New Roman" w:eastAsia="Times New Roman" w:hAnsi="Times New Roman" w:cs="Times New Roman"/>
          <w:sz w:val="20"/>
        </w:rPr>
        <w:t xml:space="preserve"> charge</w:t>
      </w:r>
      <w:r>
        <w:rPr>
          <w:rFonts w:ascii="Times New Roman" w:eastAsia="Times New Roman" w:hAnsi="Times New Roman" w:cs="Times New Roman"/>
          <w:sz w:val="20"/>
        </w:rPr>
        <w:t xml:space="preserve"> the self-service customer the transaction price plus a fee based on the contract. Revenue is recognized when the transaction is completed by the creator and accepted by the marketer or verified as posted by the system. Based on </w:t>
      </w:r>
      <w:r>
        <w:rPr>
          <w:rFonts w:ascii="Times New Roman" w:eastAsia="Times New Roman" w:hAnsi="Times New Roman" w:cs="Times New Roman"/>
          <w:sz w:val="20"/>
        </w:rPr>
        <w:t xml:space="preserve">our </w:t>
      </w:r>
      <w:r>
        <w:rPr>
          <w:rFonts w:ascii="Times New Roman" w:eastAsia="Times New Roman" w:hAnsi="Times New Roman" w:cs="Times New Roman"/>
          <w:sz w:val="20"/>
        </w:rPr>
        <w:t xml:space="preserve">evaluations, this revenue is reported on a net basis since </w:t>
      </w:r>
      <w:r>
        <w:rPr>
          <w:rFonts w:ascii="Times New Roman" w:eastAsia="Times New Roman" w:hAnsi="Times New Roman" w:cs="Times New Roman"/>
          <w:sz w:val="20"/>
        </w:rPr>
        <w:t>we are</w:t>
      </w:r>
      <w:r>
        <w:rPr>
          <w:rFonts w:ascii="Times New Roman" w:eastAsia="Times New Roman" w:hAnsi="Times New Roman" w:cs="Times New Roman"/>
          <w:sz w:val="20"/>
        </w:rPr>
        <w:t xml:space="preserve"> acting as an agent solely arranging for the third-party creator or influencer to provide the services directly to the self-service customer through the platform or by posting the requested content.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License Fees Revenue</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License Fees Revenue is generated through the granting of limited, non-exclusive, non-transferable licenses to customers for the use of the </w:t>
      </w:r>
      <w:r>
        <w:rPr>
          <w:rFonts w:ascii="Times New Roman" w:eastAsia="Times New Roman" w:hAnsi="Times New Roman" w:cs="Times New Roman"/>
          <w:i/>
          <w:sz w:val="20"/>
        </w:rPr>
        <w:t>IZEAx</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BrandGraph</w:t>
      </w:r>
      <w:r>
        <w:rPr>
          <w:rFonts w:ascii="Times New Roman" w:eastAsia="Times New Roman" w:hAnsi="Times New Roman" w:cs="Times New Roman"/>
          <w:i/>
          <w:sz w:val="20"/>
        </w:rPr>
        <w:t>,</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until February 2020,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technology platforms for an agreed-upon subscription period. Customers license the platforms to manage their own influencer marketing campaigns. Fees for subscription or licensing services are recognized straight-line over the term of the service.</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Other Fees Revenue</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Other Fees Revenue is generated when fees are charged to </w:t>
      </w:r>
      <w:r>
        <w:rPr>
          <w:rFonts w:ascii="Times New Roman" w:eastAsia="Times New Roman" w:hAnsi="Times New Roman" w:cs="Times New Roman"/>
          <w:sz w:val="20"/>
        </w:rPr>
        <w:t>our</w:t>
      </w:r>
      <w:r>
        <w:rPr>
          <w:rFonts w:ascii="Times New Roman" w:eastAsia="Times New Roman" w:hAnsi="Times New Roman" w:cs="Times New Roman"/>
          <w:sz w:val="20"/>
        </w:rPr>
        <w:t xml:space="preserve"> platform users primarily related to monthly plan fees, inactivity fees, and early cash-out fees. Plan fees are recognized within the month they relate to, inactivity fees are recognized at a point in time when the account is deemed inactive, and early cash-out fees are recognized when a cash-out is either below certain minimum thresholds or when accelerated payout timing is requested.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do</w:t>
      </w:r>
      <w:r>
        <w:rPr>
          <w:rFonts w:ascii="Times New Roman" w:eastAsia="Times New Roman" w:hAnsi="Times New Roman" w:cs="Times New Roman"/>
          <w:sz w:val="20"/>
        </w:rPr>
        <w:t xml:space="preserve"> not typically engage in contracts that are longer than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Therefore, </w:t>
      </w:r>
      <w:r>
        <w:rPr>
          <w:rFonts w:ascii="Times New Roman" w:eastAsia="Times New Roman" w:hAnsi="Times New Roman" w:cs="Times New Roman"/>
          <w:sz w:val="20"/>
        </w:rPr>
        <w:t>we do</w:t>
      </w:r>
      <w:r>
        <w:rPr>
          <w:rFonts w:ascii="Times New Roman" w:eastAsia="Times New Roman" w:hAnsi="Times New Roman" w:cs="Times New Roman"/>
          <w:sz w:val="20"/>
        </w:rPr>
        <w:t xml:space="preserve"> not capitalize costs to obtain </w:t>
      </w:r>
      <w:r>
        <w:rPr>
          <w:rFonts w:ascii="Times New Roman" w:eastAsia="Times New Roman" w:hAnsi="Times New Roman" w:cs="Times New Roman"/>
          <w:sz w:val="20"/>
        </w:rPr>
        <w:t>our</w:t>
      </w:r>
      <w:r>
        <w:rPr>
          <w:rFonts w:ascii="Times New Roman" w:eastAsia="Times New Roman" w:hAnsi="Times New Roman" w:cs="Times New Roman"/>
          <w:sz w:val="20"/>
        </w:rPr>
        <w:t xml:space="preserve"> customer contracts as these amounts generally would be recognized over a period of less than one year and are not material.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Changes in how we control and manage our platforms, our contractual terms, our business practices, or other changes in accounting standards or interpretations, may change the reporting of our revenue.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Stock-Based Compensation</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Stock-based compensation is measured at the grant date, based on the fair value of the award, and is recognized as an expense over the employee’s requisite service period. </w:t>
      </w:r>
      <w:r>
        <w:rPr>
          <w:rFonts w:ascii="Times New Roman" w:eastAsia="Times New Roman" w:hAnsi="Times New Roman" w:cs="Times New Roman"/>
          <w:sz w:val="20"/>
        </w:rPr>
        <w:t>We estimate the fair value of each stock option as of the date of grant using the Black-Scholes pricing model. </w:t>
      </w:r>
      <w:r>
        <w:rPr>
          <w:rFonts w:ascii="Times New Roman" w:eastAsia="Times New Roman" w:hAnsi="Times New Roman" w:cs="Times New Roman"/>
          <w:sz w:val="20"/>
        </w:rPr>
        <w:t>Options typically vest ratably over four years with one-fourth of options vesting one year from the date of grant and the remaining options vesting monthly, in equal increments over the remaining three-year period and generally have five or ten-year contract lives. </w:t>
      </w:r>
      <w:r>
        <w:rPr>
          <w:rFonts w:ascii="Times New Roman" w:eastAsia="Times New Roman" w:hAnsi="Times New Roman" w:cs="Times New Roman"/>
          <w:sz w:val="20"/>
        </w:rPr>
        <w:t>We use</w:t>
      </w:r>
      <w:r>
        <w:rPr>
          <w:rFonts w:ascii="Times New Roman" w:eastAsia="Times New Roman" w:hAnsi="Times New Roman" w:cs="Times New Roman"/>
          <w:sz w:val="20"/>
        </w:rPr>
        <w:t xml:space="preserve"> the simplified method to estimate the expected term of employee stock options, because </w:t>
      </w:r>
      <w:r>
        <w:rPr>
          <w:rFonts w:ascii="Times New Roman" w:eastAsia="Times New Roman" w:hAnsi="Times New Roman" w:cs="Times New Roman"/>
          <w:sz w:val="20"/>
        </w:rPr>
        <w:t>we do</w:t>
      </w:r>
      <w:r>
        <w:rPr>
          <w:rFonts w:ascii="Times New Roman" w:eastAsia="Times New Roman" w:hAnsi="Times New Roman" w:cs="Times New Roman"/>
          <w:sz w:val="20"/>
        </w:rPr>
        <w:t xml:space="preserve"> not</w:t>
      </w:r>
      <w:r>
        <w:rPr>
          <w:rFonts w:ascii="Times New Roman" w:eastAsia="Times New Roman" w:hAnsi="Times New Roman" w:cs="Times New Roman"/>
          <w:sz w:val="20"/>
        </w:rPr>
        <w:t xml:space="preserve"> believe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historical exercise data will </w:t>
      </w:r>
      <w:r>
        <w:rPr>
          <w:rFonts w:ascii="Times New Roman" w:eastAsia="Times New Roman" w:hAnsi="Times New Roman" w:cs="Times New Roman"/>
          <w:sz w:val="20"/>
        </w:rPr>
        <w:t>provide a reasonable basis for estimating the</w:t>
      </w:r>
      <w:r>
        <w:rPr>
          <w:rFonts w:ascii="Times New Roman" w:eastAsia="Times New Roman" w:hAnsi="Times New Roman" w:cs="Times New Roman"/>
          <w:sz w:val="20"/>
        </w:rPr>
        <w:t xml:space="preserve"> </w:t>
      </w:r>
      <w:r>
        <w:rPr>
          <w:rFonts w:ascii="Times New Roman" w:eastAsia="Times New Roman" w:hAnsi="Times New Roman" w:cs="Times New Roman"/>
          <w:sz w:val="20"/>
        </w:rPr>
        <w:t>expected term for the current share options granted. The simplified method assumes that employees will exercise share options evenly between the period when the share options are vested and ending on the date when the options would expire.</w:t>
      </w:r>
      <w:r>
        <w:rPr>
          <w:rFonts w:ascii="Times New Roman" w:eastAsia="Times New Roman" w:hAnsi="Times New Roman" w:cs="Times New Roman"/>
          <w:sz w:val="20"/>
        </w:rPr>
        <w:t>We use the closing stock price of our common stock on the date of the grant as the associated fair value of our common stock. </w:t>
      </w:r>
      <w:r>
        <w:rPr>
          <w:rFonts w:ascii="Times New Roman" w:eastAsia="Times New Roman" w:hAnsi="Times New Roman" w:cs="Times New Roman"/>
          <w:sz w:val="20"/>
        </w:rPr>
        <w:t xml:space="preserve">For issuances after June 30, 2019, </w:t>
      </w:r>
      <w:r>
        <w:rPr>
          <w:rFonts w:ascii="Times New Roman" w:eastAsia="Times New Roman" w:hAnsi="Times New Roman" w:cs="Times New Roman"/>
          <w:sz w:val="20"/>
        </w:rPr>
        <w:t>we</w:t>
      </w:r>
      <w:r>
        <w:rPr>
          <w:rFonts w:ascii="Times New Roman" w:eastAsia="Times New Roman" w:hAnsi="Times New Roman" w:cs="Times New Roman"/>
          <w:sz w:val="20"/>
        </w:rPr>
        <w:t xml:space="preserve"> estimate</w:t>
      </w:r>
      <w:r>
        <w:rPr>
          <w:rFonts w:ascii="Times New Roman" w:eastAsia="Times New Roman" w:hAnsi="Times New Roman" w:cs="Times New Roman"/>
          <w:sz w:val="20"/>
        </w:rPr>
        <w:t xml:space="preserve"> the volatility of</w:t>
      </w:r>
      <w:r>
        <w:rPr>
          <w:rFonts w:ascii="Times New Roman" w:eastAsia="Times New Roman" w:hAnsi="Times New Roman" w:cs="Times New Roman"/>
          <w:sz w:val="20"/>
        </w:rPr>
        <w:t xml:space="preserve"> our</w:t>
      </w:r>
      <w:r>
        <w:rPr>
          <w:rFonts w:ascii="Times New Roman" w:eastAsia="Times New Roman" w:hAnsi="Times New Roman" w:cs="Times New Roman"/>
          <w:sz w:val="20"/>
        </w:rPr>
        <w:t xml:space="preserve"> common stock at the date of grant based on the volatility of </w:t>
      </w:r>
      <w:r>
        <w:rPr>
          <w:rFonts w:ascii="Times New Roman" w:eastAsia="Times New Roman" w:hAnsi="Times New Roman" w:cs="Times New Roman"/>
          <w:sz w:val="20"/>
        </w:rPr>
        <w:t xml:space="preserve">our </w:t>
      </w:r>
      <w:r>
        <w:rPr>
          <w:rFonts w:ascii="Times New Roman" w:eastAsia="Times New Roman" w:hAnsi="Times New Roman" w:cs="Times New Roman"/>
          <w:sz w:val="20"/>
        </w:rPr>
        <w:t>stock during the period. For issuances on or prior to June 30, 2019,</w:t>
      </w:r>
      <w:r>
        <w:rPr>
          <w:rFonts w:ascii="Times New Roman" w:eastAsia="Times New Roman" w:hAnsi="Times New Roman" w:cs="Times New Roman"/>
          <w:sz w:val="20"/>
        </w:rPr>
        <w:t xml:space="preserve"> we</w:t>
      </w:r>
      <w:r>
        <w:rPr>
          <w:rFonts w:ascii="Times New Roman" w:eastAsia="Times New Roman" w:hAnsi="Times New Roman" w:cs="Times New Roman"/>
          <w:sz w:val="20"/>
        </w:rPr>
        <w:t xml:space="preserve"> estimated the volatility of</w:t>
      </w:r>
      <w:r>
        <w:rPr>
          <w:rFonts w:ascii="Times New Roman" w:eastAsia="Times New Roman" w:hAnsi="Times New Roman" w:cs="Times New Roman"/>
          <w:sz w:val="20"/>
        </w:rPr>
        <w:t xml:space="preserve"> our</w:t>
      </w:r>
      <w:r>
        <w:rPr>
          <w:rFonts w:ascii="Times New Roman" w:eastAsia="Times New Roman" w:hAnsi="Times New Roman" w:cs="Times New Roman"/>
          <w:sz w:val="20"/>
        </w:rPr>
        <w:t xml:space="preserve"> common stock at the date of grant based on the volatility of comparable peer companies that were publicly traded and had a longer trading history than </w:t>
      </w:r>
      <w:r>
        <w:rPr>
          <w:rFonts w:ascii="Times New Roman" w:eastAsia="Times New Roman" w:hAnsi="Times New Roman" w:cs="Times New Roman"/>
          <w:sz w:val="20"/>
        </w:rPr>
        <w:t>us</w:t>
      </w:r>
      <w:r>
        <w:rPr>
          <w:rFonts w:ascii="Times New Roman" w:eastAsia="Times New Roman" w:hAnsi="Times New Roman" w:cs="Times New Roman"/>
          <w:sz w:val="20"/>
        </w:rPr>
        <w:t xml:space="preserve">. </w:t>
      </w:r>
      <w:r>
        <w:rPr>
          <w:rFonts w:ascii="Times New Roman" w:eastAsia="Times New Roman" w:hAnsi="Times New Roman" w:cs="Times New Roman"/>
          <w:sz w:val="20"/>
        </w:rPr>
        <w:t>We determine the expected life based on historical experience with similar awards, giving consideration to the contractual terms, vesting schedules and post-vesting forfeitures. We use the risk-free interest rate on the implied yield currently available on U.S. Treasury issues with an equivalent remaining term approximately equal to the expected life of the award. We have never paid any cash dividends on our common stock and do not anticipate paying any cash dividends in the foreseeable future. We estimate forfeitures when recognizing compensation expense and this estimate of forfeitures is adjusted over the requisite service period based on the extent to which actual forfeitures differ, or are expected to differ, from such estimates. Changes in estimated forfeitures are recognized through a cumulative catch-up adjustment, which is recognized in the period of change, and a revised amount of unamortized compensation expense to be recognized in future periods.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10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following table shows the number of stock options granted under our 2011 Equity Incentive Plans and the assumptions used to determine the fair value of those options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w:t>
      </w:r>
      <w:r>
        <w:rPr>
          <w:rFonts w:ascii="Times New Roman" w:eastAsia="Times New Roman" w:hAnsi="Times New Roman" w:cs="Times New Roman"/>
          <w:sz w:val="20"/>
        </w:rPr>
        <w:t xml:space="preserve">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80"/>
        <w:gridCol w:w="60"/>
        <w:gridCol w:w="905"/>
        <w:gridCol w:w="100"/>
        <w:gridCol w:w="75"/>
        <w:gridCol w:w="1005"/>
        <w:gridCol w:w="75"/>
        <w:gridCol w:w="1005"/>
        <w:gridCol w:w="75"/>
        <w:gridCol w:w="1005"/>
        <w:gridCol w:w="75"/>
        <w:gridCol w:w="1005"/>
        <w:gridCol w:w="75"/>
        <w:gridCol w:w="905"/>
        <w:gridCol w:w="100"/>
        <w:gridCol w:w="75"/>
        <w:gridCol w:w="1005"/>
        <w:gridCol w:w="60"/>
        <w:gridCol w:w="97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95"/>
          <w:jc w:val="left"/>
        </w:trPr>
        <w:tc>
          <w:tcPr>
            <w:tcW w:w="168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Twelve Months Ended</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Total Options Granted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Weighted Average Exercise Price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Weighted Average Expected Term</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Weighted Average Volatility</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Weighted Average Risk-Free Interest Rate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Expected Dividends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20"/>
              </w:rPr>
              <w:t>Weighted Average</w:t>
            </w:r>
          </w:p>
          <w:p>
            <w:pPr>
              <w:spacing w:line="240" w:lineRule="auto"/>
              <w:ind w:left="0" w:right="0"/>
              <w:jc w:val="center"/>
            </w:pPr>
            <w:r>
              <w:rPr>
                <w:rFonts w:ascii="Times New Roman" w:eastAsia="Times New Roman" w:hAnsi="Times New Roman" w:cs="Times New Roman"/>
                <w:color w:val="000000"/>
                <w:sz w:val="20"/>
              </w:rPr>
              <w:t>Grant Date</w:t>
            </w:r>
          </w:p>
          <w:p>
            <w:pPr>
              <w:spacing w:after="30" w:line="240" w:lineRule="auto"/>
              <w:ind w:left="0" w:right="0"/>
              <w:jc w:val="center"/>
            </w:pPr>
            <w:r>
              <w:rPr>
                <w:rFonts w:ascii="Times New Roman" w:eastAsia="Times New Roman" w:hAnsi="Times New Roman" w:cs="Times New Roman"/>
                <w:color w:val="000000"/>
                <w:sz w:val="20"/>
              </w:rPr>
              <w:t>Fair Value</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7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Weighted average expected forfeiture rate</w:t>
            </w:r>
          </w:p>
        </w:tc>
      </w:tr>
      <w:tr>
        <w:tblPrEx>
          <w:tblW w:w="10465" w:type="dxa"/>
          <w:jc w:val="left"/>
          <w:tblInd w:w="0" w:type="dxa"/>
          <w:tblCellMar>
            <w:left w:w="108" w:type="dxa"/>
            <w:right w:w="108" w:type="dxa"/>
          </w:tblCellMar>
        </w:tblPrEx>
        <w:trPr>
          <w:cantSplit/>
          <w:trHeight w:hRule="exact" w:val="285"/>
          <w:jc w:val="left"/>
        </w:trPr>
        <w:tc>
          <w:tcPr>
            <w:tcW w:w="1680"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40" w:lineRule="auto"/>
              <w:ind w:left="0"/>
              <w:jc w:val="left"/>
            </w:pPr>
            <w:r>
              <w:rPr>
                <w:rFonts w:ascii="Times New Roman" w:eastAsia="Times New Roman" w:hAnsi="Times New Roman" w:cs="Times New Roman"/>
                <w:color w:val="000000"/>
                <w:sz w:val="20"/>
              </w:rPr>
              <w:t>December 31, 2019</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586,552 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$0.67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6.0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64.38%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1.92%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$0.40</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7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9.26%</w:t>
            </w:r>
          </w:p>
        </w:tc>
      </w:tr>
      <w:tr>
        <w:tblPrEx>
          <w:tblW w:w="10465" w:type="dxa"/>
          <w:jc w:val="left"/>
          <w:tblInd w:w="0" w:type="dxa"/>
          <w:tblCellMar>
            <w:left w:w="108" w:type="dxa"/>
            <w:right w:w="108" w:type="dxa"/>
          </w:tblCellMar>
        </w:tblPrEx>
        <w:trPr>
          <w:cantSplit/>
          <w:trHeight w:hRule="exact" w:val="285"/>
          <w:jc w:val="left"/>
        </w:trPr>
        <w:tc>
          <w:tcPr>
            <w:tcW w:w="168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December 31, 2020</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411,350 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0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$0.69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6.0 years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0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108.58%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0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0.46%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0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$0.56</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7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7.72%</w:t>
            </w: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Total stock-based compensation expense </w:t>
      </w:r>
      <w:r>
        <w:rPr>
          <w:rFonts w:ascii="Times New Roman" w:eastAsia="Times New Roman" w:hAnsi="Times New Roman" w:cs="Times New Roman"/>
          <w:sz w:val="20"/>
        </w:rPr>
        <w:t>recorded in the Company’s consolidated statements of operations</w:t>
      </w:r>
      <w:r>
        <w:rPr>
          <w:rFonts w:ascii="Times New Roman" w:eastAsia="Times New Roman" w:hAnsi="Times New Roman" w:cs="Times New Roman"/>
          <w:sz w:val="20"/>
        </w:rPr>
        <w:t xml:space="preserve"> </w:t>
      </w:r>
      <w:r>
        <w:rPr>
          <w:rFonts w:ascii="Times New Roman" w:eastAsia="Times New Roman" w:hAnsi="Times New Roman" w:cs="Times New Roman"/>
          <w:sz w:val="20"/>
        </w:rPr>
        <w:t>for</w:t>
      </w:r>
      <w:r>
        <w:rPr>
          <w:rFonts w:ascii="Times New Roman" w:eastAsia="Times New Roman" w:hAnsi="Times New Roman" w:cs="Times New Roman"/>
          <w:sz w:val="20"/>
        </w:rPr>
        <w:t xml:space="preserve"> restricted stock, restricted stock units, stock options</w:t>
      </w:r>
      <w:r>
        <w:rPr>
          <w:rFonts w:ascii="Times New Roman" w:eastAsia="Times New Roman" w:hAnsi="Times New Roman" w:cs="Times New Roman"/>
          <w:sz w:val="20"/>
        </w:rPr>
        <w:t>,</w:t>
      </w:r>
      <w:r>
        <w:rPr>
          <w:rFonts w:ascii="Times New Roman" w:eastAsia="Times New Roman" w:hAnsi="Times New Roman" w:cs="Times New Roman"/>
          <w:sz w:val="20"/>
        </w:rPr>
        <w:t xml:space="preserve"> and </w:t>
      </w:r>
      <w:r>
        <w:rPr>
          <w:rFonts w:ascii="Times New Roman" w:eastAsia="Times New Roman" w:hAnsi="Times New Roman" w:cs="Times New Roman"/>
          <w:sz w:val="20"/>
        </w:rPr>
        <w:t>employee stock purchase plan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issuance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was </w:t>
      </w:r>
      <w:r>
        <w:rPr>
          <w:rFonts w:ascii="Times New Roman" w:eastAsia="Times New Roman" w:hAnsi="Times New Roman" w:cs="Times New Roman"/>
          <w:sz w:val="20"/>
        </w:rPr>
        <w:t>$477,993</w:t>
      </w:r>
      <w:r>
        <w:rPr>
          <w:rFonts w:ascii="Times New Roman" w:eastAsia="Times New Roman" w:hAnsi="Times New Roman" w:cs="Times New Roman"/>
          <w:sz w:val="20"/>
        </w:rPr>
        <w:t xml:space="preserve"> and </w:t>
      </w:r>
      <w:r>
        <w:rPr>
          <w:rFonts w:ascii="Times New Roman" w:eastAsia="Times New Roman" w:hAnsi="Times New Roman" w:cs="Times New Roman"/>
          <w:sz w:val="20"/>
        </w:rPr>
        <w:t>$634,651</w:t>
      </w:r>
      <w:r>
        <w:rPr>
          <w:rFonts w:ascii="Times New Roman" w:eastAsia="Times New Roman" w:hAnsi="Times New Roman" w:cs="Times New Roman"/>
          <w:sz w:val="20"/>
        </w:rPr>
        <w:t>, respectively</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There were outstanding options to purchase </w:t>
      </w:r>
      <w:r>
        <w:rPr>
          <w:rFonts w:ascii="Times New Roman" w:eastAsia="Times New Roman" w:hAnsi="Times New Roman" w:cs="Times New Roman"/>
          <w:sz w:val="20"/>
        </w:rPr>
        <w:t>1,712,806</w:t>
      </w:r>
      <w:r>
        <w:rPr>
          <w:rFonts w:ascii="Times New Roman" w:eastAsia="Times New Roman" w:hAnsi="Times New Roman" w:cs="Times New Roman"/>
          <w:sz w:val="20"/>
        </w:rPr>
        <w:t xml:space="preserve"> shares with a weighted average exercise price of </w:t>
      </w:r>
      <w:r>
        <w:rPr>
          <w:rFonts w:ascii="Times New Roman" w:eastAsia="Times New Roman" w:hAnsi="Times New Roman" w:cs="Times New Roman"/>
          <w:sz w:val="20"/>
        </w:rPr>
        <w:t>$2.56</w:t>
      </w:r>
      <w:r>
        <w:rPr>
          <w:rFonts w:ascii="Times New Roman" w:eastAsia="Times New Roman" w:hAnsi="Times New Roman" w:cs="Times New Roman"/>
          <w:sz w:val="20"/>
        </w:rPr>
        <w:t xml:space="preserve"> per share, of which options to purchase </w:t>
      </w:r>
      <w:r>
        <w:rPr>
          <w:rFonts w:ascii="Times New Roman" w:eastAsia="Times New Roman" w:hAnsi="Times New Roman" w:cs="Times New Roman"/>
          <w:sz w:val="20"/>
        </w:rPr>
        <w:t>997,320</w:t>
      </w:r>
      <w:r>
        <w:rPr>
          <w:rFonts w:ascii="Times New Roman" w:eastAsia="Times New Roman" w:hAnsi="Times New Roman" w:cs="Times New Roman"/>
          <w:sz w:val="20"/>
        </w:rPr>
        <w:t xml:space="preserve"> shares were exercisable with a weighted average exercise price of </w:t>
      </w:r>
      <w:r>
        <w:rPr>
          <w:rFonts w:ascii="Times New Roman" w:eastAsia="Times New Roman" w:hAnsi="Times New Roman" w:cs="Times New Roman"/>
          <w:sz w:val="20"/>
        </w:rPr>
        <w:t>$3.84</w:t>
      </w:r>
      <w:r>
        <w:rPr>
          <w:rFonts w:ascii="Times New Roman" w:eastAsia="Times New Roman" w:hAnsi="Times New Roman" w:cs="Times New Roman"/>
          <w:sz w:val="20"/>
        </w:rPr>
        <w:t xml:space="preserve"> per share</w:t>
      </w:r>
      <w:r>
        <w:rPr>
          <w:rFonts w:ascii="Times New Roman" w:eastAsia="Times New Roman" w:hAnsi="Times New Roman" w:cs="Times New Roman"/>
          <w:sz w:val="20"/>
        </w:rPr>
        <w:t>,</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December 31, 2020</w:t>
      </w:r>
      <w:r>
        <w:rPr>
          <w:rFonts w:ascii="Times New Roman" w:eastAsia="Times New Roman" w:hAnsi="Times New Roman" w:cs="Times New Roman"/>
          <w:sz w:val="20"/>
        </w:rPr>
        <w:t>.</w:t>
      </w:r>
      <w:r>
        <w:rPr>
          <w:rFonts w:ascii="Times New Roman" w:eastAsia="Times New Roman" w:hAnsi="Times New Roman" w:cs="Times New Roman"/>
          <w:sz w:val="20"/>
        </w:rPr>
        <w:t xml:space="preserve"> The intrinsic value on outstanding options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$1,127,194</w:t>
      </w:r>
      <w:r>
        <w:rPr>
          <w:rFonts w:ascii="Times New Roman" w:eastAsia="Times New Roman" w:hAnsi="Times New Roman" w:cs="Times New Roman"/>
          <w:sz w:val="20"/>
        </w:rPr>
        <w:t xml:space="preserve">. The intrinsic value on exercisable options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$364,866</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we had unvested restricted stock units representing </w:t>
      </w:r>
      <w:r>
        <w:rPr>
          <w:rFonts w:ascii="Times New Roman" w:eastAsia="Times New Roman" w:hAnsi="Times New Roman" w:cs="Times New Roman"/>
          <w:sz w:val="20"/>
        </w:rPr>
        <w:t>970,349</w:t>
      </w:r>
      <w:r>
        <w:rPr>
          <w:rFonts w:ascii="Times New Roman" w:eastAsia="Times New Roman" w:hAnsi="Times New Roman" w:cs="Times New Roman"/>
          <w:sz w:val="20"/>
        </w:rPr>
        <w:t xml:space="preserve"> shares of common stock with an intrinsic value of </w:t>
      </w:r>
      <w:r>
        <w:rPr>
          <w:rFonts w:ascii="Times New Roman" w:eastAsia="Times New Roman" w:hAnsi="Times New Roman" w:cs="Times New Roman"/>
          <w:sz w:val="20"/>
        </w:rPr>
        <w:t>$1,766,035</w:t>
      </w:r>
      <w:r>
        <w:rPr>
          <w:rFonts w:ascii="Times New Roman" w:eastAsia="Times New Roman" w:hAnsi="Times New Roman" w:cs="Times New Roman"/>
          <w:sz w:val="20"/>
        </w:rPr>
        <w:t xml:space="preserve"> and </w:t>
      </w:r>
      <w:r>
        <w:rPr>
          <w:rFonts w:ascii="Times New Roman" w:eastAsia="Times New Roman" w:hAnsi="Times New Roman" w:cs="Times New Roman"/>
          <w:sz w:val="20"/>
        </w:rPr>
        <w:t>13,666</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unvested shares of issued restricted stock with an intrinsic value of </w:t>
      </w:r>
      <w:r>
        <w:rPr>
          <w:rFonts w:ascii="Times New Roman" w:eastAsia="Times New Roman" w:hAnsi="Times New Roman" w:cs="Times New Roman"/>
          <w:sz w:val="20"/>
        </w:rPr>
        <w:t>$24,872</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2"/>
        <w:rPr>
          <w:rFonts w:ascii="Times New Roman" w:eastAsia="Times New Roman" w:hAnsi="Times New Roman" w:cs="Times New Roman"/>
          <w:b/>
          <w:sz w:val="20"/>
        </w:rPr>
      </w:pPr>
      <w:bookmarkStart w:id="21" w:name="Section22"/>
      <w:bookmarkEnd w:id="21"/>
      <w:r>
        <w:rPr>
          <w:rFonts w:ascii="Times New Roman" w:eastAsia="Times New Roman" w:hAnsi="Times New Roman" w:cs="Times New Roman"/>
          <w:b/>
          <w:sz w:val="20"/>
        </w:rPr>
        <w:t>Recent Accounting Pronouncements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See “Note 1. Company and Summary of Significant Accounting Policies,” under Part I</w:t>
      </w:r>
      <w:r>
        <w:rPr>
          <w:rFonts w:ascii="Times New Roman" w:eastAsia="Times New Roman" w:hAnsi="Times New Roman" w:cs="Times New Roman"/>
          <w:sz w:val="20"/>
        </w:rPr>
        <w:t>I</w:t>
      </w:r>
      <w:r>
        <w:rPr>
          <w:rFonts w:ascii="Times New Roman" w:eastAsia="Times New Roman" w:hAnsi="Times New Roman" w:cs="Times New Roman"/>
          <w:sz w:val="20"/>
        </w:rPr>
        <w:t xml:space="preserve">, Item </w:t>
      </w:r>
      <w:r>
        <w:rPr>
          <w:rFonts w:ascii="Times New Roman" w:eastAsia="Times New Roman" w:hAnsi="Times New Roman" w:cs="Times New Roman"/>
          <w:sz w:val="20"/>
        </w:rPr>
        <w:t>8</w:t>
      </w:r>
      <w:r>
        <w:rPr>
          <w:rFonts w:ascii="Times New Roman" w:eastAsia="Times New Roman" w:hAnsi="Times New Roman" w:cs="Times New Roman"/>
          <w:sz w:val="20"/>
        </w:rPr>
        <w:t xml:space="preserve"> of this </w:t>
      </w:r>
      <w:r>
        <w:rPr>
          <w:rFonts w:ascii="Times New Roman" w:eastAsia="Times New Roman" w:hAnsi="Times New Roman" w:cs="Times New Roman"/>
          <w:sz w:val="20"/>
        </w:rPr>
        <w:t>Annual</w:t>
      </w:r>
      <w:r>
        <w:rPr>
          <w:rFonts w:ascii="Times New Roman" w:eastAsia="Times New Roman" w:hAnsi="Times New Roman" w:cs="Times New Roman"/>
          <w:sz w:val="20"/>
        </w:rPr>
        <w:t xml:space="preserve"> Report for information on additional recent pronouncements.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22" w:name="Section23"/>
      <w:bookmarkEnd w:id="22"/>
      <w:r>
        <w:rPr>
          <w:rFonts w:ascii="Times New Roman" w:eastAsia="Times New Roman" w:hAnsi="Times New Roman" w:cs="Times New Roman"/>
          <w:b/>
          <w:sz w:val="20"/>
        </w:rPr>
        <w:t xml:space="preserve">ITEM </w:t>
      </w:r>
      <w:r>
        <w:rPr>
          <w:rFonts w:ascii="Times New Roman" w:eastAsia="Times New Roman" w:hAnsi="Times New Roman" w:cs="Times New Roman"/>
          <w:b/>
          <w:sz w:val="20"/>
        </w:rPr>
        <w:t>7A</w:t>
      </w:r>
      <w:r>
        <w:rPr>
          <w:rFonts w:ascii="Times New Roman" w:eastAsia="Times New Roman" w:hAnsi="Times New Roman" w:cs="Times New Roman"/>
          <w:b/>
          <w:sz w:val="20"/>
        </w:rPr>
        <w:t xml:space="preserve"> – QUANTITATIVE AND QUALITATIVE DISCLOSURES ABOUT MARKET RISK</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Not applicable to smaller reporting companies.</w:t>
      </w:r>
    </w:p>
    <w:p>
      <w:pPr>
        <w:keepNext w:val="0"/>
        <w:keepLines w:val="0"/>
        <w:pageBreakBefore w:val="0"/>
        <w:widowControl/>
        <w:numPr>
          <w:ilvl w:val="0"/>
          <w:numId w:val="0"/>
        </w:numPr>
        <w:spacing w:before="0" w:after="0" w:line="288" w:lineRule="auto"/>
        <w:ind w:left="0" w:right="0" w:firstLine="72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23" w:name="Section24"/>
      <w:bookmarkEnd w:id="23"/>
      <w:r>
        <w:rPr>
          <w:rFonts w:ascii="Times New Roman" w:eastAsia="Times New Roman" w:hAnsi="Times New Roman" w:cs="Times New Roman"/>
          <w:b/>
          <w:sz w:val="20"/>
        </w:rPr>
        <w:t xml:space="preserve">ITEM </w:t>
      </w:r>
      <w:r>
        <w:rPr>
          <w:rFonts w:ascii="Times New Roman" w:eastAsia="Times New Roman" w:hAnsi="Times New Roman" w:cs="Times New Roman"/>
          <w:b/>
          <w:sz w:val="20"/>
        </w:rPr>
        <w:t>8</w:t>
      </w:r>
      <w:r>
        <w:rPr>
          <w:rFonts w:ascii="Times New Roman" w:eastAsia="Times New Roman" w:hAnsi="Times New Roman" w:cs="Times New Roman"/>
          <w:b/>
          <w:sz w:val="20"/>
        </w:rPr>
        <w:t xml:space="preserve"> – FINANCIAL STATEMENTS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both"/>
        <w:outlineLvl w:val="2"/>
        <w:rPr>
          <w:rFonts w:ascii="Times New Roman" w:eastAsia="Times New Roman" w:hAnsi="Times New Roman" w:cs="Times New Roman"/>
          <w:b/>
          <w:sz w:val="20"/>
        </w:rPr>
      </w:pPr>
      <w:bookmarkStart w:id="24" w:name="Section25"/>
      <w:bookmarkEnd w:id="24"/>
      <w:r>
        <w:rPr>
          <w:rFonts w:ascii="Times New Roman" w:eastAsia="Times New Roman" w:hAnsi="Times New Roman" w:cs="Times New Roman"/>
          <w:b/>
          <w:sz w:val="20"/>
        </w:rPr>
        <w:t>REPORT OF INDEPENDENT REGISTERED PUBLIC ACCOUNTING FIRM</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Stockholders and </w:t>
      </w:r>
      <w:r>
        <w:rPr>
          <w:rFonts w:ascii="Times New Roman" w:eastAsia="Times New Roman" w:hAnsi="Times New Roman" w:cs="Times New Roman"/>
          <w:sz w:val="20"/>
        </w:rPr>
        <w:t>Board of Directors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IZEA Worldwide, Inc.</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Winter Park, Florida</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24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Opinion on the Consolidated Financial Statements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We have audited the accompanying consolidated balance sheets of IZEA Worldwide, Inc.</w:t>
      </w:r>
      <w:r>
        <w:rPr>
          <w:rFonts w:ascii="Times New Roman" w:eastAsia="Times New Roman" w:hAnsi="Times New Roman" w:cs="Times New Roman"/>
          <w:sz w:val="20"/>
        </w:rPr>
        <w:t xml:space="preserve"> and subsidiaries </w:t>
      </w:r>
      <w:r>
        <w:rPr>
          <w:rFonts w:ascii="Times New Roman" w:eastAsia="Times New Roman" w:hAnsi="Times New Roman" w:cs="Times New Roman"/>
          <w:sz w:val="20"/>
        </w:rPr>
        <w:t xml:space="preserve"> (the “Company”)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the related consolidated statements of operations</w:t>
      </w:r>
      <w:r>
        <w:rPr>
          <w:rFonts w:ascii="Times New Roman" w:eastAsia="Times New Roman" w:hAnsi="Times New Roman" w:cs="Times New Roman"/>
          <w:sz w:val="20"/>
        </w:rPr>
        <w:t xml:space="preserve"> and comprehensive loss</w:t>
      </w:r>
      <w:r>
        <w:rPr>
          <w:rFonts w:ascii="Times New Roman" w:eastAsia="Times New Roman" w:hAnsi="Times New Roman" w:cs="Times New Roman"/>
          <w:sz w:val="20"/>
        </w:rPr>
        <w:t xml:space="preserve">, stockholders’ equity, and cash flows for each of the two years in the period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and the related notes (collectively referred to as the “consolidated financial statements”). In our opinion, the consolidated financial statements present fairly, in all material respects, the financial position of the Company</w:t>
      </w:r>
      <w:r>
        <w:rPr>
          <w:rFonts w:ascii="Times New Roman" w:eastAsia="Times New Roman" w:hAnsi="Times New Roman" w:cs="Times New Roman"/>
          <w:sz w:val="20"/>
        </w:rPr>
        <w:t xml:space="preserve"> at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and the results of </w:t>
      </w:r>
      <w:r>
        <w:rPr>
          <w:rFonts w:ascii="Times New Roman" w:eastAsia="Times New Roman" w:hAnsi="Times New Roman" w:cs="Times New Roman"/>
          <w:sz w:val="20"/>
        </w:rPr>
        <w:t>its</w:t>
      </w:r>
      <w:r>
        <w:rPr>
          <w:rFonts w:ascii="Times New Roman" w:eastAsia="Times New Roman" w:hAnsi="Times New Roman" w:cs="Times New Roman"/>
          <w:sz w:val="20"/>
        </w:rPr>
        <w:t xml:space="preserve"> operations and </w:t>
      </w:r>
      <w:r>
        <w:rPr>
          <w:rFonts w:ascii="Times New Roman" w:eastAsia="Times New Roman" w:hAnsi="Times New Roman" w:cs="Times New Roman"/>
          <w:sz w:val="20"/>
        </w:rPr>
        <w:t>its</w:t>
      </w:r>
      <w:r>
        <w:rPr>
          <w:rFonts w:ascii="Times New Roman" w:eastAsia="Times New Roman" w:hAnsi="Times New Roman" w:cs="Times New Roman"/>
          <w:sz w:val="20"/>
        </w:rPr>
        <w:t xml:space="preserve"> cash flows for each of the two years in the period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in conformity with accounting principles generally accepted in the United States of America.</w:t>
      </w:r>
    </w:p>
    <w:p>
      <w:pPr>
        <w:keepNext w:val="0"/>
        <w:keepLines w:val="0"/>
        <w:pageBreakBefore w:val="0"/>
        <w:widowControl/>
        <w:numPr>
          <w:ilvl w:val="0"/>
          <w:numId w:val="0"/>
        </w:numPr>
        <w:spacing w:before="24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Basis for Opinion</w:t>
      </w:r>
    </w:p>
    <w:p>
      <w:pPr>
        <w:keepNext w:val="0"/>
        <w:keepLines w:val="0"/>
        <w:pageBreakBefore w:val="0"/>
        <w:widowControl/>
        <w:numPr>
          <w:ilvl w:val="0"/>
          <w:numId w:val="0"/>
        </w:numPr>
        <w:spacing w:before="24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These consolidated financial statements are the responsibility of the Company’s management. Our responsibility is to express an opinion on the Company’s consolidated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keepNext w:val="0"/>
        <w:keepLines w:val="0"/>
        <w:pageBreakBefore w:val="0"/>
        <w:widowControl/>
        <w:numPr>
          <w:ilvl w:val="0"/>
          <w:numId w:val="0"/>
        </w:numPr>
        <w:spacing w:before="24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conducted our audits in accordance with the standards of the PCAOB. Those standards require that we plan and perform the audit to obtain reasonable assurance about whether the consolidated financial statements are free of material misstatement, whether due to error or fraud. </w:t>
      </w:r>
      <w:r>
        <w:rPr>
          <w:rFonts w:ascii="Times New Roman" w:eastAsia="Times New Roman" w:hAnsi="Times New Roman" w:cs="Times New Roman"/>
          <w:sz w:val="20"/>
        </w:rPr>
        <w:t>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keepNext w:val="0"/>
        <w:keepLines w:val="0"/>
        <w:pageBreakBefore w:val="0"/>
        <w:widowControl/>
        <w:numPr>
          <w:ilvl w:val="0"/>
          <w:numId w:val="0"/>
        </w:numPr>
        <w:spacing w:before="24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We believe that our audits provide a reasonable basis for our opinion.</w:t>
      </w:r>
    </w:p>
    <w:p>
      <w:pPr>
        <w:keepNext w:val="0"/>
        <w:keepLines w:val="0"/>
        <w:pageBreakBefore w:val="0"/>
        <w:widowControl/>
        <w:numPr>
          <w:ilvl w:val="0"/>
          <w:numId w:val="0"/>
        </w:numPr>
        <w:spacing w:before="24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Critic</w:t>
      </w:r>
      <w:r>
        <w:rPr>
          <w:rFonts w:ascii="Times New Roman" w:eastAsia="Times New Roman" w:hAnsi="Times New Roman" w:cs="Times New Roman"/>
          <w:b/>
          <w:sz w:val="20"/>
        </w:rPr>
        <w:t xml:space="preserve">al Audit </w:t>
      </w:r>
      <w:r>
        <w:rPr>
          <w:rFonts w:ascii="Times New Roman" w:eastAsia="Times New Roman" w:hAnsi="Times New Roman" w:cs="Times New Roman"/>
          <w:b/>
          <w:sz w:val="20"/>
        </w:rPr>
        <w:t>Matters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critical audit matters communicated below are matters arising from the current period audit of the consolidated financial statements that were communicated or required to be communicated to the audit committee and that: (1) relate to accounts or disclosures that are material to the consolidated financial statements and (2) involved our especially challenging, subjective, or complex judgments. The communication of critical audit matters does not alter in any way our opinion on the consolidated financial statements, taken as a whole, and we are not, </w:t>
      </w:r>
      <w:r>
        <w:rPr>
          <w:rFonts w:ascii="Times New Roman" w:eastAsia="Times New Roman" w:hAnsi="Times New Roman" w:cs="Times New Roman"/>
          <w:sz w:val="20"/>
        </w:rPr>
        <w:t>by communicating the critical audit matters below,</w:t>
      </w:r>
      <w:r>
        <w:rPr>
          <w:rFonts w:ascii="Times New Roman" w:eastAsia="Times New Roman" w:hAnsi="Times New Roman" w:cs="Times New Roman"/>
          <w:sz w:val="20"/>
        </w:rPr>
        <w:t xml:space="preserve"> providing separate opinions on the critical audit matters or on the accounts or disclosures to which they </w:t>
      </w:r>
      <w:r>
        <w:rPr>
          <w:rFonts w:ascii="Times New Roman" w:eastAsia="Times New Roman" w:hAnsi="Times New Roman" w:cs="Times New Roman"/>
          <w:sz w:val="20"/>
        </w:rPr>
        <w:t>relate.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Revenue Recognition - Estimated Costs to Complete for Managed Services Revenue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76"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As described in Notes 1 and 10 to the consolidated financial statem</w:t>
      </w:r>
      <w:r>
        <w:rPr>
          <w:rFonts w:ascii="Times New Roman" w:eastAsia="Times New Roman" w:hAnsi="Times New Roman" w:cs="Times New Roman"/>
          <w:sz w:val="20"/>
        </w:rPr>
        <w:t xml:space="preserve">ents, </w:t>
      </w:r>
      <w:r>
        <w:rPr>
          <w:rFonts w:ascii="Times New Roman" w:eastAsia="Times New Roman" w:hAnsi="Times New Roman" w:cs="Times New Roman"/>
          <w:sz w:val="20"/>
        </w:rPr>
        <w:t>for Managed Services Revenue, the Company enters into an agreement to provide services that may include multiple distinct performance obligations in the form of: (i) an integrated marketing campaign to provide influencer marketing services, which may include the provision of blogs, tweets, photos or videos shared through social network offerings and content promotion, such as click-through advertisements appearing in websites and social media channels; and (ii) custom content items, such as a research or news article, informational material or videos.  The Company views its obligation to deliver influencer marketing services, including management services, as a single performance obligation that is satisfied over time as the customer receives the benefits from the services.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Revenue is recognized using an input method of costs incurred compared to total expected costs to measure the progress towards satisfying the overall performance obligation</w:t>
      </w:r>
      <w:r>
        <w:rPr>
          <w:rFonts w:ascii="Times New Roman" w:eastAsia="Times New Roman" w:hAnsi="Times New Roman" w:cs="Times New Roman"/>
          <w:sz w:val="20"/>
        </w:rPr>
        <w:t xml:space="preserve"> of the marketing campaign. The delivery of custom content represents a distinct performance obligation that is satisfied over time as the Company has no alternative for the custom content and the Company has an enforceable right to payment for performance completed to date under the contracts. The Company considers custom content to be a series of distinct services that are substantially the same and that have the same pattern of transfer to the customer, and revenue is recognized over time based on an output model method based on when each individual piece of content is delivered to the customer.</w:t>
      </w:r>
    </w:p>
    <w:p>
      <w:pPr>
        <w:keepNext w:val="0"/>
        <w:keepLines w:val="0"/>
        <w:pageBreakBefore w:val="0"/>
        <w:widowControl/>
        <w:numPr>
          <w:ilvl w:val="0"/>
          <w:numId w:val="0"/>
        </w:numPr>
        <w:spacing w:before="0" w:after="0" w:line="288" w:lineRule="auto"/>
        <w:ind w:left="0" w:right="0" w:firstLine="119"/>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76"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identified the estimation of costs to complete </w:t>
      </w:r>
      <w:r>
        <w:rPr>
          <w:rFonts w:ascii="Times New Roman" w:eastAsia="Times New Roman" w:hAnsi="Times New Roman" w:cs="Times New Roman"/>
          <w:sz w:val="20"/>
        </w:rPr>
        <w:t xml:space="preserve">on the Company’s obligation to deliver influencer marketing services, including management services, on </w:t>
      </w:r>
      <w:r>
        <w:rPr>
          <w:rFonts w:ascii="Times New Roman" w:eastAsia="Times New Roman" w:hAnsi="Times New Roman" w:cs="Times New Roman"/>
          <w:sz w:val="20"/>
        </w:rPr>
        <w:t>M</w:t>
      </w:r>
      <w:r>
        <w:rPr>
          <w:rFonts w:ascii="Times New Roman" w:eastAsia="Times New Roman" w:hAnsi="Times New Roman" w:cs="Times New Roman"/>
          <w:sz w:val="20"/>
        </w:rPr>
        <w:t xml:space="preserve">anaged </w:t>
      </w:r>
      <w:r>
        <w:rPr>
          <w:rFonts w:ascii="Times New Roman" w:eastAsia="Times New Roman" w:hAnsi="Times New Roman" w:cs="Times New Roman"/>
          <w:sz w:val="20"/>
        </w:rPr>
        <w:t>S</w:t>
      </w:r>
      <w:r>
        <w:rPr>
          <w:rFonts w:ascii="Times New Roman" w:eastAsia="Times New Roman" w:hAnsi="Times New Roman" w:cs="Times New Roman"/>
          <w:sz w:val="20"/>
        </w:rPr>
        <w:t xml:space="preserve">ervices contracts to be a critical audit matter. </w:t>
      </w:r>
      <w:r>
        <w:rPr>
          <w:rFonts w:ascii="Times New Roman" w:eastAsia="Times New Roman" w:hAnsi="Times New Roman" w:cs="Times New Roman"/>
          <w:sz w:val="20"/>
        </w:rPr>
        <w:t>The determination of the total estimated cost and progress toward completion on contracts not</w:t>
      </w:r>
      <w:r>
        <w:rPr>
          <w:rFonts w:ascii="Times New Roman" w:eastAsia="Times New Roman" w:hAnsi="Times New Roman" w:cs="Times New Roman"/>
          <w:sz w:val="20"/>
        </w:rPr>
        <w:t xml:space="preserve"> completed requires management to make significant estimates and assumptions primarily related to estimated direct labor and applicable subcontract costs needed to complete contracts. Changes in these estimated direct labor and applicable subcontract costs can have a significant impact on the revenue recognized in each period. Auditing such estimates involved especially challenging and subjective auditor judgment to determine the reasonableness of management’s assumptions and estimates that ultimately </w:t>
      </w:r>
      <w:r>
        <w:rPr>
          <w:rFonts w:ascii="Times New Roman" w:eastAsia="Times New Roman" w:hAnsi="Times New Roman" w:cs="Times New Roman"/>
          <w:sz w:val="20"/>
        </w:rPr>
        <w:t>determine</w:t>
      </w:r>
      <w:r>
        <w:rPr>
          <w:rFonts w:ascii="Times New Roman" w:eastAsia="Times New Roman" w:hAnsi="Times New Roman" w:cs="Times New Roman"/>
          <w:sz w:val="20"/>
        </w:rPr>
        <w:t xml:space="preserve"> </w:t>
      </w:r>
      <w:r>
        <w:rPr>
          <w:rFonts w:ascii="Times New Roman" w:eastAsia="Times New Roman" w:hAnsi="Times New Roman" w:cs="Times New Roman"/>
          <w:sz w:val="20"/>
        </w:rPr>
        <w:t>the</w:t>
      </w:r>
      <w:r>
        <w:rPr>
          <w:rFonts w:ascii="Times New Roman" w:eastAsia="Times New Roman" w:hAnsi="Times New Roman" w:cs="Times New Roman"/>
          <w:sz w:val="20"/>
        </w:rPr>
        <w:t xml:space="preserve"> </w:t>
      </w:r>
      <w:r>
        <w:rPr>
          <w:rFonts w:ascii="Times New Roman" w:eastAsia="Times New Roman" w:hAnsi="Times New Roman" w:cs="Times New Roman"/>
          <w:sz w:val="20"/>
        </w:rPr>
        <w:t>amount</w:t>
      </w:r>
      <w:r>
        <w:rPr>
          <w:rFonts w:ascii="Times New Roman" w:eastAsia="Times New Roman" w:hAnsi="Times New Roman" w:cs="Times New Roman"/>
          <w:sz w:val="20"/>
        </w:rPr>
        <w:t xml:space="preserve"> </w:t>
      </w:r>
      <w:r>
        <w:rPr>
          <w:rFonts w:ascii="Times New Roman" w:eastAsia="Times New Roman" w:hAnsi="Times New Roman" w:cs="Times New Roman"/>
          <w:sz w:val="20"/>
        </w:rPr>
        <w:t>of</w:t>
      </w:r>
      <w:r>
        <w:rPr>
          <w:rFonts w:ascii="Times New Roman" w:eastAsia="Times New Roman" w:hAnsi="Times New Roman" w:cs="Times New Roman"/>
          <w:sz w:val="20"/>
        </w:rPr>
        <w:t xml:space="preserve"> </w:t>
      </w:r>
      <w:r>
        <w:rPr>
          <w:rFonts w:ascii="Times New Roman" w:eastAsia="Times New Roman" w:hAnsi="Times New Roman" w:cs="Times New Roman"/>
          <w:sz w:val="20"/>
        </w:rPr>
        <w:t>revenue</w:t>
      </w:r>
      <w:r>
        <w:rPr>
          <w:rFonts w:ascii="Times New Roman" w:eastAsia="Times New Roman" w:hAnsi="Times New Roman" w:cs="Times New Roman"/>
          <w:sz w:val="20"/>
        </w:rPr>
        <w:t xml:space="preserve"> </w:t>
      </w:r>
      <w:r>
        <w:rPr>
          <w:rFonts w:ascii="Times New Roman" w:eastAsia="Times New Roman" w:hAnsi="Times New Roman" w:cs="Times New Roman"/>
          <w:sz w:val="20"/>
        </w:rPr>
        <w:t>to</w:t>
      </w:r>
      <w:r>
        <w:rPr>
          <w:rFonts w:ascii="Times New Roman" w:eastAsia="Times New Roman" w:hAnsi="Times New Roman" w:cs="Times New Roman"/>
          <w:sz w:val="20"/>
        </w:rPr>
        <w:t xml:space="preserve"> </w:t>
      </w:r>
      <w:r>
        <w:rPr>
          <w:rFonts w:ascii="Times New Roman" w:eastAsia="Times New Roman" w:hAnsi="Times New Roman" w:cs="Times New Roman"/>
          <w:sz w:val="20"/>
        </w:rPr>
        <w:t>recognize.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primary procedures we performed to address this critical audit matter included:</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21"/>
        </w:numPr>
        <w:spacing w:before="0" w:after="0" w:line="288" w:lineRule="auto"/>
        <w:ind w:left="72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Evaluating management’s ability to accurately estimate total costs to complete by (i) performing a retrospective review to compare prior year estimates of costs to complete for open Managed Service</w:t>
      </w:r>
      <w:r>
        <w:rPr>
          <w:rFonts w:ascii="Times New Roman" w:eastAsia="Times New Roman" w:hAnsi="Times New Roman" w:cs="Times New Roman"/>
          <w:sz w:val="20"/>
        </w:rPr>
        <w:t>s</w:t>
      </w:r>
      <w:r>
        <w:rPr>
          <w:rFonts w:ascii="Times New Roman" w:eastAsia="Times New Roman" w:hAnsi="Times New Roman" w:cs="Times New Roman"/>
          <w:sz w:val="20"/>
        </w:rPr>
        <w:t xml:space="preserve"> contracts to actual costs incurred upon completion of the contract or updated estimated costs at completion if the contract is still not complete and (ii) evaluating whether contracts which</w:t>
      </w:r>
      <w:r>
        <w:rPr>
          <w:rFonts w:ascii="Times New Roman" w:eastAsia="Times New Roman" w:hAnsi="Times New Roman" w:cs="Times New Roman"/>
          <w:sz w:val="20"/>
        </w:rPr>
        <w:t xml:space="preserve"> were previously completed earned any additional revenues after the contract was assumed to be </w:t>
      </w:r>
      <w:r>
        <w:rPr>
          <w:rFonts w:ascii="Times New Roman" w:eastAsia="Times New Roman" w:hAnsi="Times New Roman" w:cs="Times New Roman"/>
          <w:sz w:val="20"/>
        </w:rPr>
        <w:t>completed.</w:t>
      </w:r>
    </w:p>
    <w:p>
      <w:pPr>
        <w:keepNext w:val="0"/>
        <w:keepLines w:val="0"/>
        <w:pageBreakBefore w:val="0"/>
        <w:widowControl/>
        <w:numPr>
          <w:ilvl w:val="0"/>
          <w:numId w:val="21"/>
        </w:numPr>
        <w:spacing w:before="0" w:after="0" w:line="288" w:lineRule="auto"/>
        <w:ind w:left="72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Assess</w:t>
      </w:r>
      <w:r>
        <w:rPr>
          <w:rFonts w:ascii="Times New Roman" w:eastAsia="Times New Roman" w:hAnsi="Times New Roman" w:cs="Times New Roman"/>
          <w:sz w:val="20"/>
        </w:rPr>
        <w:t>ing the reasonableness of the estimated costs to complete on open contracts as of December 31, 2020 through evaluation of the consistency of expected margins on open contracts to historical margins on completed contracts</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720" w:right="0" w:hanging="1199"/>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Goodwill Impairment</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4"/>
        </w:rPr>
      </w:pPr>
      <w:r>
        <w:rPr>
          <w:rFonts w:ascii="Times New Roman" w:eastAsia="Times New Roman" w:hAnsi="Times New Roman" w:cs="Times New Roman"/>
          <w:sz w:val="20"/>
        </w:rPr>
        <w:t xml:space="preserve">As described in Notes 1 and 3 to the consolidated financial statements, the Company has goodwill of $4.0 million as of December 31, 2020, all of which relates to the Company’s single reporting unit. The Company’s goodwill is the result of the acquisitions of Ebyline, ZenContent, and TapInfluence in previous years. Goodwill is not amortized, but instead is tested for impairment at least annually, or more frequently, if certain indicators are present. In the event that management determines that the value of goodwill has become impaired, they will record a charge for the amount of impairment during the fiscal quarter in which the determination is made. During the </w:t>
      </w:r>
      <w:r>
        <w:rPr>
          <w:rFonts w:ascii="Times New Roman" w:eastAsia="Times New Roman" w:hAnsi="Times New Roman" w:cs="Times New Roman"/>
          <w:sz w:val="20"/>
        </w:rPr>
        <w:t>first quarter of</w:t>
      </w:r>
      <w:r>
        <w:rPr>
          <w:rFonts w:ascii="Times New Roman" w:eastAsia="Times New Roman" w:hAnsi="Times New Roman" w:cs="Times New Roman"/>
          <w:sz w:val="20"/>
        </w:rPr>
        <w:t xml:space="preserve"> 2020, the Company identified </w:t>
      </w:r>
      <w:r>
        <w:rPr>
          <w:rFonts w:ascii="Times New Roman" w:eastAsia="Times New Roman" w:hAnsi="Times New Roman" w:cs="Times New Roman"/>
          <w:sz w:val="20"/>
        </w:rPr>
        <w:t>triggering event</w:t>
      </w:r>
      <w:r>
        <w:rPr>
          <w:rFonts w:ascii="Times New Roman" w:eastAsia="Times New Roman" w:hAnsi="Times New Roman" w:cs="Times New Roman"/>
          <w:sz w:val="20"/>
        </w:rPr>
        <w:t>s</w:t>
      </w:r>
      <w:r>
        <w:rPr>
          <w:rFonts w:ascii="Times New Roman" w:eastAsia="Times New Roman" w:hAnsi="Times New Roman" w:cs="Times New Roman"/>
          <w:sz w:val="20"/>
        </w:rPr>
        <w:t xml:space="preserve"> related to the reduction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 its projected revenue due to adverse economic conditions caused by </w:t>
      </w:r>
      <w:r>
        <w:rPr>
          <w:rFonts w:ascii="Times New Roman" w:eastAsia="Times New Roman" w:hAnsi="Times New Roman" w:cs="Times New Roman"/>
          <w:sz w:val="20"/>
        </w:rPr>
        <w:t xml:space="preserve">the </w:t>
      </w:r>
      <w:r>
        <w:rPr>
          <w:rFonts w:ascii="Times New Roman" w:eastAsia="Times New Roman" w:hAnsi="Times New Roman" w:cs="Times New Roman"/>
          <w:sz w:val="20"/>
        </w:rPr>
        <w:t>COVID-19 pandemic, the continuation of a</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market capitalization below the Company’s carrying value </w:t>
      </w:r>
      <w:r>
        <w:rPr>
          <w:rFonts w:ascii="Times New Roman" w:eastAsia="Times New Roman" w:hAnsi="Times New Roman" w:cs="Times New Roman"/>
          <w:sz w:val="20"/>
        </w:rPr>
        <w:t>and uncertainty for recovery given the volatility of the capital markets surrounding COVID-19</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performed an interim valuation to estimate the fair value of the reporting unit. As a result of the impairment assessment performed by the Company a $4.3 million impairment of </w:t>
      </w:r>
      <w:r>
        <w:rPr>
          <w:rFonts w:ascii="Times New Roman" w:eastAsia="Times New Roman" w:hAnsi="Times New Roman" w:cs="Times New Roman"/>
          <w:sz w:val="20"/>
        </w:rPr>
        <w:t>g</w:t>
      </w:r>
      <w:r>
        <w:rPr>
          <w:rFonts w:ascii="Times New Roman" w:eastAsia="Times New Roman" w:hAnsi="Times New Roman" w:cs="Times New Roman"/>
          <w:sz w:val="20"/>
        </w:rPr>
        <w:t>oodwill was recorded during the year ending December 31, 2020.</w:t>
      </w:r>
      <w:r>
        <w:rPr>
          <w:rFonts w:ascii="Times New Roman" w:eastAsia="Times New Roman" w:hAnsi="Times New Roman" w:cs="Times New Roman"/>
          <w:sz w:val="20"/>
        </w:rPr>
        <w:t xml:space="preserve"> </w:t>
      </w:r>
      <w:r>
        <w:rPr>
          <w:rFonts w:ascii="Times New Roman" w:eastAsia="Times New Roman" w:hAnsi="Times New Roman" w:cs="Times New Roman"/>
          <w:sz w:val="20"/>
        </w:rPr>
        <w:t>The Company used the discounted cash flow method under the income approach and the guideline transaction method under the market approach to estimate the fair value of the reporting unit</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1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identified the </w:t>
      </w:r>
      <w:r>
        <w:rPr>
          <w:rFonts w:ascii="Times New Roman" w:eastAsia="Times New Roman" w:hAnsi="Times New Roman" w:cs="Times New Roman"/>
          <w:sz w:val="20"/>
        </w:rPr>
        <w:t>estimate of the</w:t>
      </w:r>
      <w:r>
        <w:rPr>
          <w:rFonts w:ascii="Times New Roman" w:eastAsia="Times New Roman" w:hAnsi="Times New Roman" w:cs="Times New Roman"/>
          <w:sz w:val="20"/>
        </w:rPr>
        <w:t xml:space="preserve"> fair value of the </w:t>
      </w:r>
      <w:r>
        <w:rPr>
          <w:rFonts w:ascii="Times New Roman" w:eastAsia="Times New Roman" w:hAnsi="Times New Roman" w:cs="Times New Roman"/>
          <w:sz w:val="20"/>
        </w:rPr>
        <w:t xml:space="preserve">Company’s </w:t>
      </w:r>
      <w:r>
        <w:rPr>
          <w:rFonts w:ascii="Times New Roman" w:eastAsia="Times New Roman" w:hAnsi="Times New Roman" w:cs="Times New Roman"/>
          <w:sz w:val="20"/>
        </w:rPr>
        <w:t>single reporting unit</w:t>
      </w:r>
      <w:r>
        <w:rPr>
          <w:rFonts w:ascii="Times New Roman" w:eastAsia="Times New Roman" w:hAnsi="Times New Roman" w:cs="Times New Roman"/>
          <w:sz w:val="20"/>
        </w:rPr>
        <w:t xml:space="preserve"> as a critical audit matter. Estimation of the fair value of the Company’s single reporting unit requires management to make significant estimates and assumptions related to future cash flows, growth rates for the business, future economic conditions, and discount rates. Auditing management’s assumptions used in the determination of the fair value of the single reporting unit was especially challenging due to the nature of audit effort required to address the subjective estimates, including the extent of specialized skill and knowledge needed.</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1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primary procedures we performed to address this critical audit matter included:</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24"/>
        </w:numPr>
        <w:spacing w:before="0" w:after="0" w:line="288" w:lineRule="auto"/>
        <w:ind w:left="72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Assessing the reasonableness of estimated future cash flows based on the growth rates for the business and future economic conditions</w:t>
      </w:r>
      <w:r>
        <w:rPr>
          <w:rFonts w:ascii="Times New Roman" w:eastAsia="Times New Roman" w:hAnsi="Times New Roman" w:cs="Times New Roman"/>
          <w:sz w:val="20"/>
        </w:rPr>
        <w:t>, including the impact of COVID-19,</w:t>
      </w:r>
      <w:r>
        <w:rPr>
          <w:rFonts w:ascii="Times New Roman" w:eastAsia="Times New Roman" w:hAnsi="Times New Roman" w:cs="Times New Roman"/>
          <w:sz w:val="20"/>
        </w:rPr>
        <w:t xml:space="preserve"> by comparing the estimated future cash flows to (i) historical operating results of the Company, and (ii) information included in industry reports and publicly available information related to the industry in which the Company operates.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25"/>
        </w:numPr>
        <w:spacing w:before="0" w:after="0" w:line="288" w:lineRule="auto"/>
        <w:ind w:left="720" w:right="0" w:hanging="360"/>
        <w:jc w:val="both"/>
        <w:outlineLvl w:val="9"/>
        <w:rPr>
          <w:rFonts w:ascii="Times New Roman" w:eastAsia="Times New Roman" w:hAnsi="Times New Roman" w:cs="Times New Roman"/>
          <w:sz w:val="20"/>
        </w:rPr>
      </w:pPr>
      <w:r>
        <w:rPr>
          <w:rFonts w:ascii="Times New Roman" w:eastAsia="Times New Roman" w:hAnsi="Times New Roman" w:cs="Times New Roman"/>
          <w:sz w:val="20"/>
        </w:rPr>
        <w:t>Utilizing personnel with specialized knowledge and skill in valuation to assist in: (i) evaluating the reasonableness of the valuation methodologies utilized by the Company, (ii) testing the reasonableness of the Company-specific discount rate used against other comparable publicly traded companies, and (iii) evaluating the appropriateness of the revenue multiple used, including testing the source information utilized.</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/s/ BDO USA, LLP</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We have served as the Company's auditor since 2015.</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Orlando, Florida</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March 30, 2021</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2"/>
        <w:rPr>
          <w:rFonts w:ascii="Times New Roman" w:eastAsia="Times New Roman" w:hAnsi="Times New Roman" w:cs="Times New Roman"/>
          <w:sz w:val="20"/>
        </w:rPr>
      </w:pPr>
      <w:bookmarkStart w:id="25" w:name="Section26"/>
      <w:bookmarkEnd w:id="25"/>
      <w:r>
        <w:rPr>
          <w:rFonts w:ascii="Times New Roman" w:eastAsia="Times New Roman" w:hAnsi="Times New Roman" w:cs="Times New Roman"/>
          <w:sz w:val="20"/>
        </w:rPr>
        <w:t>IZEA Worldwide, Inc.</w:t>
      </w:r>
    </w:p>
    <w:p>
      <w:pPr>
        <w:keepNext w:val="0"/>
        <w:keepLines w:val="0"/>
        <w:pageBreakBefore w:val="0"/>
        <w:widowControl/>
        <w:numPr>
          <w:ilvl w:val="0"/>
          <w:numId w:val="0"/>
        </w:numPr>
        <w:spacing w:before="0" w:after="10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Consolidated Balance Sheets</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155"/>
        <w:gridCol w:w="160"/>
        <w:gridCol w:w="1240"/>
        <w:gridCol w:w="100"/>
        <w:gridCol w:w="75"/>
        <w:gridCol w:w="160"/>
        <w:gridCol w:w="1240"/>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71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w:t>
            </w:r>
            <w:r>
              <w:br/>
            </w:r>
            <w:r>
              <w:rPr>
                <w:rFonts w:ascii="Times New Roman" w:eastAsia="Times New Roman" w:hAnsi="Times New Roman" w:cs="Times New Roman"/>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w:t>
            </w:r>
            <w:r>
              <w:br/>
            </w:r>
            <w:r>
              <w:rPr>
                <w:rFonts w:ascii="Times New Roman" w:eastAsia="Times New Roman" w:hAnsi="Times New Roman" w:cs="Times New Roman"/>
                <w:color w:val="000000"/>
                <w:sz w:val="18"/>
              </w:rPr>
              <w:t>2019</w:t>
            </w: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20"/>
              </w:rPr>
              <w:t>Assets</w:t>
            </w:r>
          </w:p>
        </w:tc>
        <w:tc>
          <w:tcPr>
            <w:tcW w:w="150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Current assets:</w:t>
            </w: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Cash and cash equivalents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33,045,225 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5,884,629 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Accounts receivable, net</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5,207,205 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5,596,719 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Prepaid expenses</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199,294 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400,181 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Other current assets</w:t>
            </w: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74,467 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153,031 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20"/>
              </w:rPr>
              <w:t>Total current assets</w:t>
            </w: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38,526,191 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12,034,560 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35" w:type="dxa"/>
          <w:jc w:val="left"/>
          <w:tblInd w:w="0" w:type="dxa"/>
          <w:tblCellMar>
            <w:left w:w="108" w:type="dxa"/>
            <w:right w:w="108" w:type="dxa"/>
          </w:tblCellMar>
        </w:tblPrEx>
        <w:trPr>
          <w:cantSplit/>
          <w:trHeight w:hRule="exact" w:val="195"/>
          <w:jc w:val="left"/>
        </w:trPr>
        <w:tc>
          <w:tcPr>
            <w:tcW w:w="71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xml:space="preserve">Property and equipment, net </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230,918 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309,780 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Goodwill</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4,016,722 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8,316,722 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Intangible assets, net</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505,556 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1,611,516 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xml:space="preserve">Software development costs, net </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1,472,684 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1,519,980 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Security deposits</w:t>
            </w: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151,803 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720"/>
              <w:jc w:val="left"/>
            </w:pPr>
            <w:r>
              <w:rPr>
                <w:rFonts w:ascii="Times New Roman" w:eastAsia="Times New Roman" w:hAnsi="Times New Roman" w:cs="Times New Roman"/>
                <w:color w:val="000000"/>
                <w:sz w:val="20"/>
              </w:rPr>
              <w:t>Total assets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44,752,071 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23,944,361 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jc w:val="left"/>
          <w:tblInd w:w="0" w:type="dxa"/>
          <w:tblCellMar>
            <w:left w:w="108" w:type="dxa"/>
            <w:right w:w="108" w:type="dxa"/>
          </w:tblCellMar>
        </w:tblPrEx>
        <w:trPr>
          <w:cantSplit/>
          <w:trHeight w:hRule="exact" w:val="165"/>
          <w:jc w:val="left"/>
        </w:trPr>
        <w:tc>
          <w:tcPr>
            <w:tcW w:w="71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20"/>
              </w:rPr>
              <w:t>Liabilities and Stockholders’ Equity</w:t>
            </w: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Current liabilities:</w:t>
            </w:r>
          </w:p>
        </w:tc>
        <w:tc>
          <w:tcPr>
            <w:tcW w:w="150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Accounts payable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1,880,144 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2,252,536 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Accrued expenses</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1,924,973 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1,377,556 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Contract liabilities</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7,180,264 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6,466,766 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Current portion of notes payable</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1,477,139 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Lease liability</w:t>
            </w: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83,807 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20"/>
              </w:rPr>
              <w:t>Total current liabilities</w:t>
            </w:r>
          </w:p>
        </w:tc>
        <w:tc>
          <w:tcPr>
            <w:tcW w:w="14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12,462,520 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10,180,665 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35" w:type="dxa"/>
          <w:jc w:val="left"/>
          <w:tblInd w:w="0" w:type="dxa"/>
          <w:tblCellMar>
            <w:left w:w="108" w:type="dxa"/>
            <w:right w:w="108" w:type="dxa"/>
          </w:tblCellMar>
        </w:tblPrEx>
        <w:trPr>
          <w:cantSplit/>
          <w:trHeight w:hRule="exact" w:val="195"/>
          <w:jc w:val="left"/>
        </w:trPr>
        <w:tc>
          <w:tcPr>
            <w:tcW w:w="71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Finance obligation, less current portion</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43,808 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45,673 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Notes payable, less current portion</w:t>
            </w: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459,383 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20"/>
              </w:rPr>
              <w:t>Total liabilities</w:t>
            </w: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12,965,711 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10,226,338 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Commitments and Contingencies (Note 7)</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195"/>
          <w:jc w:val="left"/>
        </w:trPr>
        <w:tc>
          <w:tcPr>
            <w:tcW w:w="71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Stockholders’ equity:</w:t>
            </w:r>
          </w:p>
        </w:tc>
        <w:tc>
          <w:tcPr>
            <w:tcW w:w="150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 </w:t>
            </w:r>
          </w:p>
        </w:tc>
      </w:tr>
      <w:tr>
        <w:tblPrEx>
          <w:tblW w:w="10435" w:type="dxa"/>
          <w:jc w:val="left"/>
          <w:tblInd w:w="0" w:type="dxa"/>
          <w:tblCellMar>
            <w:left w:w="108" w:type="dxa"/>
            <w:right w:w="108" w:type="dxa"/>
          </w:tblCellMar>
        </w:tblPrEx>
        <w:trPr>
          <w:cantSplit/>
          <w:trHeight w:hRule="exact" w:val="49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Preferred stock; $.0001 par value; 10,000,000 shares authorized; no shares issued and outstanding</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49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Common stock; $.0001 par value; 200,000,000 shares authorized; 50,050,167 and 34,634,172, respectively, issued and outstanding</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5,005 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3,464 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Additional paid-in capital</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102,416,131 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74,099,328 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Accumulated deficit</w:t>
            </w: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(70,634,776)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(60,384,769)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20"/>
              </w:rPr>
              <w:t>Total stockholders’ equity</w:t>
            </w:r>
          </w:p>
        </w:tc>
        <w:tc>
          <w:tcPr>
            <w:tcW w:w="14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31,786,360 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13,718,023 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720"/>
              <w:jc w:val="left"/>
            </w:pPr>
            <w:r>
              <w:rPr>
                <w:rFonts w:ascii="Times New Roman" w:eastAsia="Times New Roman" w:hAnsi="Times New Roman" w:cs="Times New Roman"/>
                <w:color w:val="000000"/>
                <w:sz w:val="20"/>
              </w:rPr>
              <w:t>Total liabilities and stockholders’ equity</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44,752,071 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23,944,361 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See accompanying notes to the </w:t>
      </w:r>
      <w:r>
        <w:rPr>
          <w:rFonts w:ascii="Times New Roman" w:eastAsia="Times New Roman" w:hAnsi="Times New Roman" w:cs="Times New Roman"/>
          <w:i/>
          <w:sz w:val="20"/>
        </w:rPr>
        <w:t>consolidated financial statements.</w:t>
      </w:r>
    </w:p>
    <w:p>
      <w:pPr>
        <w:keepNext w:val="0"/>
        <w:keepLines w:val="0"/>
        <w:pageBreakBefore w:val="0"/>
        <w:widowControl/>
        <w:numPr>
          <w:ilvl w:val="0"/>
          <w:numId w:val="0"/>
        </w:numPr>
        <w:spacing w:before="0" w:after="0" w:line="288" w:lineRule="auto"/>
        <w:ind w:left="0" w:right="0" w:firstLine="0"/>
        <w:jc w:val="center"/>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2"/>
        <w:rPr>
          <w:rFonts w:ascii="Times New Roman" w:eastAsia="Times New Roman" w:hAnsi="Times New Roman" w:cs="Times New Roman"/>
          <w:sz w:val="20"/>
        </w:rPr>
      </w:pPr>
      <w:bookmarkStart w:id="26" w:name="Section27"/>
      <w:bookmarkEnd w:id="26"/>
      <w:r>
        <w:rPr>
          <w:rFonts w:ascii="Times New Roman" w:eastAsia="Times New Roman" w:hAnsi="Times New Roman" w:cs="Times New Roman"/>
          <w:sz w:val="20"/>
        </w:rPr>
        <w:t>IZEA Worldwide, Inc.</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Consolidated Statements of Operations</w:t>
      </w:r>
      <w:r>
        <w:rPr>
          <w:rFonts w:ascii="Times New Roman" w:eastAsia="Times New Roman" w:hAnsi="Times New Roman" w:cs="Times New Roman"/>
          <w:sz w:val="20"/>
        </w:rPr>
        <w:t xml:space="preserve"> and Comprehensive Loss</w:t>
      </w:r>
    </w:p>
    <w:p>
      <w:pPr>
        <w:keepNext w:val="0"/>
        <w:keepLines w:val="0"/>
        <w:pageBreakBefore w:val="0"/>
        <w:widowControl/>
        <w:numPr>
          <w:ilvl w:val="0"/>
          <w:numId w:val="0"/>
        </w:numPr>
        <w:spacing w:before="0" w:after="10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w:t>
      </w:r>
    </w:p>
    <w:tbl>
      <w:tblPr>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00"/>
        <w:gridCol w:w="60"/>
        <w:gridCol w:w="160"/>
        <w:gridCol w:w="1345"/>
        <w:gridCol w:w="100"/>
        <w:gridCol w:w="75"/>
        <w:gridCol w:w="160"/>
        <w:gridCol w:w="1345"/>
        <w:gridCol w:w="100"/>
      </w:tblGrid>
      <w:tr>
        <w:tblPrEx>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690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 </w:t>
            </w: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28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Twelve Months Ended December 31,</w:t>
            </w:r>
          </w:p>
        </w:tc>
      </w:tr>
      <w:tr>
        <w:tblPrEx>
          <w:tblW w:w="10450" w:type="dxa"/>
          <w:jc w:val="center"/>
          <w:tblInd w:w="0" w:type="dxa"/>
          <w:tblCellMar>
            <w:left w:w="108" w:type="dxa"/>
            <w:right w:w="108" w:type="dxa"/>
          </w:tblCellMar>
        </w:tblPrEx>
        <w:trPr>
          <w:cantSplit/>
          <w:trHeight w:hRule="exact" w:val="285"/>
          <w:jc w:val="center"/>
        </w:trPr>
        <w:tc>
          <w:tcPr>
            <w:tcW w:w="69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2019</w:t>
            </w: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Revenue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18,329,555 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18,955,672 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50" w:type="dxa"/>
          <w:jc w:val="center"/>
          <w:tblInd w:w="0" w:type="dxa"/>
          <w:tblCellMar>
            <w:left w:w="108" w:type="dxa"/>
            <w:right w:w="108" w:type="dxa"/>
          </w:tblCellMar>
        </w:tblPrEx>
        <w:trPr>
          <w:cantSplit/>
          <w:trHeight w:hRule="exact" w:val="165"/>
          <w:jc w:val="center"/>
        </w:trPr>
        <w:tc>
          <w:tcPr>
            <w:tcW w:w="69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Costs and expenses: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 </w:t>
            </w: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 xml:space="preserve">Cost of revenue (exclusive of amortization)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8,000,038 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8,521,353 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Sales and marketing</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5,999,671 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6,240,263 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General and administrative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8,611,423 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9,193,032 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Impairment of goodwill and intangible assets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4,300,000 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418,099 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Depreciation and amortization</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1,652,126 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1,750,629 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20"/>
              </w:rPr>
              <w:t>Total costs and expenses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28,563,258 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26,123,376 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50" w:type="dxa"/>
          <w:jc w:val="center"/>
          <w:tblInd w:w="0" w:type="dxa"/>
          <w:tblCellMar>
            <w:left w:w="108" w:type="dxa"/>
            <w:right w:w="108" w:type="dxa"/>
          </w:tblCellMar>
        </w:tblPrEx>
        <w:trPr>
          <w:cantSplit/>
          <w:trHeight w:hRule="exact" w:val="165"/>
          <w:jc w:val="center"/>
        </w:trPr>
        <w:tc>
          <w:tcPr>
            <w:tcW w:w="69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Loss from operations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(10,233,703)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(7,167,704)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0" w:type="dxa"/>
          <w:tblCellMar>
            <w:left w:w="108" w:type="dxa"/>
            <w:right w:w="108" w:type="dxa"/>
          </w:tblCellMar>
        </w:tblPrEx>
        <w:trPr>
          <w:cantSplit/>
          <w:trHeight w:hRule="exact" w:val="165"/>
          <w:jc w:val="center"/>
        </w:trPr>
        <w:tc>
          <w:tcPr>
            <w:tcW w:w="69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Other income (expense):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 </w:t>
            </w: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Interest expense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(63,012)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(233,654)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Other income, net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46,708 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111,238 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20"/>
              </w:rPr>
              <w:t>Total other income (expense), net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(16,304)</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(122,416)</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50" w:type="dxa"/>
          <w:jc w:val="center"/>
          <w:tblInd w:w="0" w:type="dxa"/>
          <w:tblCellMar>
            <w:left w:w="108" w:type="dxa"/>
            <w:right w:w="108" w:type="dxa"/>
          </w:tblCellMar>
        </w:tblPrEx>
        <w:trPr>
          <w:cantSplit/>
          <w:trHeight w:hRule="exact" w:val="165"/>
          <w:jc w:val="center"/>
        </w:trPr>
        <w:tc>
          <w:tcPr>
            <w:tcW w:w="69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Net loss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(10,250,007)</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(7,290,120)</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50" w:type="dxa"/>
          <w:jc w:val="center"/>
          <w:tblInd w:w="0" w:type="dxa"/>
          <w:tblCellMar>
            <w:left w:w="108" w:type="dxa"/>
            <w:right w:w="108" w:type="dxa"/>
          </w:tblCellMar>
        </w:tblPrEx>
        <w:trPr>
          <w:cantSplit/>
          <w:trHeight w:hRule="exact" w:val="165"/>
          <w:jc w:val="center"/>
        </w:trPr>
        <w:tc>
          <w:tcPr>
            <w:tcW w:w="69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495"/>
          <w:jc w:val="center"/>
        </w:trPr>
        <w:tc>
          <w:tcPr>
            <w:tcW w:w="69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Weighted average common shares outstanding – basic and diluted</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41,289,705 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25,516,573 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50" w:type="dxa"/>
          <w:jc w:val="center"/>
          <w:tblInd w:w="0" w:type="dxa"/>
          <w:tblCellMar>
            <w:left w:w="108" w:type="dxa"/>
            <w:right w:w="108" w:type="dxa"/>
          </w:tblCellMar>
        </w:tblPrEx>
        <w:trPr>
          <w:cantSplit/>
          <w:trHeight w:hRule="exact" w:val="300"/>
          <w:jc w:val="center"/>
        </w:trPr>
        <w:tc>
          <w:tcPr>
            <w:tcW w:w="690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Basic and diluted loss per common share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(0.25)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34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(0.29)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r>
    </w:tbl>
    <w:p>
      <w:pPr>
        <w:keepNext w:val="0"/>
        <w:keepLines w:val="0"/>
        <w:pageBreakBefore w:val="0"/>
        <w:widowControl/>
        <w:numPr>
          <w:ilvl w:val="0"/>
          <w:numId w:val="0"/>
        </w:numPr>
        <w:spacing w:before="10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See accompanying notes to the </w:t>
      </w:r>
      <w:r>
        <w:rPr>
          <w:rFonts w:ascii="Times New Roman" w:eastAsia="Times New Roman" w:hAnsi="Times New Roman" w:cs="Times New Roman"/>
          <w:i/>
          <w:sz w:val="20"/>
        </w:rPr>
        <w:t>consolidated financial statements.</w:t>
      </w:r>
    </w:p>
    <w:p>
      <w:pPr>
        <w:keepNext w:val="0"/>
        <w:keepLines w:val="0"/>
        <w:pageBreakBefore w:val="0"/>
        <w:widowControl/>
        <w:numPr>
          <w:ilvl w:val="0"/>
          <w:numId w:val="0"/>
        </w:numPr>
        <w:spacing w:before="0" w:after="0" w:line="288" w:lineRule="auto"/>
        <w:ind w:left="0" w:right="0" w:firstLine="0"/>
        <w:jc w:val="center"/>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2"/>
        <w:rPr>
          <w:rFonts w:ascii="Times New Roman" w:eastAsia="Times New Roman" w:hAnsi="Times New Roman" w:cs="Times New Roman"/>
          <w:sz w:val="20"/>
        </w:rPr>
      </w:pPr>
      <w:bookmarkStart w:id="27" w:name="Section28"/>
      <w:bookmarkEnd w:id="27"/>
      <w:r>
        <w:rPr>
          <w:rFonts w:ascii="Times New Roman" w:eastAsia="Times New Roman" w:hAnsi="Times New Roman" w:cs="Times New Roman"/>
          <w:sz w:val="20"/>
        </w:rPr>
        <w:t>IZEA Worldwide, Inc.</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Consolidated Statements of Stockholders’ Equity</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u w:val="single"/>
        </w:rPr>
      </w:pPr>
    </w:p>
    <w:p>
      <w:pPr>
        <w:keepNext w:val="0"/>
        <w:keepLines w:val="0"/>
        <w:pageBreakBefore w:val="0"/>
        <w:widowControl/>
        <w:numPr>
          <w:ilvl w:val="0"/>
          <w:numId w:val="0"/>
        </w:numPr>
        <w:spacing w:before="0" w:after="220" w:line="288" w:lineRule="auto"/>
        <w:ind w:left="0" w:right="0" w:firstLine="0"/>
        <w:jc w:val="center"/>
        <w:outlineLvl w:val="9"/>
        <w:rPr>
          <w:rFonts w:ascii="Times New Roman" w:eastAsia="Times New Roman" w:hAnsi="Times New Roman" w:cs="Times New Roman"/>
          <w:b/>
          <w:i/>
          <w:sz w:val="20"/>
          <w:u w:val="single"/>
        </w:rPr>
      </w:pPr>
    </w:p>
    <w:tbl>
      <w:tblPr>
        <w:tblW w:w="1029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05"/>
        <w:gridCol w:w="75"/>
        <w:gridCol w:w="980"/>
        <w:gridCol w:w="100"/>
        <w:gridCol w:w="165"/>
        <w:gridCol w:w="160"/>
        <w:gridCol w:w="565"/>
        <w:gridCol w:w="100"/>
        <w:gridCol w:w="75"/>
        <w:gridCol w:w="160"/>
        <w:gridCol w:w="895"/>
        <w:gridCol w:w="100"/>
        <w:gridCol w:w="75"/>
        <w:gridCol w:w="160"/>
        <w:gridCol w:w="925"/>
        <w:gridCol w:w="100"/>
        <w:gridCol w:w="75"/>
        <w:gridCol w:w="160"/>
        <w:gridCol w:w="820"/>
        <w:gridCol w:w="100"/>
      </w:tblGrid>
      <w:tr>
        <w:tblPrEx>
          <w:tblW w:w="1029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85"/>
          <w:jc w:val="center"/>
        </w:trPr>
        <w:tc>
          <w:tcPr>
            <w:tcW w:w="4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70" w:type="dxa"/>
            <w:gridSpan w:val="6"/>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6"/>
              </w:rPr>
              <w:t>Common Stock</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16"/>
              </w:rPr>
              <w:t>Additional</w:t>
            </w:r>
          </w:p>
          <w:p>
            <w:pPr>
              <w:spacing w:after="30" w:line="240" w:lineRule="auto"/>
              <w:ind w:left="0" w:right="0"/>
              <w:jc w:val="center"/>
            </w:pPr>
            <w:r>
              <w:rPr>
                <w:rFonts w:ascii="Times New Roman" w:eastAsia="Times New Roman" w:hAnsi="Times New Roman" w:cs="Times New Roman"/>
                <w:color w:val="000000"/>
                <w:sz w:val="16"/>
              </w:rPr>
              <w:t>Paid-In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6"/>
              </w:rPr>
              <w:t>Accumulated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16"/>
              </w:rPr>
              <w:t>Total</w:t>
            </w:r>
          </w:p>
          <w:p>
            <w:pPr>
              <w:spacing w:after="30" w:line="240" w:lineRule="auto"/>
              <w:ind w:left="0" w:right="0"/>
              <w:jc w:val="center"/>
            </w:pPr>
            <w:r>
              <w:rPr>
                <w:rFonts w:ascii="Times New Roman" w:eastAsia="Times New Roman" w:hAnsi="Times New Roman" w:cs="Times New Roman"/>
                <w:color w:val="000000"/>
                <w:sz w:val="16"/>
              </w:rPr>
              <w:t>Stockholders’</w:t>
            </w:r>
          </w:p>
        </w:tc>
      </w:tr>
      <w:tr>
        <w:tblPrEx>
          <w:tblW w:w="10297" w:type="dxa"/>
          <w:jc w:val="center"/>
          <w:tblInd w:w="0" w:type="dxa"/>
          <w:tblCellMar>
            <w:left w:w="108" w:type="dxa"/>
            <w:right w:w="108" w:type="dxa"/>
          </w:tblCellMar>
        </w:tblPrEx>
        <w:trPr>
          <w:cantSplit/>
          <w:trHeight w:hRule="exact" w:val="225"/>
          <w:jc w:val="center"/>
        </w:trPr>
        <w:tc>
          <w:tcPr>
            <w:tcW w:w="4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6"/>
              </w:rPr>
              <w:t>Shares</w:t>
            </w:r>
          </w:p>
        </w:tc>
        <w:tc>
          <w:tcPr>
            <w:tcW w:w="165" w:type="dxa"/>
            <w:tcBorders>
              <w:top w:val="single" w:sz="8" w:space="0" w:color="000000"/>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8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6"/>
              </w:rPr>
              <w:t>Amount</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6"/>
              </w:rPr>
              <w:t>Capital</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6"/>
              </w:rPr>
              <w:t>Deficit</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6"/>
              </w:rPr>
              <w:t>Equity</w:t>
            </w:r>
          </w:p>
        </w:tc>
      </w:tr>
      <w:tr>
        <w:tblPrEx>
          <w:tblW w:w="10297"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color w:val="000000"/>
                <w:sz w:val="18"/>
              </w:rPr>
              <w:t>Balance, December 31, 2018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12,075,708 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1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1,208 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60,311,756 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(53,094,649)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7,218,315 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297"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Sale of securities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14,285,714 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1,429 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9,998,571 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10,000,000 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297"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Stock issued for payment of acquisition liability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8,015,876 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801 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4,003,596 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4,004,397 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297"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Stock purchase plan issuances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26,411 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6,976 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6,979 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297"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Stock issued for payment of services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83,826 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141,657 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141,665 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297"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Stock issuance costs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(788,752)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(788,752)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297"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Stock-based compensation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146,637 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425,524 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425,539 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297"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Net loss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(7,290,120)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(7,290,120)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297"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color w:val="000000"/>
                <w:sz w:val="18"/>
              </w:rPr>
              <w:t>Balance, December 31, 2019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34,634,172 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1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3,464 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74,099,328 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(60,384,769)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8"/>
              </w:rPr>
              <w:t>13,718,023 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297"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Sale of securities</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14,819,740 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1,482 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28,453,614 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28,455,096 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297"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Stock purchase plan &amp; option exercise issuances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15,573 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7,633 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7,634 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297"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Stock issued for payment of services</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390,625 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124,961 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125,000 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297"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Stock issuance costs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(747,379)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(747,379)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297"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Stock-based compensation</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190,057 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477,974 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477,993 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297"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8"/>
              </w:rPr>
              <w:t>Net loss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98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6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7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5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(10,250,007)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8"/>
              </w:rPr>
              <w:t>(10,250,007)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297"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b/>
                <w:color w:val="000000"/>
                <w:sz w:val="18"/>
              </w:rPr>
              <w:t>Balance, December 31, 2020</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right="0"/>
              <w:jc w:val="right"/>
            </w:pPr>
          </w:p>
        </w:tc>
        <w:tc>
          <w:tcPr>
            <w:tcW w:w="98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18"/>
              </w:rPr>
              <w:t>50,050,167 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p>
        </w:tc>
        <w:tc>
          <w:tcPr>
            <w:tcW w:w="165"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pPr>
              <w:pageBreakBefore w:val="0"/>
              <w:spacing w:before="55" w:after="30" w:line="240" w:lineRule="auto"/>
              <w:ind w:right="0"/>
              <w:jc w:val="righ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18"/>
              </w:rPr>
              <w:t>5,005 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single" w:sz="8" w:space="0" w:color="000000"/>
              <w:left w:val="nil"/>
              <w:bottom w:val="double" w:sz="8" w:space="0" w:color="000000"/>
              <w:right w:val="nil"/>
            </w:tcBorders>
            <w:shd w:val="clear" w:color="auto" w:fill="FFFFFF"/>
            <w:tcMar>
              <w:top w:w="0" w:type="dxa"/>
              <w:left w:w="53" w:type="dxa"/>
              <w:bottom w:w="0" w:type="dxa"/>
              <w:right w:w="15" w:type="dxa"/>
            </w:tcMar>
            <w:vAlign w:val="bottom"/>
          </w:tcPr>
          <w:p>
            <w:pPr>
              <w:pageBreakBefore w:val="0"/>
              <w:spacing w:before="55" w:after="30" w:line="240" w:lineRule="auto"/>
              <w:ind w:right="0"/>
              <w:jc w:val="righ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18"/>
              </w:rPr>
              <w:t>102,416,131 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single" w:sz="8" w:space="0" w:color="000000"/>
              <w:left w:val="nil"/>
              <w:bottom w:val="double" w:sz="8" w:space="0" w:color="000000"/>
              <w:right w:val="nil"/>
            </w:tcBorders>
            <w:shd w:val="clear" w:color="auto" w:fill="FFFFFF"/>
            <w:tcMar>
              <w:top w:w="0" w:type="dxa"/>
              <w:left w:w="53" w:type="dxa"/>
              <w:bottom w:w="0" w:type="dxa"/>
              <w:right w:w="15" w:type="dxa"/>
            </w:tcMar>
            <w:vAlign w:val="bottom"/>
          </w:tcPr>
          <w:p>
            <w:pPr>
              <w:pageBreakBefore w:val="0"/>
              <w:spacing w:before="55" w:after="30" w:line="240" w:lineRule="auto"/>
              <w:ind w:right="0"/>
              <w:jc w:val="righ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18"/>
              </w:rPr>
              <w:t>(70,634,776)</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single" w:sz="8" w:space="0" w:color="000000"/>
              <w:left w:val="nil"/>
              <w:bottom w:val="double" w:sz="8" w:space="0" w:color="000000"/>
              <w:right w:val="nil"/>
            </w:tcBorders>
            <w:shd w:val="clear" w:color="auto" w:fill="FFFFFF"/>
            <w:tcMar>
              <w:top w:w="0" w:type="dxa"/>
              <w:left w:w="53" w:type="dxa"/>
              <w:bottom w:w="0" w:type="dxa"/>
              <w:right w:w="15" w:type="dxa"/>
            </w:tcMar>
            <w:vAlign w:val="bottom"/>
          </w:tcPr>
          <w:p>
            <w:pPr>
              <w:pageBreakBefore w:val="0"/>
              <w:spacing w:before="55" w:after="30" w:line="240" w:lineRule="auto"/>
              <w:ind w:right="0"/>
              <w:jc w:val="righ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18"/>
              </w:rPr>
              <w:t>31,786,360 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See accompanying notes to the </w:t>
      </w:r>
      <w:r>
        <w:rPr>
          <w:rFonts w:ascii="Times New Roman" w:eastAsia="Times New Roman" w:hAnsi="Times New Roman" w:cs="Times New Roman"/>
          <w:i/>
          <w:sz w:val="20"/>
        </w:rPr>
        <w:t>consolidated financial statements.</w:t>
      </w:r>
    </w:p>
    <w:p>
      <w:pPr>
        <w:keepNext w:val="0"/>
        <w:keepLines w:val="0"/>
        <w:pageBreakBefore w:val="0"/>
        <w:widowControl/>
        <w:numPr>
          <w:ilvl w:val="0"/>
          <w:numId w:val="0"/>
        </w:numPr>
        <w:spacing w:before="0" w:after="0" w:line="288" w:lineRule="auto"/>
        <w:ind w:left="0" w:right="0" w:firstLine="0"/>
        <w:jc w:val="center"/>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2"/>
        <w:rPr>
          <w:rFonts w:ascii="Times New Roman" w:eastAsia="Times New Roman" w:hAnsi="Times New Roman" w:cs="Times New Roman"/>
          <w:sz w:val="20"/>
        </w:rPr>
      </w:pPr>
      <w:bookmarkStart w:id="28" w:name="Section29"/>
      <w:bookmarkEnd w:id="28"/>
      <w:r>
        <w:rPr>
          <w:rFonts w:ascii="Times New Roman" w:eastAsia="Times New Roman" w:hAnsi="Times New Roman" w:cs="Times New Roman"/>
          <w:sz w:val="20"/>
        </w:rPr>
        <w:t>IZEA Worldwide, Inc.</w:t>
      </w:r>
    </w:p>
    <w:p>
      <w:pPr>
        <w:keepNext w:val="0"/>
        <w:keepLines w:val="0"/>
        <w:pageBreakBefore w:val="0"/>
        <w:widowControl/>
        <w:numPr>
          <w:ilvl w:val="0"/>
          <w:numId w:val="0"/>
        </w:numPr>
        <w:spacing w:before="0" w:after="10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Consolidated Statements of Cash Flows</w:t>
      </w:r>
    </w:p>
    <w:tbl>
      <w:tblPr>
        <w:tblW w:w="1043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275"/>
        <w:gridCol w:w="160"/>
        <w:gridCol w:w="1180"/>
        <w:gridCol w:w="100"/>
        <w:gridCol w:w="75"/>
        <w:gridCol w:w="160"/>
        <w:gridCol w:w="1180"/>
        <w:gridCol w:w="100"/>
      </w:tblGrid>
      <w:tr>
        <w:tblPrEx>
          <w:tblW w:w="1043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center"/>
        </w:trPr>
        <w:tc>
          <w:tcPr>
            <w:tcW w:w="72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95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9"/>
              </w:rPr>
              <w:t>Twelve Months Ended December 31,</w:t>
            </w:r>
          </w:p>
        </w:tc>
      </w:tr>
      <w:tr>
        <w:tblPrEx>
          <w:tblW w:w="10435" w:type="dxa"/>
          <w:jc w:val="center"/>
          <w:tblInd w:w="0" w:type="dxa"/>
          <w:tblCellMar>
            <w:left w:w="108" w:type="dxa"/>
            <w:right w:w="108" w:type="dxa"/>
          </w:tblCellMar>
        </w:tblPrEx>
        <w:trPr>
          <w:cantSplit/>
          <w:trHeight w:hRule="exact" w:val="240"/>
          <w:jc w:val="center"/>
        </w:trPr>
        <w:tc>
          <w:tcPr>
            <w:tcW w:w="72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2019</w:t>
            </w: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Cash flows from operating activities:</w:t>
            </w: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19"/>
              </w:rPr>
              <w:t> </w:t>
            </w: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Net loss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(10,250,007)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(7,290,120)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Adjustments to reconcile net loss to net cash provided by (used for) operating activities:</w:t>
            </w:r>
          </w:p>
        </w:tc>
        <w:tc>
          <w:tcPr>
            <w:tcW w:w="144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19"/>
              </w:rPr>
              <w:t> </w:t>
            </w: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color w:val="000000"/>
                <w:sz w:val="19"/>
              </w:rPr>
              <w:t>Depreciation and amortization</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135,077 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131,121 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color w:val="000000"/>
                <w:sz w:val="19"/>
              </w:rPr>
              <w:t>Amortization of software development costs and other intangible assets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1,517,049 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19"/>
              </w:rPr>
              <w:t>H</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1,619,508 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color w:val="000000"/>
                <w:sz w:val="19"/>
              </w:rPr>
              <w:t>Impairment of goodwill and intangible assets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4,300,000 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418,099 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color w:val="000000"/>
                <w:sz w:val="19"/>
              </w:rPr>
              <w:t>(Gain) loss on disposal of equipment</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(22,598)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18,786 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color w:val="000000"/>
                <w:sz w:val="19"/>
              </w:rPr>
              <w:t>Provision for losses on accounts receivable</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154,576 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5,510 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color w:val="000000"/>
                <w:sz w:val="19"/>
              </w:rPr>
              <w:t>Stock-based compensation</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477,993 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634,651 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color w:val="000000"/>
                <w:sz w:val="19"/>
              </w:rPr>
              <w:t>Fair value of stock issued for payment of services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125,000 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141,665 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360"/>
              <w:jc w:val="left"/>
            </w:pPr>
            <w:r>
              <w:rPr>
                <w:rFonts w:ascii="Times New Roman" w:eastAsia="Times New Roman" w:hAnsi="Times New Roman" w:cs="Times New Roman"/>
                <w:color w:val="000000"/>
                <w:sz w:val="19"/>
              </w:rPr>
              <w:t>Gain on settlement of acquisition costs payable</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(602,410)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Changes in operating assets and liabilities:</w:t>
            </w:r>
          </w:p>
        </w:tc>
        <w:tc>
          <w:tcPr>
            <w:tcW w:w="144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19"/>
              </w:rPr>
              <w:t> </w:t>
            </w: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19"/>
              </w:rPr>
              <w:t>Accounts receivable</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234,938 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1,469,586 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19"/>
              </w:rPr>
              <w:t>Prepaid expenses and other current assets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171,620 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(87,323)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19"/>
              </w:rPr>
              <w:t>Security deposits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151,803 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(8,629)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19"/>
              </w:rPr>
              <w:t>Accounts payable</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(372,392)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(365,567)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19"/>
              </w:rPr>
              <w:t>Accrued expenses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543,768 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(466,444)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19"/>
              </w:rPr>
              <w:t>Contract liabilities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713,498 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1,508,897 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19"/>
              </w:rPr>
              <w:t>Right-of-use asset and lease liability, net</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24,024 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(24,024)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495"/>
              <w:jc w:val="left"/>
            </w:pPr>
            <w:r>
              <w:rPr>
                <w:rFonts w:ascii="Times New Roman" w:eastAsia="Times New Roman" w:hAnsi="Times New Roman" w:cs="Times New Roman"/>
                <w:color w:val="000000"/>
                <w:sz w:val="19"/>
              </w:rPr>
              <w:t>Deferred rent</w:t>
            </w: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(17,420)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Net cash used for operating activities</w:t>
            </w:r>
          </w:p>
        </w:tc>
        <w:tc>
          <w:tcPr>
            <w:tcW w:w="134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9"/>
              </w:rPr>
              <w:t>(2,095,651)</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9"/>
              </w:rPr>
              <w:t>(2,914,114)</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Cash flows from investing activities:</w:t>
            </w:r>
          </w:p>
        </w:tc>
        <w:tc>
          <w:tcPr>
            <w:tcW w:w="144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Purchase of equipment</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(19,797)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(138,379)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Proceeds from sale of equipment</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29,183 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49,578 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Software development costs</w:t>
            </w: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(363,793)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(590,549)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Net cash used for investing activities</w:t>
            </w:r>
          </w:p>
        </w:tc>
        <w:tc>
          <w:tcPr>
            <w:tcW w:w="134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9"/>
              </w:rPr>
              <w:t>(354,407)</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9"/>
              </w:rPr>
              <w:t>(679,350)</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Cash flows from financing activities:</w:t>
            </w: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19"/>
              </w:rPr>
              <w:t> </w:t>
            </w: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Proceeds from sale of securities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28,455,096 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10,000,000 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Proceeds from stock purchase plan and option exercise issuances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7,634 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6,979 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Proceeds from notes payable</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1,936,522 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Net repayments on line of credit</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(1,526,288)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Payments on acquisition liabilities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(156,111)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Payments on finance obligation</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(41,219)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(26,138)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Stock issuance costs</w:t>
            </w: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(747,379)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(788,752)</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Net cash provided by financing activities</w:t>
            </w:r>
          </w:p>
        </w:tc>
        <w:tc>
          <w:tcPr>
            <w:tcW w:w="134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9"/>
              </w:rPr>
              <w:t>29,610,654 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9"/>
              </w:rPr>
              <w:t>7,509,690 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35" w:type="dxa"/>
          <w:jc w:val="center"/>
          <w:tblInd w:w="0" w:type="dxa"/>
          <w:tblCellMar>
            <w:left w:w="108" w:type="dxa"/>
            <w:right w:w="108" w:type="dxa"/>
          </w:tblCellMar>
        </w:tblPrEx>
        <w:trPr>
          <w:cantSplit/>
          <w:trHeight w:hRule="exact" w:val="10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1440" w:type="dxa"/>
            <w:gridSpan w:val="3"/>
            <w:tcBorders>
              <w:top w:val="sing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440" w:type="dxa"/>
            <w:gridSpan w:val="3"/>
            <w:tcBorders>
              <w:top w:val="sing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40" w:lineRule="auto"/>
              <w:ind w:right="0"/>
              <w:jc w:val="right"/>
            </w:pPr>
          </w:p>
        </w:tc>
      </w:tr>
      <w:tr>
        <w:tblPrEx>
          <w:tblW w:w="10435" w:type="dxa"/>
          <w:jc w:val="center"/>
          <w:tblInd w:w="0" w:type="dxa"/>
          <w:tblCellMar>
            <w:left w:w="108" w:type="dxa"/>
            <w:right w:w="108" w:type="dxa"/>
          </w:tblCellMar>
        </w:tblPrEx>
        <w:trPr>
          <w:cantSplit/>
          <w:trHeight w:hRule="exact" w:val="28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Net increase in cash and cash equivalents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27,160,596 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3,916,226 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Cash and cash equivalents, beginning of period</w:t>
            </w: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5,884,629 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1,968,403 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center"/>
          <w:tblInd w:w="0" w:type="dxa"/>
          <w:tblCellMar>
            <w:left w:w="108" w:type="dxa"/>
            <w:right w:w="108" w:type="dxa"/>
          </w:tblCellMar>
        </w:tblPrEx>
        <w:trPr>
          <w:cantSplit/>
          <w:trHeight w:hRule="exact" w:val="28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rPr>
              <w:t>Cash and cash equivalents, end of period</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9"/>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9"/>
              </w:rPr>
              <w:t>33,045,225 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19"/>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19"/>
              </w:rPr>
              <w:t>5,884,629 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jc w:val="center"/>
          <w:tblInd w:w="0" w:type="dxa"/>
          <w:tblCellMar>
            <w:left w:w="108" w:type="dxa"/>
            <w:right w:w="108" w:type="dxa"/>
          </w:tblCellMar>
        </w:tblPrEx>
        <w:trPr>
          <w:cantSplit/>
          <w:trHeight w:hRule="exact" w:val="105"/>
          <w:jc w:val="center"/>
        </w:trPr>
        <w:tc>
          <w:tcPr>
            <w:tcW w:w="72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u w:val="single"/>
              </w:rPr>
              <w:t>Supplemental cash flow information:</w:t>
            </w:r>
          </w:p>
        </w:tc>
        <w:tc>
          <w:tcPr>
            <w:tcW w:w="144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19"/>
              </w:rPr>
              <w:t> </w:t>
            </w: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Interest paid</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47,290 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393,584 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19"/>
                <w:u w:val="single"/>
              </w:rPr>
              <w:t>Non-cash financing and investing activities:</w:t>
            </w:r>
          </w:p>
        </w:tc>
        <w:tc>
          <w:tcPr>
            <w:tcW w:w="144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19"/>
              </w:rPr>
              <w:t> </w:t>
            </w: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Equipment acquired with financing arrangement</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43,003 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98,648 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Common stock issued for payment of acquisition liability</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4,004,397 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19"/>
              </w:rPr>
              <w:t>Operating right-of-use asset</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19"/>
              </w:rPr>
              <w:t>410,852 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35"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225"/>
              <w:jc w:val="left"/>
            </w:pPr>
            <w:r>
              <w:rPr>
                <w:rFonts w:ascii="Times New Roman" w:eastAsia="Times New Roman" w:hAnsi="Times New Roman" w:cs="Times New Roman"/>
                <w:color w:val="000000"/>
                <w:sz w:val="19"/>
              </w:rPr>
              <w:t>Fair value of common stock issued for future services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19"/>
              </w:rPr>
              <w:t>125,000 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19"/>
              </w:rPr>
              <w:t>192,550 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r>
    </w:tbl>
    <w:p>
      <w:pPr>
        <w:keepNext w:val="0"/>
        <w:keepLines w:val="0"/>
        <w:pageBreakBefore w:val="0"/>
        <w:widowControl/>
        <w:numPr>
          <w:ilvl w:val="0"/>
          <w:numId w:val="0"/>
        </w:numPr>
        <w:spacing w:before="100" w:after="0" w:line="28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See accompanying notes to the </w:t>
      </w:r>
      <w:r>
        <w:rPr>
          <w:rFonts w:ascii="Times New Roman" w:eastAsia="Times New Roman" w:hAnsi="Times New Roman" w:cs="Times New Roman"/>
          <w:i/>
          <w:sz w:val="20"/>
        </w:rPr>
        <w:t>consolidated financial statements.</w:t>
      </w:r>
    </w:p>
    <w:p>
      <w:pPr>
        <w:keepNext w:val="0"/>
        <w:keepLines w:val="0"/>
        <w:pageBreakBefore w:val="0"/>
        <w:widowControl/>
        <w:numPr>
          <w:ilvl w:val="0"/>
          <w:numId w:val="0"/>
        </w:numPr>
        <w:spacing w:before="0" w:after="0" w:line="288" w:lineRule="auto"/>
        <w:ind w:left="0" w:right="0" w:firstLine="0"/>
        <w:jc w:val="center"/>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bookmarkStart w:id="29" w:name="Section30"/>
      <w:bookmarkEnd w:id="29"/>
    </w:p>
    <w:p>
      <w:pPr>
        <w:keepNext w:val="0"/>
        <w:keepLines w:val="0"/>
        <w:pageBreakBefore w:val="0"/>
        <w:widowControl/>
        <w:numPr>
          <w:ilvl w:val="0"/>
          <w:numId w:val="0"/>
        </w:numPr>
        <w:spacing w:before="0" w:after="0" w:line="288" w:lineRule="auto"/>
        <w:ind w:left="0" w:right="0" w:firstLine="0"/>
        <w:jc w:val="both"/>
        <w:outlineLvl w:val="9"/>
        <w:sectPr>
          <w:headerReference w:type="default" r:id="rId8"/>
          <w:pgSz w:w="12240" w:h="15840"/>
          <w:pgMar w:top="855" w:right="990" w:bottom="855" w:left="990" w:header="270" w:footer="270"/>
          <w:cols w:space="708"/>
        </w:sectPr>
      </w:pPr>
    </w:p>
    <w:p>
      <w:pPr>
        <w:keepNext w:val="0"/>
        <w:keepLines w:val="0"/>
        <w:pageBreakBefore w:val="0"/>
        <w:widowControl/>
        <w:numPr>
          <w:ilvl w:val="0"/>
          <w:numId w:val="0"/>
        </w:numPr>
        <w:tabs>
          <w:tab w:val="left" w:pos="1440"/>
        </w:tabs>
        <w:spacing w:before="0" w:after="0" w:line="288" w:lineRule="auto"/>
        <w:ind w:left="0" w:right="0" w:firstLine="0"/>
        <w:jc w:val="left"/>
        <w:outlineLvl w:val="3"/>
        <w:rPr>
          <w:rFonts w:ascii="Times New Roman" w:eastAsia="Times New Roman" w:hAnsi="Times New Roman" w:cs="Times New Roman"/>
          <w:b/>
          <w:sz w:val="20"/>
        </w:rPr>
      </w:pPr>
      <w:bookmarkStart w:id="30" w:name="Section31"/>
      <w:bookmarkEnd w:id="30"/>
      <w:r>
        <w:rPr>
          <w:rFonts w:ascii="Times New Roman" w:eastAsia="Times New Roman" w:hAnsi="Times New Roman" w:cs="Times New Roman"/>
          <w:b/>
          <w:sz w:val="20"/>
        </w:rPr>
        <w:t>NOTE 1.</w:t>
      </w:r>
      <w:r>
        <w:rPr>
          <w:rFonts w:ascii="Times New Roman" w:eastAsia="Times New Roman" w:hAnsi="Times New Roman" w:cs="Times New Roman"/>
          <w:b/>
          <w:sz w:val="20"/>
        </w:rPr>
        <w:tab/>
      </w:r>
      <w:r>
        <w:rPr>
          <w:rFonts w:ascii="Times New Roman" w:eastAsia="Times New Roman" w:hAnsi="Times New Roman" w:cs="Times New Roman"/>
          <w:b/>
          <w:sz w:val="20"/>
        </w:rPr>
        <w:t xml:space="preserve">COMPANY AND </w:t>
      </w:r>
      <w:r>
        <w:rPr>
          <w:rFonts w:ascii="Times New Roman" w:eastAsia="Times New Roman" w:hAnsi="Times New Roman" w:cs="Times New Roman"/>
          <w:b/>
          <w:sz w:val="20"/>
        </w:rPr>
        <w:t>SUMMARY OF SIGNIFICANT ACCOUNTING POLICIES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Nature of Business</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b/>
          <w:sz w:val="20"/>
          <w:u w:val="single"/>
        </w:rPr>
      </w:pPr>
      <w:r>
        <w:rPr>
          <w:rFonts w:ascii="Times New Roman" w:eastAsia="Times New Roman" w:hAnsi="Times New Roman" w:cs="Times New Roman"/>
          <w:sz w:val="20"/>
        </w:rPr>
        <w:t>IZEA Worldwide, Inc. (together with its wholly-owned subsidiaries, “we,” “us,” “our,” “IZEA” or the “Company”) is a public company incorporated in the state of Nevada. In January 2015, IZEA purchased all of the outstanding shares of capital stock of Ebyline, Inc. (“Ebyline”).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 March 2016, the Company formed IZEA Canada, Inc., a wholly-owned subsidiary, incorporated in Ontario, Canada, to operate as a sales and support office for IZEA’s Canadian customers. </w:t>
      </w:r>
      <w:r>
        <w:rPr>
          <w:rFonts w:ascii="Times New Roman" w:eastAsia="Times New Roman" w:hAnsi="Times New Roman" w:cs="Times New Roman"/>
          <w:sz w:val="20"/>
        </w:rPr>
        <w:t>In July 2016, IZEA purchased all the outstanding shares of capital stock of ZenContent, Inc. (“ZenContent”)</w:t>
      </w:r>
      <w:r>
        <w:rPr>
          <w:rFonts w:ascii="Times New Roman" w:eastAsia="Times New Roman" w:hAnsi="Times New Roman" w:cs="Times New Roman"/>
          <w:sz w:val="20"/>
        </w:rPr>
        <w:t xml:space="preserve"> and in July 2018</w:t>
      </w:r>
      <w:r>
        <w:rPr>
          <w:rFonts w:ascii="Times New Roman" w:eastAsia="Times New Roman" w:hAnsi="Times New Roman" w:cs="Times New Roman"/>
          <w:sz w:val="20"/>
        </w:rPr>
        <w:t>,</w:t>
      </w:r>
      <w:r>
        <w:rPr>
          <w:rFonts w:ascii="Times New Roman" w:eastAsia="Times New Roman" w:hAnsi="Times New Roman" w:cs="Times New Roman"/>
          <w:sz w:val="20"/>
        </w:rPr>
        <w:t xml:space="preserve"> a subsidiary of the Company merged with TapInfluence, Inc. (“TapInfluence”). The legal entity of ZenContent was dissolved in December 2017, Ebyline was dissolved in December 2019 and TapInfluence was dissolved in December 2020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creates and operates online marketplaces that connect marketers with content creators. The creators are compensated by the Company for producing unique content such as long and short form text, videos, photos, status updates, and illustrations for marketers or distributing such content on behalf of marketers through their personal websites, blogs, and social media channels. Marketers receive influential consumer content and engaging, shareable stories that drive awareness.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i/>
          <w:sz w:val="20"/>
        </w:rPr>
      </w:pPr>
      <w:r>
        <w:rPr>
          <w:rFonts w:ascii="Times New Roman" w:eastAsia="Times New Roman" w:hAnsi="Times New Roman" w:cs="Times New Roman"/>
          <w:sz w:val="20"/>
        </w:rPr>
        <w:t>The Company’s primary technology platform, the IZEA Exchange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enables transactions to be completed at scale through the management of custom content workflow, creator search and targeting, bidding, analytics, and payment processing.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is designed to provide a unified ecosystem that enables the creation and publication of multiple types of custom content through a creator’s personal websites, blogs, or social media channels including Twitter, Facebook, Instagram, and YouTube, among others. Until December 2019 when it was merged into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the Company operated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technology platform, which was originally designed as a self-service content marketplace to replace in-house editorial newsrooms in news agencies with a “virtual newsroom” to source and handle their content workflow with outside creators. In July 2016, the Company acquired the </w:t>
      </w:r>
      <w:r>
        <w:rPr>
          <w:rFonts w:ascii="Times New Roman" w:eastAsia="Times New Roman" w:hAnsi="Times New Roman" w:cs="Times New Roman"/>
          <w:i/>
          <w:sz w:val="20"/>
        </w:rPr>
        <w:t>ZenContent</w:t>
      </w:r>
      <w:r>
        <w:rPr>
          <w:rFonts w:ascii="Times New Roman" w:eastAsia="Times New Roman" w:hAnsi="Times New Roman" w:cs="Times New Roman"/>
          <w:sz w:val="20"/>
        </w:rPr>
        <w:t xml:space="preserve"> technology platform to use as an in-house workflow tool that enables the Company to produce highly scalable, multi-part production of content for both e-commerce entities and brand customers.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technology platform, acquired in 2018, performed in a similar manner 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was being utilized by the majority of the TapInfluence customers as a self-service platform via a licensing arrangement, allowing access to the platform and its creators for self-managed marketing campaigns. After the migration of the last customers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from the </w:t>
      </w:r>
      <w:r>
        <w:rPr>
          <w:rFonts w:ascii="Times New Roman" w:eastAsia="Times New Roman" w:hAnsi="Times New Roman" w:cs="Times New Roman"/>
          <w:i/>
          <w:sz w:val="20"/>
        </w:rPr>
        <w:t xml:space="preserve">Ebyline </w:t>
      </w:r>
      <w:r>
        <w:rPr>
          <w:rFonts w:ascii="Times New Roman" w:eastAsia="Times New Roman" w:hAnsi="Times New Roman" w:cs="Times New Roman"/>
          <w:sz w:val="20"/>
        </w:rPr>
        <w:t xml:space="preserve">platform in December 2019 and from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 in February 2020, all marketplace revenue </w:t>
      </w:r>
      <w:r>
        <w:rPr>
          <w:rFonts w:ascii="Times New Roman" w:eastAsia="Times New Roman" w:hAnsi="Times New Roman" w:cs="Times New Roman"/>
          <w:sz w:val="20"/>
        </w:rPr>
        <w:t>wa</w:t>
      </w:r>
      <w:r>
        <w:rPr>
          <w:rFonts w:ascii="Times New Roman" w:eastAsia="Times New Roman" w:hAnsi="Times New Roman" w:cs="Times New Roman"/>
          <w:sz w:val="20"/>
        </w:rPr>
        <w:t xml:space="preserve">s solely generated from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platform</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until the launch of </w:t>
      </w:r>
      <w:r>
        <w:rPr>
          <w:rFonts w:ascii="Times New Roman" w:eastAsia="Times New Roman" w:hAnsi="Times New Roman" w:cs="Times New Roman"/>
          <w:i/>
          <w:sz w:val="20"/>
        </w:rPr>
        <w:t>Shake</w:t>
      </w:r>
      <w:r>
        <w:rPr>
          <w:rFonts w:ascii="Times New Roman" w:eastAsia="Times New Roman" w:hAnsi="Times New Roman" w:cs="Times New Roman"/>
          <w:sz w:val="20"/>
        </w:rPr>
        <w:t xml:space="preserve"> in November 2020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Arial" w:eastAsia="Arial" w:hAnsi="Arial" w:cs="Arial"/>
          <w:sz w:val="24"/>
        </w:rPr>
      </w:pPr>
      <w:r>
        <w:rPr>
          <w:rFonts w:ascii="Times New Roman" w:eastAsia="Times New Roman" w:hAnsi="Times New Roman" w:cs="Times New Roman"/>
          <w:sz w:val="20"/>
        </w:rPr>
        <w:t>In 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the Company</w:t>
      </w:r>
      <w:r>
        <w:rPr>
          <w:rFonts w:ascii="Times New Roman" w:eastAsia="Times New Roman" w:hAnsi="Times New Roman" w:cs="Times New Roman"/>
          <w:sz w:val="20"/>
        </w:rPr>
        <w:t xml:space="preserve"> launched two new platforms, </w:t>
      </w:r>
      <w:r>
        <w:rPr>
          <w:rFonts w:ascii="Times New Roman" w:eastAsia="Times New Roman" w:hAnsi="Times New Roman" w:cs="Times New Roman"/>
          <w:i/>
          <w:sz w:val="20"/>
        </w:rPr>
        <w:t>BrandGraph</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Shake</w:t>
      </w:r>
      <w:r>
        <w:rPr>
          <w:rFonts w:ascii="Times New Roman" w:eastAsia="Times New Roman" w:hAnsi="Times New Roman" w:cs="Times New Roman"/>
          <w:sz w:val="20"/>
        </w:rPr>
        <w:t xml:space="preserve">. </w:t>
      </w:r>
      <w:r>
        <w:rPr>
          <w:rFonts w:ascii="Times New Roman" w:eastAsia="Times New Roman" w:hAnsi="Times New Roman" w:cs="Times New Roman"/>
          <w:i/>
          <w:sz w:val="20"/>
        </w:rPr>
        <w:t>BrandGraph</w:t>
      </w:r>
      <w:r>
        <w:rPr>
          <w:rFonts w:ascii="Times New Roman" w:eastAsia="Times New Roman" w:hAnsi="Times New Roman" w:cs="Times New Roman"/>
          <w:sz w:val="20"/>
        </w:rPr>
        <w:t xml:space="preserve"> is a social media intelligence platform that is heavily integrated with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both platforms rely heavily on data from each other, but it is also available as a stand-alone platform. The platform maps and classifies the complex hierarchy of corporation-to-brand relationships by category and associates social content with brands through a proprietary content analysis engine. </w:t>
      </w:r>
      <w:r>
        <w:rPr>
          <w:rFonts w:ascii="Times New Roman" w:eastAsia="Times New Roman" w:hAnsi="Times New Roman" w:cs="Times New Roman"/>
          <w:i/>
          <w:sz w:val="20"/>
        </w:rPr>
        <w:t>Shake</w:t>
      </w:r>
      <w:r>
        <w:rPr>
          <w:rFonts w:ascii="Times New Roman" w:eastAsia="Times New Roman" w:hAnsi="Times New Roman" w:cs="Times New Roman"/>
          <w:sz w:val="20"/>
        </w:rPr>
        <w:t xml:space="preserve"> is a new online marketplace where buyers can quickly and easily hire creators of all types for influencer marketing, photography, design, and other digital services. The Shake platform is aimed at digital creatives seeking freelance “gig” work. Creators list available “Shakes” on their accounts in the platform and marketers select and purchase creative packages from them through a streamlined chat experience, assisted by ShakeBot - a proprietary, artificial intelligence assistant.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Impact of COVID-19</w:t>
      </w:r>
    </w:p>
    <w:p>
      <w:pPr>
        <w:keepNext w:val="0"/>
        <w:keepLines w:val="0"/>
        <w:pageBreakBefore w:val="0"/>
        <w:widowControl/>
        <w:numPr>
          <w:ilvl w:val="0"/>
          <w:numId w:val="0"/>
        </w:numPr>
        <w:spacing w:before="120" w:after="0" w:line="276" w:lineRule="auto"/>
        <w:ind w:left="0" w:right="0" w:firstLine="720"/>
        <w:jc w:val="both"/>
        <w:outlineLvl w:val="9"/>
        <w:rPr>
          <w:rFonts w:ascii="Times New Roman" w:eastAsia="Times New Roman" w:hAnsi="Times New Roman" w:cs="Times New Roman"/>
          <w:color w:val="1A1A1A"/>
          <w:sz w:val="20"/>
        </w:rPr>
      </w:pPr>
      <w:r>
        <w:rPr>
          <w:rFonts w:ascii="Times New Roman" w:eastAsia="Times New Roman" w:hAnsi="Times New Roman" w:cs="Times New Roman"/>
          <w:color w:val="1A1A1A"/>
          <w:sz w:val="20"/>
          <w:shd w:val="clear" w:color="auto" w:fill="FFFFFF"/>
        </w:rPr>
        <w:t>On March 11, 2020, the World Health Organization declared the outbreak of the novel coronavirus (“COVID-19”) as a global pandemic and recommended containment and mitigation measures worldwide. As the spread continued throughout the United States, the Company directed all of its staff to work from home effective March 16, 2020. All of the Company’s business operations and ability to support its customers is fully functional while its employees are working from remote locations. However, the Company has seen impacts on its operations due to changes in advertising decisions, timing and spending priorities from customers, which resulted in a negative impact to Company bookings</w:t>
      </w:r>
      <w:r>
        <w:rPr>
          <w:rFonts w:ascii="Times New Roman" w:eastAsia="Times New Roman" w:hAnsi="Times New Roman" w:cs="Times New Roman"/>
          <w:color w:val="1A1A1A"/>
          <w:sz w:val="20"/>
          <w:shd w:val="clear" w:color="auto" w:fill="FFFFFF"/>
        </w:rPr>
        <w:t>,</w:t>
      </w:r>
      <w:r>
        <w:rPr>
          <w:rFonts w:ascii="Times New Roman" w:eastAsia="Times New Roman" w:hAnsi="Times New Roman" w:cs="Times New Roman"/>
          <w:color w:val="1A1A1A"/>
          <w:sz w:val="20"/>
          <w:shd w:val="clear" w:color="auto" w:fill="FFFFFF"/>
        </w:rPr>
        <w:t xml:space="preserve"> </w:t>
      </w:r>
      <w:r>
        <w:rPr>
          <w:rFonts w:ascii="Times New Roman" w:eastAsia="Times New Roman" w:hAnsi="Times New Roman" w:cs="Times New Roman"/>
          <w:color w:val="1A1A1A"/>
          <w:sz w:val="20"/>
          <w:shd w:val="clear" w:color="auto" w:fill="FFFFFF"/>
        </w:rPr>
        <w:t>it</w:t>
      </w:r>
      <w:r>
        <w:rPr>
          <w:rFonts w:ascii="Times New Roman" w:eastAsia="Times New Roman" w:hAnsi="Times New Roman" w:cs="Times New Roman"/>
          <w:color w:val="1A1A1A"/>
          <w:sz w:val="20"/>
          <w:shd w:val="clear" w:color="auto" w:fill="FFFFFF"/>
        </w:rPr>
        <w:t xml:space="preserve">s net orders from </w:t>
      </w:r>
      <w:r>
        <w:rPr>
          <w:rFonts w:ascii="Times New Roman" w:eastAsia="Times New Roman" w:hAnsi="Times New Roman" w:cs="Times New Roman"/>
          <w:color w:val="1A1A1A"/>
          <w:sz w:val="20"/>
          <w:shd w:val="clear" w:color="auto" w:fill="FFFFFF"/>
        </w:rPr>
        <w:t>customer</w:t>
      </w:r>
      <w:r>
        <w:rPr>
          <w:rFonts w:ascii="Times New Roman" w:eastAsia="Times New Roman" w:hAnsi="Times New Roman" w:cs="Times New Roman"/>
          <w:color w:val="1A1A1A"/>
          <w:sz w:val="20"/>
          <w:shd w:val="clear" w:color="auto" w:fill="FFFFFF"/>
        </w:rPr>
        <w:t>s</w:t>
      </w:r>
      <w:r>
        <w:rPr>
          <w:rFonts w:ascii="Times New Roman" w:eastAsia="Times New Roman" w:hAnsi="Times New Roman" w:cs="Times New Roman"/>
          <w:color w:val="1A1A1A"/>
          <w:sz w:val="20"/>
          <w:shd w:val="clear" w:color="auto" w:fill="FFFFFF"/>
        </w:rPr>
        <w:t>,</w:t>
      </w:r>
      <w:r>
        <w:rPr>
          <w:rFonts w:ascii="Times New Roman" w:eastAsia="Times New Roman" w:hAnsi="Times New Roman" w:cs="Times New Roman"/>
          <w:color w:val="1A1A1A"/>
          <w:sz w:val="20"/>
          <w:shd w:val="clear" w:color="auto" w:fill="FFFFFF"/>
        </w:rPr>
        <w:t xml:space="preserve"> and timing of future revenue. While the disruption caused by COVID-19 is currently expected to be temporary, it is generally outside of the Company’s control and there is uncertainty around the duration and the total economic impact. Therefore, this matter</w:t>
      </w:r>
      <w:r>
        <w:rPr>
          <w:rFonts w:ascii="Times New Roman" w:eastAsia="Times New Roman" w:hAnsi="Times New Roman" w:cs="Times New Roman"/>
          <w:sz w:val="20"/>
        </w:rPr>
        <w:t xml:space="preserve"> could have a material adverse impact on the Company’s business, </w:t>
      </w:r>
      <w:r>
        <w:rPr>
          <w:rFonts w:ascii="Times New Roman" w:eastAsia="Times New Roman" w:hAnsi="Times New Roman" w:cs="Times New Roman"/>
          <w:color w:val="1A1A1A"/>
          <w:sz w:val="20"/>
          <w:shd w:val="clear" w:color="auto" w:fill="FFFFFF"/>
        </w:rPr>
        <w:t xml:space="preserve">results of operations, and financial position in future periods. As a result, the Company leveraged its balance sheet by drawing on its secured credit facility </w:t>
      </w:r>
      <w:r>
        <w:rPr>
          <w:rFonts w:ascii="Times New Roman" w:eastAsia="Times New Roman" w:hAnsi="Times New Roman" w:cs="Times New Roman"/>
          <w:color w:val="1A1A1A"/>
          <w:sz w:val="20"/>
          <w:shd w:val="clear" w:color="auto" w:fill="FFFFFF"/>
        </w:rPr>
        <w:t xml:space="preserve">and obtaining a loan under the Paycheck Protection Program (“PPP”) </w:t>
      </w:r>
      <w:r>
        <w:rPr>
          <w:rFonts w:ascii="Times New Roman" w:eastAsia="Times New Roman" w:hAnsi="Times New Roman" w:cs="Times New Roman"/>
          <w:sz w:val="20"/>
        </w:rPr>
        <w:t xml:space="preserve">established under the CARES Act as </w:t>
      </w:r>
      <w:r>
        <w:rPr>
          <w:rFonts w:ascii="Times New Roman" w:eastAsia="Times New Roman" w:hAnsi="Times New Roman" w:cs="Times New Roman"/>
          <w:color w:val="1A1A1A"/>
          <w:sz w:val="20"/>
          <w:shd w:val="clear" w:color="auto" w:fill="FFFFFF"/>
        </w:rPr>
        <w:t xml:space="preserve">administered by the U.S. Small Business Administration (“SBA”) </w:t>
      </w:r>
      <w:r>
        <w:rPr>
          <w:rFonts w:ascii="Times New Roman" w:eastAsia="Times New Roman" w:hAnsi="Times New Roman" w:cs="Times New Roman"/>
          <w:color w:val="1A1A1A"/>
          <w:sz w:val="20"/>
          <w:shd w:val="clear" w:color="auto" w:fill="FFFFFF"/>
        </w:rPr>
        <w:t xml:space="preserve">to increase the Company’s cash position and help preserve its financial flexibility. </w:t>
      </w:r>
      <w:r>
        <w:rPr>
          <w:rFonts w:ascii="Times New Roman" w:eastAsia="Times New Roman" w:hAnsi="Times New Roman" w:cs="Times New Roman"/>
          <w:sz w:val="20"/>
        </w:rPr>
        <w:t>The secured credit facility was paid down by June 30, 2020 after the Company was able to secure additional capital as described in Note 8.</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color w:val="1A1A1A"/>
          <w:sz w:val="20"/>
        </w:rPr>
      </w:pPr>
      <w:r>
        <w:rPr>
          <w:rFonts w:ascii="Times New Roman" w:eastAsia="Times New Roman" w:hAnsi="Times New Roman" w:cs="Times New Roman"/>
          <w:color w:val="1A1A1A"/>
          <w:sz w:val="20"/>
        </w:rPr>
        <w:t xml:space="preserve">In light of the adverse economic conditions caused by the COVID-19 pandemic, the Company implemented temporary salary and wage reductions averaging </w:t>
      </w:r>
      <w:r>
        <w:rPr>
          <w:rFonts w:ascii="Times New Roman" w:eastAsia="Times New Roman" w:hAnsi="Times New Roman" w:cs="Times New Roman"/>
          <w:color w:val="1A1A1A"/>
          <w:sz w:val="20"/>
        </w:rPr>
        <w:t>20%</w:t>
      </w:r>
      <w:r>
        <w:rPr>
          <w:rFonts w:ascii="Times New Roman" w:eastAsia="Times New Roman" w:hAnsi="Times New Roman" w:cs="Times New Roman"/>
          <w:color w:val="1A1A1A"/>
          <w:sz w:val="20"/>
        </w:rPr>
        <w:t xml:space="preserve">, including a </w:t>
      </w:r>
      <w:r>
        <w:rPr>
          <w:rFonts w:ascii="Times New Roman" w:eastAsia="Times New Roman" w:hAnsi="Times New Roman" w:cs="Times New Roman"/>
          <w:color w:val="1A1A1A"/>
          <w:sz w:val="20"/>
        </w:rPr>
        <w:t>21%</w:t>
      </w:r>
      <w:r>
        <w:rPr>
          <w:rFonts w:ascii="Times New Roman" w:eastAsia="Times New Roman" w:hAnsi="Times New Roman" w:cs="Times New Roman"/>
          <w:color w:val="1A1A1A"/>
          <w:sz w:val="20"/>
        </w:rPr>
        <w:t xml:space="preserve"> reduction in base salary for the Company’s Chief Executive Officer and Chief Operating Officer. These salary reductions were effective as of April 6, 2020 until the earlier of December 31, 2020 or the Company’s restoring normal payroll rates to the majority of its employees. Members of the Company’s Board of Directors also agreed to a similar temporary reduction to their fees. </w:t>
      </w:r>
      <w:r>
        <w:rPr>
          <w:rFonts w:ascii="Times New Roman" w:eastAsia="Times New Roman" w:hAnsi="Times New Roman" w:cs="Times New Roman"/>
          <w:sz w:val="20"/>
        </w:rPr>
        <w:t>In addition to the salary reductions, the Company also temporarily reduced certain employee benefits and implemented a new employee hiring freeze, during the three months ended June 30, 2020. The employee salary reductions and hiring restrictions were removed effective July 1, 2020 after the Company was able to secure additional capital as described in Note 8.</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color w:val="1A1A1A"/>
          <w:sz w:val="20"/>
        </w:rPr>
      </w:pPr>
      <w:r>
        <w:rPr>
          <w:rFonts w:ascii="Times New Roman" w:eastAsia="Times New Roman" w:hAnsi="Times New Roman" w:cs="Times New Roman"/>
          <w:sz w:val="20"/>
        </w:rPr>
        <w:t>The Company did not renew leases for its headquarters and temporary office spaces as additional means to reduce fixed costs and the Company intends to have all employees work from home for the foreseeable future to protect the health and safety of its workers. There can be no assurance that the Company will return to a typical office environment in the future, nor can the Company say what that office environment may look like. The Company also reduced and shifted marketing expenses  and eliminated travel for the near-term future. These measures may not be sustainable and could prove detrimental long term. Therefore, management reviews these initial actions and other options in conjunction with the changing internal and external economic conditions on an ongoing basis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color w:val="1A1A1A"/>
          <w:sz w:val="20"/>
        </w:rPr>
      </w:pP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Principles of Consolidation</w:t>
      </w:r>
    </w:p>
    <w:p>
      <w:pPr>
        <w:keepNext w:val="0"/>
        <w:keepLines/>
        <w:pageBreakBefore w:val="0"/>
        <w:widowControl w:val="0"/>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consolidated financial statements include the accounts of IZEA Worldwide, Inc. and its wholly-owned subsidiaries, subsequent to the subsidiaries’ individual acquisition, merger or formation dates, as applicable. All significant intercompany balances and transactions have been eliminated in consolidation.</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U</w:t>
      </w:r>
      <w:r>
        <w:rPr>
          <w:rFonts w:ascii="Times New Roman" w:eastAsia="Times New Roman" w:hAnsi="Times New Roman" w:cs="Times New Roman"/>
          <w:b/>
          <w:sz w:val="20"/>
          <w:u w:val="single"/>
        </w:rPr>
        <w:t>se of Estimates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those estimates.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4"/>
        </w:rPr>
      </w:pPr>
      <w:r>
        <w:rPr>
          <w:rFonts w:ascii="Times New Roman" w:eastAsia="Times New Roman" w:hAnsi="Times New Roman" w:cs="Times New Roman"/>
          <w:sz w:val="20"/>
        </w:rPr>
        <w:t xml:space="preserve">The extent to which COVID-19 impacts the Company’s business and financial results will depend on numerous evolving factors including, but not limited to: the magnitude and duration of COVID-19, the extent to which it impacts worldwide macroeconomic conditions, the speed of the anticipated recovery, access to capital markets, and governmental and business reactions to the pandemic. The Company assessed certain accounting matters that generally require consideration of forecasted financial information in context with the information reasonably available to the Company and the unknown future impacts of COVID-19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through the date of the filing of this </w:t>
      </w:r>
      <w:r>
        <w:rPr>
          <w:rFonts w:ascii="Times New Roman" w:eastAsia="Times New Roman" w:hAnsi="Times New Roman" w:cs="Times New Roman"/>
          <w:sz w:val="20"/>
        </w:rPr>
        <w:t>Annual</w:t>
      </w:r>
      <w:r>
        <w:rPr>
          <w:rFonts w:ascii="Times New Roman" w:eastAsia="Times New Roman" w:hAnsi="Times New Roman" w:cs="Times New Roman"/>
          <w:sz w:val="20"/>
        </w:rPr>
        <w:t xml:space="preserve"> Report on Form 10-</w:t>
      </w:r>
      <w:r>
        <w:rPr>
          <w:rFonts w:ascii="Times New Roman" w:eastAsia="Times New Roman" w:hAnsi="Times New Roman" w:cs="Times New Roman"/>
          <w:sz w:val="20"/>
        </w:rPr>
        <w:t>K</w:t>
      </w:r>
      <w:r>
        <w:rPr>
          <w:rFonts w:ascii="Times New Roman" w:eastAsia="Times New Roman" w:hAnsi="Times New Roman" w:cs="Times New Roman"/>
          <w:sz w:val="20"/>
        </w:rPr>
        <w:t>. The accounting matters assessed included, but were not limited to estimates related to revenue, the accounting for potential liabilities and accrued expenses, the assumptions utilized in valuing stock-based compensation issued for services, the realization of deferred tax assets, and assessments of impairment related to long-lived assets</w:t>
      </w:r>
      <w:r>
        <w:rPr>
          <w:rFonts w:ascii="Times New Roman" w:eastAsia="Times New Roman" w:hAnsi="Times New Roman" w:cs="Times New Roman"/>
          <w:sz w:val="20"/>
        </w:rPr>
        <w:t xml:space="preserve">, </w:t>
      </w:r>
      <w:r>
        <w:rPr>
          <w:rFonts w:ascii="Times New Roman" w:eastAsia="Times New Roman" w:hAnsi="Times New Roman" w:cs="Times New Roman"/>
          <w:sz w:val="20"/>
        </w:rPr>
        <w:t>intangible assets</w:t>
      </w:r>
      <w:r>
        <w:rPr>
          <w:rFonts w:ascii="Times New Roman" w:eastAsia="Times New Roman" w:hAnsi="Times New Roman" w:cs="Times New Roman"/>
          <w:sz w:val="20"/>
        </w:rPr>
        <w:t>,</w:t>
      </w:r>
      <w:r>
        <w:rPr>
          <w:rFonts w:ascii="Times New Roman" w:eastAsia="Times New Roman" w:hAnsi="Times New Roman" w:cs="Times New Roman"/>
          <w:sz w:val="20"/>
        </w:rPr>
        <w:t xml:space="preserve"> and goodwill</w:t>
      </w:r>
      <w:r>
        <w:rPr>
          <w:rFonts w:ascii="Times New Roman" w:eastAsia="Times New Roman" w:hAnsi="Times New Roman" w:cs="Times New Roman"/>
          <w:sz w:val="20"/>
        </w:rPr>
        <w:t>. The Company’s future assessment of the magnitude and duration of COVID-19, as well as other factors, could result in additional material impacts to the Company’s consolidated financial statements in future reporting periods.</w:t>
      </w:r>
    </w:p>
    <w:p>
      <w:pPr>
        <w:keepNext w:val="0"/>
        <w:keepLines w:val="0"/>
        <w:pageBreakBefore w:val="0"/>
        <w:widowControl/>
        <w:numPr>
          <w:ilvl w:val="0"/>
          <w:numId w:val="0"/>
        </w:numPr>
        <w:spacing w:before="0" w:after="0" w:line="288" w:lineRule="auto"/>
        <w:ind w:left="0" w:right="0" w:firstLine="720"/>
        <w:jc w:val="left"/>
        <w:outlineLvl w:val="9"/>
        <w:rPr>
          <w:rFonts w:ascii="Arial" w:eastAsia="Arial" w:hAnsi="Arial" w:cs="Arial"/>
          <w:sz w:val="24"/>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Despite the Company’s efforts, the ultimate impact of COVID-19 depends on factors beyond the Company’s knowledge or control, including the duration and severity of the outbreak, as well as third-party actions taken to contain its spread and mitigate its public health effects. As a result, the Company is unable to estimate the full extent to which COVID-19 will negatively impact its financial results or liquidity. However, in consideration of</w:t>
      </w:r>
      <w:r>
        <w:rPr>
          <w:rFonts w:ascii="Times New Roman" w:eastAsia="Times New Roman" w:hAnsi="Times New Roman" w:cs="Times New Roman"/>
          <w:sz w:val="20"/>
        </w:rPr>
        <w:t xml:space="preserve"> the effect of COVID-19 on the assumptions and estimates used in the preparation of the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financial statements, the Company identified the goodwill impairment disclosed in Note 3 as a material adverse effect on its results of operations and financial position in the first quarter of fiscal 2020 that was caused by COVID-19’s effect on economic conditions.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b/>
          <w:sz w:val="20"/>
          <w:u w:val="single"/>
        </w:rPr>
        <w:t>Reclassifications</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Certain items have been reclassified in the 201</w:t>
      </w:r>
      <w:r>
        <w:rPr>
          <w:rFonts w:ascii="Times New Roman" w:eastAsia="Times New Roman" w:hAnsi="Times New Roman" w:cs="Times New Roman"/>
          <w:sz w:val="20"/>
        </w:rPr>
        <w:t>9</w:t>
      </w:r>
      <w:r>
        <w:rPr>
          <w:rFonts w:ascii="Times New Roman" w:eastAsia="Times New Roman" w:hAnsi="Times New Roman" w:cs="Times New Roman"/>
          <w:sz w:val="20"/>
        </w:rPr>
        <w:t xml:space="preserve"> financial statements to conform to the 20</w:t>
      </w:r>
      <w:r>
        <w:rPr>
          <w:rFonts w:ascii="Times New Roman" w:eastAsia="Times New Roman" w:hAnsi="Times New Roman" w:cs="Times New Roman"/>
          <w:sz w:val="20"/>
        </w:rPr>
        <w:t xml:space="preserve">20 </w:t>
      </w:r>
      <w:r>
        <w:rPr>
          <w:rFonts w:ascii="Times New Roman" w:eastAsia="Times New Roman" w:hAnsi="Times New Roman" w:cs="Times New Roman"/>
          <w:sz w:val="20"/>
        </w:rPr>
        <w:t>presentation.</w:t>
      </w:r>
      <w:r>
        <w:rPr>
          <w:rFonts w:ascii="Times New Roman" w:eastAsia="Times New Roman" w:hAnsi="Times New Roman" w:cs="Times New Roman"/>
          <w:sz w:val="20"/>
        </w:rPr>
        <w:t xml:space="preserve"> </w:t>
      </w:r>
      <w:r>
        <w:rPr>
          <w:rFonts w:ascii="Times New Roman" w:eastAsia="Times New Roman" w:hAnsi="Times New Roman" w:cs="Times New Roman"/>
          <w:sz w:val="20"/>
        </w:rPr>
        <w:t>The Company has reclassified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its </w:t>
      </w:r>
      <w:r>
        <w:rPr>
          <w:rFonts w:ascii="Times New Roman" w:eastAsia="Times New Roman" w:hAnsi="Times New Roman" w:cs="Times New Roman"/>
          <w:sz w:val="20"/>
        </w:rPr>
        <w:t xml:space="preserve">2019 </w:t>
      </w:r>
      <w:r>
        <w:rPr>
          <w:rFonts w:ascii="Times New Roman" w:eastAsia="Times New Roman" w:hAnsi="Times New Roman" w:cs="Times New Roman"/>
          <w:sz w:val="20"/>
        </w:rPr>
        <w:t xml:space="preserve">impairment on </w:t>
      </w:r>
      <w:r>
        <w:rPr>
          <w:rFonts w:ascii="Times New Roman" w:eastAsia="Times New Roman" w:hAnsi="Times New Roman" w:cs="Times New Roman"/>
          <w:sz w:val="20"/>
        </w:rPr>
        <w:t>intangible assets</w:t>
      </w:r>
      <w:r>
        <w:rPr>
          <w:rFonts w:ascii="Times New Roman" w:eastAsia="Times New Roman" w:hAnsi="Times New Roman" w:cs="Times New Roman"/>
          <w:sz w:val="20"/>
        </w:rPr>
        <w:t xml:space="preserve"> </w:t>
      </w:r>
      <w:r>
        <w:rPr>
          <w:rFonts w:ascii="Times New Roman" w:eastAsia="Times New Roman" w:hAnsi="Times New Roman" w:cs="Times New Roman"/>
          <w:sz w:val="20"/>
        </w:rPr>
        <w:t>a</w:t>
      </w:r>
      <w:r>
        <w:rPr>
          <w:rFonts w:ascii="Times New Roman" w:eastAsia="Times New Roman" w:hAnsi="Times New Roman" w:cs="Times New Roman"/>
          <w:sz w:val="20"/>
        </w:rPr>
        <w:t>nd software development costs (</w:t>
      </w:r>
      <w:r>
        <w:rPr>
          <w:rFonts w:ascii="Times New Roman" w:eastAsia="Times New Roman" w:hAnsi="Times New Roman" w:cs="Times New Roman"/>
          <w:sz w:val="20"/>
        </w:rPr>
        <w:t xml:space="preserve">see </w:t>
      </w:r>
      <w:r>
        <w:rPr>
          <w:rFonts w:ascii="Times New Roman" w:eastAsia="Times New Roman" w:hAnsi="Times New Roman" w:cs="Times New Roman"/>
          <w:sz w:val="20"/>
        </w:rPr>
        <w:t xml:space="preserve">Notes 3 and 4) </w:t>
      </w:r>
      <w:r>
        <w:rPr>
          <w:rFonts w:ascii="Times New Roman" w:eastAsia="Times New Roman" w:hAnsi="Times New Roman" w:cs="Times New Roman"/>
          <w:sz w:val="20"/>
        </w:rPr>
        <w:t xml:space="preserve">out of general and administrative expense and into a separately stated line item labeled </w:t>
      </w:r>
      <w:r>
        <w:rPr>
          <w:rFonts w:ascii="Times New Roman" w:eastAsia="Times New Roman" w:hAnsi="Times New Roman" w:cs="Times New Roman"/>
          <w:sz w:val="20"/>
        </w:rPr>
        <w:t xml:space="preserve">impairment of </w:t>
      </w:r>
      <w:r>
        <w:rPr>
          <w:rFonts w:ascii="Times New Roman" w:eastAsia="Times New Roman" w:hAnsi="Times New Roman" w:cs="Times New Roman"/>
          <w:sz w:val="20"/>
        </w:rPr>
        <w:t xml:space="preserve">goodwill and </w:t>
      </w:r>
      <w:r>
        <w:rPr>
          <w:rFonts w:ascii="Times New Roman" w:eastAsia="Times New Roman" w:hAnsi="Times New Roman" w:cs="Times New Roman"/>
          <w:sz w:val="20"/>
        </w:rPr>
        <w:t xml:space="preserve">intangible assets </w:t>
      </w:r>
      <w:r>
        <w:rPr>
          <w:rFonts w:ascii="Times New Roman" w:eastAsia="Times New Roman" w:hAnsi="Times New Roman" w:cs="Times New Roman"/>
          <w:sz w:val="20"/>
        </w:rPr>
        <w:t>within the accompanying consolidated statements of operations</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Cash and Cash Equivalents</w:t>
      </w:r>
    </w:p>
    <w:p>
      <w:pPr>
        <w:keepNext/>
        <w:keepLines/>
        <w:pageBreakBefore w:val="0"/>
        <w:widowControl w:val="0"/>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 considers all highly liquid investments purchased with an original maturity of three months or less from the date of purchase to be cash equivalents.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Deposits in </w:t>
      </w:r>
      <w:r>
        <w:rPr>
          <w:rFonts w:ascii="Times New Roman" w:eastAsia="Times New Roman" w:hAnsi="Times New Roman" w:cs="Times New Roman"/>
          <w:sz w:val="20"/>
        </w:rPr>
        <w:t>our b</w:t>
      </w:r>
      <w:r>
        <w:rPr>
          <w:rFonts w:ascii="Times New Roman" w:eastAsia="Times New Roman" w:hAnsi="Times New Roman" w:cs="Times New Roman"/>
          <w:sz w:val="20"/>
        </w:rPr>
        <w:t>ank</w:t>
      </w:r>
      <w:r>
        <w:rPr>
          <w:rFonts w:ascii="Times New Roman" w:eastAsia="Times New Roman" w:hAnsi="Times New Roman" w:cs="Times New Roman"/>
          <w:sz w:val="20"/>
        </w:rPr>
        <w:t>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are insured by the FDIC up to a maximum amount of </w:t>
      </w:r>
      <w:r>
        <w:rPr>
          <w:rFonts w:ascii="Times New Roman" w:eastAsia="Times New Roman" w:hAnsi="Times New Roman" w:cs="Times New Roman"/>
          <w:sz w:val="20"/>
        </w:rPr>
        <w:t>$250,000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Deposit balances exceeding this limit were </w:t>
      </w:r>
      <w:r>
        <w:rPr>
          <w:rFonts w:ascii="Times New Roman" w:eastAsia="Times New Roman" w:hAnsi="Times New Roman" w:cs="Times New Roman"/>
          <w:sz w:val="20"/>
        </w:rPr>
        <w:t>approximat</w:t>
      </w:r>
      <w:r>
        <w:rPr>
          <w:rFonts w:ascii="Times New Roman" w:eastAsia="Times New Roman" w:hAnsi="Times New Roman" w:cs="Times New Roman"/>
          <w:sz w:val="20"/>
        </w:rPr>
        <w:t xml:space="preserve">ely </w:t>
      </w:r>
      <w:r>
        <w:rPr>
          <w:rFonts w:ascii="Times New Roman" w:eastAsia="Times New Roman" w:hAnsi="Times New Roman" w:cs="Times New Roman"/>
          <w:sz w:val="20"/>
        </w:rPr>
        <w:t>$31.4 million</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sz w:val="20"/>
        </w:rPr>
        <w:t>$4.1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Accounts Receivable and Concentration of Credit Risk</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Company’s accounts receivable balance consists of </w:t>
      </w:r>
      <w:r>
        <w:rPr>
          <w:rFonts w:ascii="Times New Roman" w:eastAsia="Times New Roman" w:hAnsi="Times New Roman" w:cs="Times New Roman"/>
          <w:sz w:val="20"/>
        </w:rPr>
        <w:t>trade receivables</w:t>
      </w:r>
      <w:r>
        <w:rPr>
          <w:rFonts w:ascii="Times New Roman" w:eastAsia="Times New Roman" w:hAnsi="Times New Roman" w:cs="Times New Roman"/>
          <w:sz w:val="20"/>
        </w:rPr>
        <w:t>,</w:t>
      </w:r>
      <w:r>
        <w:rPr>
          <w:rFonts w:ascii="Times New Roman" w:eastAsia="Times New Roman" w:hAnsi="Times New Roman" w:cs="Times New Roman"/>
          <w:sz w:val="20"/>
        </w:rPr>
        <w:t xml:space="preserve"> unbilled receivables</w:t>
      </w:r>
      <w:r>
        <w:rPr>
          <w:rFonts w:ascii="Times New Roman" w:eastAsia="Times New Roman" w:hAnsi="Times New Roman" w:cs="Times New Roman"/>
          <w:sz w:val="20"/>
        </w:rPr>
        <w:t>,</w:t>
      </w:r>
      <w:r>
        <w:rPr>
          <w:rFonts w:ascii="Times New Roman" w:eastAsia="Times New Roman" w:hAnsi="Times New Roman" w:cs="Times New Roman"/>
          <w:sz w:val="20"/>
        </w:rPr>
        <w:t xml:space="preserve"> and </w:t>
      </w:r>
      <w:r>
        <w:rPr>
          <w:rFonts w:ascii="Times New Roman" w:eastAsia="Times New Roman" w:hAnsi="Times New Roman" w:cs="Times New Roman"/>
          <w:sz w:val="20"/>
        </w:rPr>
        <w:t>a</w:t>
      </w:r>
      <w:r>
        <w:rPr>
          <w:rFonts w:ascii="Times New Roman" w:eastAsia="Times New Roman" w:hAnsi="Times New Roman" w:cs="Times New Roman"/>
          <w:sz w:val="20"/>
        </w:rPr>
        <w:t xml:space="preserve"> res</w:t>
      </w:r>
      <w:r>
        <w:rPr>
          <w:rFonts w:ascii="Times New Roman" w:eastAsia="Times New Roman" w:hAnsi="Times New Roman" w:cs="Times New Roman"/>
          <w:sz w:val="20"/>
        </w:rPr>
        <w:t>erve for doubt</w:t>
      </w:r>
      <w:r>
        <w:rPr>
          <w:rFonts w:ascii="Times New Roman" w:eastAsia="Times New Roman" w:hAnsi="Times New Roman" w:cs="Times New Roman"/>
          <w:sz w:val="20"/>
        </w:rPr>
        <w:t>fu</w:t>
      </w:r>
      <w:r>
        <w:rPr>
          <w:rFonts w:ascii="Times New Roman" w:eastAsia="Times New Roman" w:hAnsi="Times New Roman" w:cs="Times New Roman"/>
          <w:sz w:val="20"/>
        </w:rPr>
        <w:t>l accounts</w:t>
      </w:r>
      <w:r>
        <w:rPr>
          <w:rFonts w:ascii="Times New Roman" w:eastAsia="Times New Roman" w:hAnsi="Times New Roman" w:cs="Times New Roman"/>
          <w:sz w:val="20"/>
        </w:rPr>
        <w:t xml:space="preserve">. Trade receivables are customer obligations due under normal trade terms. Unbilled receivables represent amounts owed for work that has been performed, but not yet billed. The Company had trade receivables of </w:t>
      </w:r>
      <w:r>
        <w:rPr>
          <w:rFonts w:ascii="Times New Roman" w:eastAsia="Times New Roman" w:hAnsi="Times New Roman" w:cs="Times New Roman"/>
          <w:sz w:val="20"/>
        </w:rPr>
        <w:t>$5,148,213</w:t>
      </w:r>
      <w:r>
        <w:rPr>
          <w:rFonts w:ascii="Times New Roman" w:eastAsia="Times New Roman" w:hAnsi="Times New Roman" w:cs="Times New Roman"/>
          <w:sz w:val="20"/>
        </w:rPr>
        <w:t xml:space="preserve"> and unbilled receivables of </w:t>
      </w:r>
      <w:r>
        <w:rPr>
          <w:rFonts w:ascii="Times New Roman" w:eastAsia="Times New Roman" w:hAnsi="Times New Roman" w:cs="Times New Roman"/>
          <w:sz w:val="20"/>
        </w:rPr>
        <w:t>$58,992</w:t>
      </w:r>
      <w:r>
        <w:rPr>
          <w:rFonts w:ascii="Times New Roman" w:eastAsia="Times New Roman" w:hAnsi="Times New Roman" w:cs="Times New Roman"/>
          <w:sz w:val="20"/>
        </w:rPr>
        <w:t xml:space="preserve"> at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The Company had trade receivables of </w:t>
      </w:r>
      <w:r>
        <w:rPr>
          <w:rFonts w:ascii="Times New Roman" w:eastAsia="Times New Roman" w:hAnsi="Times New Roman" w:cs="Times New Roman"/>
          <w:sz w:val="20"/>
        </w:rPr>
        <w:t>$5,106,314</w:t>
      </w:r>
      <w:r>
        <w:rPr>
          <w:rFonts w:ascii="Times New Roman" w:eastAsia="Times New Roman" w:hAnsi="Times New Roman" w:cs="Times New Roman"/>
          <w:sz w:val="20"/>
        </w:rPr>
        <w:t xml:space="preserve"> and unbilled receivables of </w:t>
      </w:r>
      <w:r>
        <w:rPr>
          <w:rFonts w:ascii="Times New Roman" w:eastAsia="Times New Roman" w:hAnsi="Times New Roman" w:cs="Times New Roman"/>
          <w:sz w:val="20"/>
        </w:rPr>
        <w:t>$490,405</w:t>
      </w:r>
      <w:r>
        <w:rPr>
          <w:rFonts w:ascii="Times New Roman" w:eastAsia="Times New Roman" w:hAnsi="Times New Roman" w:cs="Times New Roman"/>
          <w:sz w:val="20"/>
        </w:rPr>
        <w:t xml:space="preserve"> at </w:t>
      </w:r>
      <w:r>
        <w:rPr>
          <w:rFonts w:ascii="Times New Roman" w:eastAsia="Times New Roman" w:hAnsi="Times New Roman" w:cs="Times New Roman"/>
          <w:sz w:val="20"/>
        </w:rPr>
        <w:t>December 31, 2019</w:t>
      </w:r>
      <w:r>
        <w:rPr>
          <w:rFonts w:ascii="Times New Roman" w:eastAsia="Times New Roman" w:hAnsi="Times New Roman" w:cs="Times New Roman"/>
          <w:sz w:val="20"/>
        </w:rPr>
        <w:t>. Management considers an account to be delinquent when the customer has not paid an amount due by its associated due date. Uncollectibility of accounts receivable is not significant since most customers are bound by contract and are required to fund the Company for all the costs of an “opportunity,” defined as an order created by a marketer for a creator to develop or share content on behalf of a marketer. If a portion of the account balance is deemed uncollectible, the Company will either write-off the amount owed or provide a reserve based on its best estimate of the uncollectible portion of the account. Management determines the collectibility of accounts by regularly evaluating individual customer receivables and considering a customer’s financial condition, credit history</w:t>
      </w:r>
      <w:r>
        <w:rPr>
          <w:rFonts w:ascii="Times New Roman" w:eastAsia="Times New Roman" w:hAnsi="Times New Roman" w:cs="Times New Roman"/>
          <w:sz w:val="20"/>
        </w:rPr>
        <w:t>,</w:t>
      </w:r>
      <w:r>
        <w:rPr>
          <w:rFonts w:ascii="Times New Roman" w:eastAsia="Times New Roman" w:hAnsi="Times New Roman" w:cs="Times New Roman"/>
          <w:sz w:val="20"/>
        </w:rPr>
        <w:t xml:space="preserve"> and current economic conditions. The Company had a reserve for doubtful accounts of </w:t>
      </w:r>
      <w:r>
        <w:rPr>
          <w:rFonts w:ascii="Times New Roman" w:eastAsia="Times New Roman" w:hAnsi="Times New Roman" w:cs="Times New Roman"/>
          <w:sz w:val="20"/>
        </w:rPr>
        <w:t>$155,000</w:t>
      </w:r>
      <w:r>
        <w:rPr>
          <w:rFonts w:ascii="Times New Roman" w:eastAsia="Times New Roman" w:hAnsi="Times New Roman" w:cs="Times New Roman"/>
          <w:sz w:val="20"/>
        </w:rPr>
        <w:t xml:space="preserve"> and </w:t>
      </w:r>
      <w:r>
        <w:rPr>
          <w:rFonts w:ascii="Times New Roman" w:eastAsia="Times New Roman" w:hAnsi="Times New Roman" w:cs="Times New Roman"/>
          <w:sz w:val="20"/>
        </w:rPr>
        <w:t>$145,000</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December 31, 2019</w:t>
      </w:r>
      <w:r>
        <w:rPr>
          <w:rFonts w:ascii="Times New Roman" w:eastAsia="Times New Roman" w:hAnsi="Times New Roman" w:cs="Times New Roman"/>
          <w:sz w:val="20"/>
        </w:rPr>
        <w:t>, respectively. Management believes that this estimate is reasonable, but there can be no assurance that the estimate will not change as a result of a change in economic conditions or business conditions within the industry, the individual customers or the Company. Any adjustments to this account are reflected in the consolidated statements of operations as a general and administrative expense. Bad debt expense was</w:t>
      </w:r>
      <w:r>
        <w:rPr>
          <w:rFonts w:ascii="Times New Roman" w:eastAsia="Times New Roman" w:hAnsi="Times New Roman" w:cs="Times New Roman"/>
          <w:sz w:val="20"/>
        </w:rPr>
        <w:t xml:space="preserve"> less</w:t>
      </w:r>
      <w:r>
        <w:rPr>
          <w:rFonts w:ascii="Times New Roman" w:eastAsia="Times New Roman" w:hAnsi="Times New Roman" w:cs="Times New Roman"/>
          <w:sz w:val="20"/>
        </w:rPr>
        <w:t xml:space="preserve"> than</w:t>
      </w:r>
      <w:r>
        <w:rPr>
          <w:rFonts w:ascii="Times New Roman" w:eastAsia="Times New Roman" w:hAnsi="Times New Roman" w:cs="Times New Roman"/>
          <w:sz w:val="20"/>
        </w:rPr>
        <w:t xml:space="preserve"> </w:t>
      </w:r>
      <w:r>
        <w:rPr>
          <w:rFonts w:ascii="Times New Roman" w:eastAsia="Times New Roman" w:hAnsi="Times New Roman" w:cs="Times New Roman"/>
          <w:sz w:val="20"/>
        </w:rPr>
        <w:t>1%</w:t>
      </w:r>
      <w:r>
        <w:rPr>
          <w:rFonts w:ascii="Times New Roman" w:eastAsia="Times New Roman" w:hAnsi="Times New Roman" w:cs="Times New Roman"/>
          <w:sz w:val="20"/>
        </w:rPr>
        <w:t xml:space="preserve"> of revenue </w:t>
      </w:r>
      <w:r>
        <w:rPr>
          <w:rFonts w:ascii="Times New Roman" w:eastAsia="Times New Roman" w:hAnsi="Times New Roman" w:cs="Times New Roman"/>
          <w:sz w:val="20"/>
        </w:rPr>
        <w:t>for each of the</w:t>
      </w:r>
      <w:r>
        <w:rPr>
          <w:rFonts w:ascii="Times New Roman" w:eastAsia="Times New Roman" w:hAnsi="Times New Roman" w:cs="Times New Roman"/>
          <w:sz w:val="20"/>
        </w:rPr>
        <w:t xml:space="preserv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Concentrations of credit risk with respect to accounts receivable have been typically limited because a large number of geographically diverse customers make up the Company’s customer base, thus spreading the trade credit risk. However, with the Company’s addition of SaaS customers, it has increased credit exposure on certain customers who carry significant credit balances related to their marketplace spend. The Company controls credit risk through credit approvals, credit limits</w:t>
      </w:r>
      <w:r>
        <w:rPr>
          <w:rFonts w:ascii="Times New Roman" w:eastAsia="Times New Roman" w:hAnsi="Times New Roman" w:cs="Times New Roman"/>
          <w:sz w:val="20"/>
        </w:rPr>
        <w:t>,</w:t>
      </w:r>
      <w:r>
        <w:rPr>
          <w:rFonts w:ascii="Times New Roman" w:eastAsia="Times New Roman" w:hAnsi="Times New Roman" w:cs="Times New Roman"/>
          <w:sz w:val="20"/>
        </w:rPr>
        <w:t xml:space="preserve"> and monitoring procedures. The Company performs credit evaluations of its customers, but generally does not require collateral to support accounts receivable. The Company had </w:t>
      </w:r>
      <w:r>
        <w:rPr>
          <w:rFonts w:ascii="Times New Roman" w:eastAsia="Times New Roman" w:hAnsi="Times New Roman" w:cs="Times New Roman"/>
          <w:sz w:val="20"/>
        </w:rPr>
        <w:t>no</w:t>
      </w:r>
      <w:r>
        <w:rPr>
          <w:rFonts w:ascii="Times New Roman" w:eastAsia="Times New Roman" w:hAnsi="Times New Roman" w:cs="Times New Roman"/>
          <w:sz w:val="20"/>
        </w:rPr>
        <w:t xml:space="preserve"> customer</w:t>
      </w:r>
      <w:r>
        <w:rPr>
          <w:rFonts w:ascii="Times New Roman" w:eastAsia="Times New Roman" w:hAnsi="Times New Roman" w:cs="Times New Roman"/>
          <w:sz w:val="20"/>
        </w:rPr>
        <w:t xml:space="preserve"> that accounted for </w:t>
      </w:r>
      <w:r>
        <w:rPr>
          <w:rFonts w:ascii="Times New Roman" w:eastAsia="Times New Roman" w:hAnsi="Times New Roman" w:cs="Times New Roman"/>
          <w:sz w:val="20"/>
        </w:rPr>
        <w:t>more than 10%</w:t>
      </w:r>
      <w:r>
        <w:rPr>
          <w:rFonts w:ascii="Times New Roman" w:eastAsia="Times New Roman" w:hAnsi="Times New Roman" w:cs="Times New Roman"/>
          <w:sz w:val="20"/>
        </w:rPr>
        <w:t xml:space="preserve"> of total accounts receivable at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Company had </w:t>
      </w:r>
      <w:r>
        <w:rPr>
          <w:rFonts w:ascii="Times New Roman" w:eastAsia="Times New Roman" w:hAnsi="Times New Roman" w:cs="Times New Roman"/>
          <w:sz w:val="20"/>
        </w:rPr>
        <w:t>one</w:t>
      </w:r>
      <w:r>
        <w:rPr>
          <w:rFonts w:ascii="Times New Roman" w:eastAsia="Times New Roman" w:hAnsi="Times New Roman" w:cs="Times New Roman"/>
          <w:sz w:val="20"/>
        </w:rPr>
        <w:t xml:space="preserve"> customer that accounted for </w:t>
      </w:r>
      <w:r>
        <w:rPr>
          <w:rFonts w:ascii="Times New Roman" w:eastAsia="Times New Roman" w:hAnsi="Times New Roman" w:cs="Times New Roman"/>
          <w:sz w:val="20"/>
        </w:rPr>
        <w:t>12%</w:t>
      </w:r>
      <w:r>
        <w:rPr>
          <w:rFonts w:ascii="Times New Roman" w:eastAsia="Times New Roman" w:hAnsi="Times New Roman" w:cs="Times New Roman"/>
          <w:sz w:val="20"/>
        </w:rPr>
        <w:t xml:space="preserve"> of its revenue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r>
        <w:rPr>
          <w:rFonts w:ascii="Times New Roman" w:eastAsia="Times New Roman" w:hAnsi="Times New Roman" w:cs="Times New Roman"/>
          <w:sz w:val="20"/>
        </w:rPr>
        <w:t>and</w:t>
      </w:r>
      <w:r>
        <w:rPr>
          <w:rFonts w:ascii="Times New Roman" w:eastAsia="Times New Roman" w:hAnsi="Times New Roman" w:cs="Times New Roman"/>
          <w:sz w:val="20"/>
        </w:rPr>
        <w:t xml:space="preserve"> </w:t>
      </w:r>
      <w:r>
        <w:rPr>
          <w:rFonts w:ascii="Times New Roman" w:eastAsia="Times New Roman" w:hAnsi="Times New Roman" w:cs="Times New Roman"/>
          <w:sz w:val="20"/>
        </w:rPr>
        <w:t>no</w:t>
      </w:r>
      <w:r>
        <w:rPr>
          <w:rFonts w:ascii="Times New Roman" w:eastAsia="Times New Roman" w:hAnsi="Times New Roman" w:cs="Times New Roman"/>
          <w:sz w:val="20"/>
        </w:rPr>
        <w:t xml:space="preserve"> customer that accounted for </w:t>
      </w:r>
      <w:r>
        <w:rPr>
          <w:rFonts w:ascii="Times New Roman" w:eastAsia="Times New Roman" w:hAnsi="Times New Roman" w:cs="Times New Roman"/>
          <w:sz w:val="20"/>
        </w:rPr>
        <w:t>more than 10%</w:t>
      </w:r>
      <w:r>
        <w:rPr>
          <w:rFonts w:ascii="Times New Roman" w:eastAsia="Times New Roman" w:hAnsi="Times New Roman" w:cs="Times New Roman"/>
          <w:sz w:val="20"/>
        </w:rPr>
        <w:t xml:space="preserve"> of </w:t>
      </w:r>
      <w:r>
        <w:rPr>
          <w:rFonts w:ascii="Times New Roman" w:eastAsia="Times New Roman" w:hAnsi="Times New Roman" w:cs="Times New Roman"/>
          <w:sz w:val="20"/>
        </w:rPr>
        <w:t>its</w:t>
      </w:r>
      <w:r>
        <w:rPr>
          <w:rFonts w:ascii="Times New Roman" w:eastAsia="Times New Roman" w:hAnsi="Times New Roman" w:cs="Times New Roman"/>
          <w:sz w:val="20"/>
        </w:rPr>
        <w:t xml:space="preserve"> revenue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2019</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Property and Equipment</w:t>
      </w:r>
    </w:p>
    <w:p>
      <w:pPr>
        <w:keepNext w:val="0"/>
        <w:keepLines w:val="0"/>
        <w:pageBreakBefore w:val="0"/>
        <w:widowControl/>
        <w:numPr>
          <w:ilvl w:val="0"/>
          <w:numId w:val="0"/>
        </w:numPr>
        <w:spacing w:before="120" w:after="10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Property and equipment are recorded at cost, or if acquired in a business combination, at the acquisition date fair value. </w:t>
      </w:r>
      <w:r>
        <w:rPr>
          <w:rFonts w:ascii="Times New Roman" w:eastAsia="Times New Roman" w:hAnsi="Times New Roman" w:cs="Times New Roman"/>
          <w:sz w:val="20"/>
        </w:rPr>
        <w:t xml:space="preserve">Depreciation </w:t>
      </w:r>
      <w:r>
        <w:rPr>
          <w:rFonts w:ascii="Times New Roman" w:eastAsia="Times New Roman" w:hAnsi="Times New Roman" w:cs="Times New Roman"/>
          <w:sz w:val="20"/>
        </w:rPr>
        <w:t>is</w:t>
      </w:r>
      <w:r>
        <w:rPr>
          <w:rFonts w:ascii="Times New Roman" w:eastAsia="Times New Roman" w:hAnsi="Times New Roman" w:cs="Times New Roman"/>
          <w:sz w:val="20"/>
        </w:rPr>
        <w:t xml:space="preserve"> computed using the straight-line method over the estimated useful lives of the assets as follows:</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05"/>
        <w:gridCol w:w="114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9105" w:type="dxa"/>
            <w:tcBorders>
              <w:top w:val="single" w:sz="8" w:space="0" w:color="000000"/>
              <w:left w:val="single" w:sz="8" w:space="0" w:color="000000"/>
              <w:bottom w:val="nil"/>
              <w:right w:val="nil"/>
            </w:tcBorders>
            <w:shd w:val="clear" w:color="auto" w:fill="CCEEFF"/>
            <w:tcMar>
              <w:top w:w="0" w:type="dxa"/>
              <w:left w:w="53" w:type="dxa"/>
              <w:bottom w:w="0" w:type="dxa"/>
              <w:right w:w="53" w:type="dxa"/>
            </w:tcMar>
            <w:vAlign w:val="bottom"/>
          </w:tcPr>
          <w:p>
            <w:pPr>
              <w:keepNext/>
              <w:pageBreakBefore w:val="0"/>
              <w:tabs>
                <w:tab w:val="left" w:leader="dot" w:pos="9105"/>
              </w:tabs>
              <w:spacing w:before="55" w:after="30" w:line="240" w:lineRule="auto"/>
              <w:ind w:left="0"/>
              <w:jc w:val="left"/>
            </w:pPr>
            <w:r>
              <w:rPr>
                <w:rFonts w:ascii="Times New Roman" w:eastAsia="Times New Roman" w:hAnsi="Times New Roman" w:cs="Times New Roman"/>
                <w:color w:val="000000"/>
                <w:sz w:val="20"/>
              </w:rPr>
              <w:t>Computer Equipment</w:t>
            </w:r>
            <w:r>
              <w:rPr>
                <w:b w:val="0"/>
                <w:sz w:val="20"/>
              </w:rPr>
              <w:tab/>
            </w:r>
          </w:p>
        </w:tc>
        <w:tc>
          <w:tcPr>
            <w:tcW w:w="1140" w:type="dxa"/>
            <w:tcBorders>
              <w:top w:val="single" w:sz="8" w:space="0" w:color="000000"/>
              <w:left w:val="nil"/>
              <w:bottom w:val="nil"/>
              <w:right w:val="single" w:sz="8" w:space="0" w:color="000000"/>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3 years</w:t>
            </w:r>
          </w:p>
        </w:tc>
      </w:tr>
      <w:tr>
        <w:tblPrEx>
          <w:tblW w:w="10450" w:type="dxa"/>
          <w:jc w:val="left"/>
          <w:tblInd w:w="0" w:type="dxa"/>
          <w:tblCellMar>
            <w:left w:w="108" w:type="dxa"/>
            <w:right w:w="108" w:type="dxa"/>
          </w:tblCellMar>
        </w:tblPrEx>
        <w:trPr>
          <w:cantSplit/>
          <w:trHeight w:hRule="exact" w:val="285"/>
          <w:jc w:val="left"/>
        </w:trPr>
        <w:tc>
          <w:tcPr>
            <w:tcW w:w="9105" w:type="dxa"/>
            <w:tcBorders>
              <w:top w:val="nil"/>
              <w:left w:val="single" w:sz="8" w:space="0" w:color="000000"/>
              <w:bottom w:val="nil"/>
              <w:right w:val="nil"/>
            </w:tcBorders>
            <w:shd w:val="clear" w:color="auto" w:fill="FFFFFF"/>
            <w:tcMar>
              <w:top w:w="0" w:type="dxa"/>
              <w:left w:w="53" w:type="dxa"/>
              <w:bottom w:w="0" w:type="dxa"/>
              <w:right w:w="53" w:type="dxa"/>
            </w:tcMar>
            <w:vAlign w:val="bottom"/>
          </w:tcPr>
          <w:p>
            <w:pPr>
              <w:keepNext/>
              <w:pageBreakBefore w:val="0"/>
              <w:tabs>
                <w:tab w:val="left" w:leader="dot" w:pos="9105"/>
              </w:tabs>
              <w:spacing w:before="75" w:after="30" w:line="240" w:lineRule="auto"/>
              <w:ind w:left="0"/>
              <w:jc w:val="left"/>
            </w:pPr>
            <w:r>
              <w:rPr>
                <w:rFonts w:ascii="Times New Roman" w:eastAsia="Times New Roman" w:hAnsi="Times New Roman" w:cs="Times New Roman"/>
                <w:color w:val="000000"/>
                <w:sz w:val="20"/>
              </w:rPr>
              <w:t>Office Equipment</w:t>
            </w:r>
            <w:r>
              <w:rPr>
                <w:b w:val="0"/>
                <w:sz w:val="20"/>
              </w:rPr>
              <w:tab/>
            </w:r>
          </w:p>
        </w:tc>
        <w:tc>
          <w:tcPr>
            <w:tcW w:w="1140" w:type="dxa"/>
            <w:tcBorders>
              <w:top w:val="nil"/>
              <w:left w:val="nil"/>
              <w:bottom w:val="nil"/>
              <w:right w:val="single" w:sz="8" w:space="0" w:color="000000"/>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sz w:val="20"/>
              </w:rPr>
              <w:t>3</w:t>
            </w:r>
            <w:r>
              <w:rPr>
                <w:rFonts w:ascii="Times New Roman" w:eastAsia="Times New Roman" w:hAnsi="Times New Roman" w:cs="Times New Roman"/>
                <w:sz w:val="20"/>
              </w:rPr>
              <w:t xml:space="preserve"> - </w:t>
            </w:r>
            <w:r>
              <w:rPr>
                <w:rFonts w:ascii="Times New Roman" w:eastAsia="Times New Roman" w:hAnsi="Times New Roman" w:cs="Times New Roman"/>
                <w:sz w:val="20"/>
              </w:rPr>
              <w:t>10</w:t>
            </w:r>
            <w:r>
              <w:rPr>
                <w:rFonts w:ascii="Times New Roman" w:eastAsia="Times New Roman" w:hAnsi="Times New Roman" w:cs="Times New Roman"/>
                <w:sz w:val="20"/>
              </w:rPr>
              <w:t xml:space="preserve"> years</w:t>
            </w:r>
          </w:p>
        </w:tc>
      </w:tr>
      <w:tr>
        <w:tblPrEx>
          <w:tblW w:w="10450" w:type="dxa"/>
          <w:jc w:val="left"/>
          <w:tblInd w:w="0" w:type="dxa"/>
          <w:tblCellMar>
            <w:left w:w="108" w:type="dxa"/>
            <w:right w:w="108" w:type="dxa"/>
          </w:tblCellMar>
        </w:tblPrEx>
        <w:trPr>
          <w:cantSplit/>
          <w:trHeight w:hRule="exact" w:val="285"/>
          <w:jc w:val="left"/>
        </w:trPr>
        <w:tc>
          <w:tcPr>
            <w:tcW w:w="9105" w:type="dxa"/>
            <w:tcBorders>
              <w:top w:val="nil"/>
              <w:left w:val="single" w:sz="8" w:space="0" w:color="000000"/>
              <w:bottom w:val="single" w:sz="8" w:space="0" w:color="000000"/>
              <w:right w:val="nil"/>
            </w:tcBorders>
            <w:shd w:val="clear" w:color="auto" w:fill="CCEEFF"/>
            <w:tcMar>
              <w:top w:w="0" w:type="dxa"/>
              <w:left w:w="53" w:type="dxa"/>
              <w:bottom w:w="0" w:type="dxa"/>
              <w:right w:w="53" w:type="dxa"/>
            </w:tcMar>
            <w:vAlign w:val="bottom"/>
          </w:tcPr>
          <w:p>
            <w:pPr>
              <w:pageBreakBefore w:val="0"/>
              <w:tabs>
                <w:tab w:val="left" w:leader="dot" w:pos="9105"/>
              </w:tabs>
              <w:spacing w:before="75" w:after="30" w:line="240" w:lineRule="auto"/>
              <w:ind w:left="0"/>
              <w:jc w:val="left"/>
            </w:pPr>
            <w:r>
              <w:rPr>
                <w:rFonts w:ascii="Times New Roman" w:eastAsia="Times New Roman" w:hAnsi="Times New Roman" w:cs="Times New Roman"/>
                <w:color w:val="000000"/>
                <w:sz w:val="20"/>
              </w:rPr>
              <w:t>Furniture and Fixtures</w:t>
            </w:r>
            <w:r>
              <w:rPr>
                <w:b w:val="0"/>
                <w:sz w:val="20"/>
              </w:rPr>
              <w:tab/>
            </w:r>
          </w:p>
        </w:tc>
        <w:tc>
          <w:tcPr>
            <w:tcW w:w="1140" w:type="dxa"/>
            <w:tcBorders>
              <w:top w:val="nil"/>
              <w:left w:val="nil"/>
              <w:bottom w:val="single" w:sz="8" w:space="0" w:color="000000"/>
              <w:right w:val="single" w:sz="8" w:space="0" w:color="000000"/>
            </w:tcBorders>
            <w:shd w:val="clear" w:color="auto" w:fill="CCEE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right"/>
              <w:outlineLvl w:val="9"/>
              <w:rPr>
                <w:rFonts w:ascii="Times New Roman" w:eastAsia="Times New Roman" w:hAnsi="Times New Roman" w:cs="Times New Roman"/>
                <w:sz w:val="20"/>
              </w:rPr>
            </w:pPr>
            <w:r>
              <w:rPr>
                <w:rFonts w:ascii="Times New Roman" w:eastAsia="Times New Roman" w:hAnsi="Times New Roman" w:cs="Times New Roman"/>
                <w:sz w:val="20"/>
              </w:rPr>
              <w:t>5</w:t>
            </w:r>
            <w:r>
              <w:rPr>
                <w:rFonts w:ascii="Times New Roman" w:eastAsia="Times New Roman" w:hAnsi="Times New Roman" w:cs="Times New Roman"/>
                <w:sz w:val="20"/>
              </w:rPr>
              <w:t xml:space="preserve"> - </w:t>
            </w:r>
            <w:r>
              <w:rPr>
                <w:rFonts w:ascii="Times New Roman" w:eastAsia="Times New Roman" w:hAnsi="Times New Roman" w:cs="Times New Roman"/>
                <w:sz w:val="20"/>
              </w:rPr>
              <w:t>10</w:t>
            </w:r>
            <w:r>
              <w:rPr>
                <w:rFonts w:ascii="Times New Roman" w:eastAsia="Times New Roman" w:hAnsi="Times New Roman" w:cs="Times New Roman"/>
                <w:sz w:val="20"/>
              </w:rPr>
              <w:t xml:space="preserve"> </w:t>
            </w:r>
            <w:r>
              <w:rPr>
                <w:rFonts w:ascii="Times New Roman" w:eastAsia="Times New Roman" w:hAnsi="Times New Roman" w:cs="Times New Roman"/>
                <w:sz w:val="20"/>
              </w:rPr>
              <w:t>years</w:t>
            </w:r>
          </w:p>
        </w:tc>
      </w:tr>
    </w:tbl>
    <w:p>
      <w:pPr>
        <w:keepNext w:val="0"/>
        <w:keepLines w:val="0"/>
        <w:pageBreakBefore w:val="0"/>
        <w:widowControl/>
        <w:numPr>
          <w:ilvl w:val="0"/>
          <w:numId w:val="0"/>
        </w:numPr>
        <w:spacing w:before="10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Leasehold improvements are amortized over the shorter of the term of the lease or the estimated useful lives of the improvements. Expenditures for repairs and maintenance are charged to expense as incurred. Expenditures for betterments and major improvements are capitalized and depreciated over the remaining usefu</w:t>
      </w:r>
      <w:r>
        <w:rPr>
          <w:rFonts w:ascii="Times New Roman" w:eastAsia="Times New Roman" w:hAnsi="Times New Roman" w:cs="Times New Roman"/>
          <w:sz w:val="20"/>
        </w:rPr>
        <w:t>l</w:t>
      </w:r>
      <w:r>
        <w:rPr>
          <w:rFonts w:ascii="Times New Roman" w:eastAsia="Times New Roman" w:hAnsi="Times New Roman" w:cs="Times New Roman"/>
          <w:sz w:val="20"/>
        </w:rPr>
        <w:t xml:space="preserve"> lives of the assets. The carrying amounts of assets sold or retired and the related accumulated depreciation are eliminated in the year of disposal, with resulting gains or losses included in general and administrative expense in the consolidated statements of operations. There were </w:t>
      </w:r>
      <w:r>
        <w:rPr>
          <w:rFonts w:ascii="Times New Roman" w:eastAsia="Times New Roman" w:hAnsi="Times New Roman" w:cs="Times New Roman"/>
          <w:sz w:val="20"/>
        </w:rPr>
        <w:t>no</w:t>
      </w:r>
      <w:r>
        <w:rPr>
          <w:rFonts w:ascii="Times New Roman" w:eastAsia="Times New Roman" w:hAnsi="Times New Roman" w:cs="Times New Roman"/>
          <w:sz w:val="20"/>
        </w:rPr>
        <w:t xml:space="preserve"> material impairment charges associated with the Company’s long-lived tangible assets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Goodwill</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Goodwill represents the excess of the </w:t>
      </w:r>
      <w:r>
        <w:rPr>
          <w:rFonts w:ascii="Times New Roman" w:eastAsia="Times New Roman" w:hAnsi="Times New Roman" w:cs="Times New Roman"/>
          <w:sz w:val="20"/>
        </w:rPr>
        <w:t xml:space="preserve">consideration </w:t>
      </w:r>
      <w:r>
        <w:rPr>
          <w:rFonts w:ascii="Times New Roman" w:eastAsia="Times New Roman" w:hAnsi="Times New Roman" w:cs="Times New Roman"/>
          <w:sz w:val="20"/>
        </w:rPr>
        <w:t xml:space="preserve">transferred for </w:t>
      </w:r>
      <w:r>
        <w:rPr>
          <w:rFonts w:ascii="Times New Roman" w:eastAsia="Times New Roman" w:hAnsi="Times New Roman" w:cs="Times New Roman"/>
          <w:sz w:val="20"/>
        </w:rPr>
        <w:t xml:space="preserve">an acquired business over the fair value of the underlying </w:t>
      </w:r>
      <w:r>
        <w:rPr>
          <w:rFonts w:ascii="Times New Roman" w:eastAsia="Times New Roman" w:hAnsi="Times New Roman" w:cs="Times New Roman"/>
          <w:sz w:val="20"/>
        </w:rPr>
        <w:t xml:space="preserve">identifiable </w:t>
      </w:r>
      <w:r>
        <w:rPr>
          <w:rFonts w:ascii="Times New Roman" w:eastAsia="Times New Roman" w:hAnsi="Times New Roman" w:cs="Times New Roman"/>
          <w:sz w:val="20"/>
        </w:rPr>
        <w:t xml:space="preserve">net </w:t>
      </w:r>
      <w:r>
        <w:rPr>
          <w:rFonts w:ascii="Times New Roman" w:eastAsia="Times New Roman" w:hAnsi="Times New Roman" w:cs="Times New Roman"/>
          <w:sz w:val="20"/>
        </w:rPr>
        <w:t>assets. The Company has goodwill in connection with its acquisitions of Ebyline, ZenContent and TapInfluence. Goodwill is not amortized but instead it is tested for impairment at least annually. In the event that management determines that the value of goodwill has become impaired, the Company will record a charge for the amount of impairment during the fiscal quarter in which the determination is made.</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performs its annual impairment tests of goodwill as of October 1 of each year, or more frequently, if certain indicators are present. For instance, in March 2020, the Company identified triggering events, including the reduction in its projected revenue due to adverse economic conditions caused by the COVID-19 pandemic, the continuation of a market capitalization below the Company’s carrying value, and uncertainty for recovery given the volatility of the capital markets surrounding COVID-19. Therefore, the Company performed an interim assessment of goodwill, as described in Note 3. Goodwill is required to be tested for impairment at the reporting unit level. A reporting unit is an operating segment or one level below the operating segment level, which is referred to as a component. Management identifies its reporting units by assessing whether components (i) have discrete financial information available; (ii) engage in business activities; and (iii) whether a segment manager regularly reviews the component’s operating results. Net assets and goodwill of acquired businesses are allocated to the reporting unit associated with the acquired business based on the anticipated organizational structure of the combined entities. If two or more components are deemed economically similar, those components are aggregated into one reporting unit when performing the annual goodwill impairment review. The Company had </w:t>
      </w:r>
      <w:r>
        <w:rPr>
          <w:rFonts w:ascii="Times New Roman" w:eastAsia="Times New Roman" w:hAnsi="Times New Roman" w:cs="Times New Roman"/>
          <w:sz w:val="20"/>
        </w:rPr>
        <w:t>one</w:t>
      </w:r>
      <w:r>
        <w:rPr>
          <w:rFonts w:ascii="Times New Roman" w:eastAsia="Times New Roman" w:hAnsi="Times New Roman" w:cs="Times New Roman"/>
          <w:sz w:val="20"/>
        </w:rPr>
        <w:t xml:space="preserve"> reporting unit as of </w:t>
      </w:r>
      <w:r>
        <w:rPr>
          <w:rFonts w:ascii="Times New Roman" w:eastAsia="Times New Roman" w:hAnsi="Times New Roman" w:cs="Times New Roman"/>
          <w:sz w:val="20"/>
        </w:rPr>
        <w:t>December 31, 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January 2017, the FASB issued ASU No. 2017-04, </w:t>
      </w:r>
      <w:r>
        <w:rPr>
          <w:rFonts w:ascii="Times New Roman" w:eastAsia="Times New Roman" w:hAnsi="Times New Roman" w:cs="Times New Roman"/>
          <w:i/>
          <w:sz w:val="20"/>
        </w:rPr>
        <w:t xml:space="preserve">Intangibles—Goodwill and Other (Topic 350): Simplifying the Test for Goodwill Impairment </w:t>
      </w:r>
      <w:r>
        <w:rPr>
          <w:rFonts w:ascii="Times New Roman" w:eastAsia="Times New Roman" w:hAnsi="Times New Roman" w:cs="Times New Roman"/>
          <w:sz w:val="20"/>
        </w:rPr>
        <w:t>(“ASU 2017-04”)</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To address concerns over the cost and complexity of the two-step goodwill impairment test, the new standard removes the requirement for the second step of the goodwill impairment test for certain entities. An entity may apply a one-step quantitative test and record the amount of goodwill impairment as the excess of a reporting unit's carrying amount over its fair value, not to exceed the total amount of goodwill allocated to the reporting unit. The Company adopted this method in the third quarter of 2019 and there were no changes to its financial statements at the time of the adoption.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Intangible Assets</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 acquired the majority of its intangible assets through its acquisitions of Ebyline, ZenContent</w:t>
      </w:r>
      <w:r>
        <w:rPr>
          <w:rFonts w:ascii="Times New Roman" w:eastAsia="Times New Roman" w:hAnsi="Times New Roman" w:cs="Times New Roman"/>
          <w:sz w:val="20"/>
        </w:rPr>
        <w:t>,</w:t>
      </w:r>
      <w:r>
        <w:rPr>
          <w:rFonts w:ascii="Times New Roman" w:eastAsia="Times New Roman" w:hAnsi="Times New Roman" w:cs="Times New Roman"/>
          <w:sz w:val="20"/>
        </w:rPr>
        <w:t xml:space="preserve"> and TapInfluence. The Company is amortizing the identifiable intangible assets over periods of </w:t>
      </w:r>
      <w:r>
        <w:rPr>
          <w:rFonts w:ascii="Times New Roman" w:eastAsia="Times New Roman" w:hAnsi="Times New Roman" w:cs="Times New Roman"/>
          <w:sz w:val="20"/>
        </w:rPr>
        <w:t>12</w:t>
      </w:r>
      <w:r>
        <w:rPr>
          <w:rFonts w:ascii="Times New Roman" w:eastAsia="Times New Roman" w:hAnsi="Times New Roman" w:cs="Times New Roman"/>
          <w:sz w:val="20"/>
        </w:rPr>
        <w:t xml:space="preserve"> to </w:t>
      </w:r>
      <w:r>
        <w:rPr>
          <w:rFonts w:ascii="Times New Roman" w:eastAsia="Times New Roman" w:hAnsi="Times New Roman" w:cs="Times New Roman"/>
          <w:sz w:val="20"/>
        </w:rPr>
        <w:t>60</w:t>
      </w:r>
      <w:r>
        <w:rPr>
          <w:rFonts w:ascii="Times New Roman" w:eastAsia="Times New Roman" w:hAnsi="Times New Roman" w:cs="Times New Roman"/>
          <w:sz w:val="20"/>
        </w:rPr>
        <w:t xml:space="preserve"> months. See Note 3 for further details.</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Management reviews long-lived assets, including property and equipment, software development costs and other intangible assets, for impairment whenever events or changes in circumstances indicate that their carrying amounts may not be recoverable. If an evaluation is required, the estimated future undiscounted cash flows associated with the asset are compared with the asset's carrying amount to determine if there has been an impairment, which is calculated as the difference between the fair value of the asset and the carrying value. Estimates of future undiscounted cash flows are based on expected growth rates for the business, anticipated future economic conditions and estimates of residual values. Fair values take into consideration management estimates of risk-adjusted discount rates, which are believed to be consistent with assumptions that marketplace participants would use in their estimates of fair value. </w:t>
      </w:r>
      <w:r>
        <w:rPr>
          <w:rFonts w:ascii="Times New Roman" w:eastAsia="Times New Roman" w:hAnsi="Times New Roman" w:cs="Times New Roman"/>
          <w:sz w:val="20"/>
        </w:rPr>
        <w:t>For the</w:t>
      </w:r>
      <w:r>
        <w:rPr>
          <w:rFonts w:ascii="Times New Roman" w:eastAsia="Times New Roman" w:hAnsi="Times New Roman" w:cs="Times New Roman"/>
          <w:sz w:val="20"/>
        </w:rPr>
        <w:t xml:space="preserv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w:t>
      </w:r>
      <w:r>
        <w:rPr>
          <w:rFonts w:ascii="Times New Roman" w:eastAsia="Times New Roman" w:hAnsi="Times New Roman" w:cs="Times New Roman"/>
          <w:sz w:val="20"/>
        </w:rPr>
        <w:t xml:space="preserve">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the Company recorded impairment charges of </w:t>
      </w:r>
      <w:r>
        <w:rPr>
          <w:rFonts w:ascii="Times New Roman" w:eastAsia="Times New Roman" w:hAnsi="Times New Roman" w:cs="Times New Roman"/>
          <w:sz w:val="20"/>
        </w:rPr>
        <w:t>$418,099</w:t>
      </w:r>
      <w:r>
        <w:rPr>
          <w:rFonts w:ascii="Times New Roman" w:eastAsia="Times New Roman" w:hAnsi="Times New Roman" w:cs="Times New Roman"/>
          <w:sz w:val="20"/>
        </w:rPr>
        <w:t xml:space="preserve"> associated with the Company's reduction in use of certain developed technology upon implementation of </w:t>
      </w:r>
      <w:r>
        <w:rPr>
          <w:rFonts w:ascii="Times New Roman" w:eastAsia="Times New Roman" w:hAnsi="Times New Roman" w:cs="Times New Roman"/>
          <w:i/>
          <w:sz w:val="20"/>
        </w:rPr>
        <w:t>IZEAx 3.0</w:t>
      </w:r>
      <w:r>
        <w:rPr>
          <w:rFonts w:ascii="Times New Roman" w:eastAsia="Times New Roman" w:hAnsi="Times New Roman" w:cs="Times New Roman"/>
          <w:sz w:val="20"/>
        </w:rPr>
        <w:t xml:space="preserve"> and the migration of TapInfluence customers and creators into the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platform.</w:t>
      </w:r>
      <w:r>
        <w:rPr>
          <w:rFonts w:ascii="Times New Roman" w:eastAsia="Times New Roman" w:hAnsi="Times New Roman" w:cs="Times New Roman"/>
          <w:sz w:val="20"/>
        </w:rPr>
        <w:t xml:space="preserve"> </w:t>
      </w:r>
      <w:r>
        <w:rPr>
          <w:rFonts w:ascii="Times New Roman" w:eastAsia="Times New Roman" w:hAnsi="Times New Roman" w:cs="Times New Roman"/>
          <w:sz w:val="20"/>
        </w:rPr>
        <w:t>There were</w:t>
      </w:r>
      <w:r>
        <w:rPr>
          <w:rFonts w:ascii="Times New Roman" w:eastAsia="Times New Roman" w:hAnsi="Times New Roman" w:cs="Times New Roman"/>
          <w:sz w:val="20"/>
        </w:rPr>
        <w:t xml:space="preserve"> </w:t>
      </w:r>
      <w:r>
        <w:rPr>
          <w:rFonts w:ascii="Times New Roman" w:eastAsia="Times New Roman" w:hAnsi="Times New Roman" w:cs="Times New Roman"/>
          <w:sz w:val="20"/>
        </w:rPr>
        <w:t>no</w:t>
      </w:r>
      <w:r>
        <w:rPr>
          <w:rFonts w:ascii="Times New Roman" w:eastAsia="Times New Roman" w:hAnsi="Times New Roman" w:cs="Times New Roman"/>
          <w:sz w:val="20"/>
        </w:rPr>
        <w:t xml:space="preserve"> </w:t>
      </w:r>
      <w:r>
        <w:rPr>
          <w:rFonts w:ascii="Times New Roman" w:eastAsia="Times New Roman" w:hAnsi="Times New Roman" w:cs="Times New Roman"/>
          <w:sz w:val="20"/>
        </w:rPr>
        <w:t>impairment charges associated with the Company’s</w:t>
      </w:r>
      <w:r>
        <w:rPr>
          <w:rFonts w:ascii="Times New Roman" w:eastAsia="Times New Roman" w:hAnsi="Times New Roman" w:cs="Times New Roman"/>
          <w:sz w:val="20"/>
        </w:rPr>
        <w:t xml:space="preserve"> acquired intan</w:t>
      </w:r>
      <w:r>
        <w:rPr>
          <w:rFonts w:ascii="Times New Roman" w:eastAsia="Times New Roman" w:hAnsi="Times New Roman" w:cs="Times New Roman"/>
          <w:sz w:val="20"/>
        </w:rPr>
        <w:t>gible assets</w:t>
      </w:r>
      <w:r>
        <w:rPr>
          <w:rFonts w:ascii="Times New Roman" w:eastAsia="Times New Roman" w:hAnsi="Times New Roman" w:cs="Times New Roman"/>
          <w:sz w:val="20"/>
        </w:rPr>
        <w:t xml:space="preserve"> in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Software Development Costs</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In accordance with Accounting Standards Codification (“ASC”) 350-40,</w:t>
      </w:r>
      <w:r>
        <w:rPr>
          <w:rFonts w:ascii="Times New Roman" w:eastAsia="Times New Roman" w:hAnsi="Times New Roman" w:cs="Times New Roman"/>
          <w:i/>
          <w:sz w:val="20"/>
        </w:rPr>
        <w:t xml:space="preserve"> Internal Use Software,</w:t>
      </w:r>
      <w:r>
        <w:rPr>
          <w:rFonts w:ascii="Times New Roman" w:eastAsia="Times New Roman" w:hAnsi="Times New Roman" w:cs="Times New Roman"/>
          <w:sz w:val="20"/>
        </w:rPr>
        <w:t xml:space="preserve"> the Company capitalizes certain internal use software development costs associated with creating and enhancing internally developed software related to its platforms. Software development activities generally consist of three stages (i) the research and planning stage, (ii) the application and development stage, and (iii) the post-implementation stage. Costs incurred in the research and planning stage and in the post-implementation stage of software development, or other maintenance and development expenses that do not meet the qualification for capitalization, are expensed as incurred. Costs incurred in the application and infrastructure development stage, including significant enhancements and upgrades, are capitalized. These costs include personnel and related employee benefits expenses for employees or consultants who are directly associated with and who devote time to software projects, and external direct costs of materials obtained in developing the software. </w:t>
      </w:r>
      <w:r>
        <w:rPr>
          <w:rFonts w:ascii="Times New Roman" w:eastAsia="Times New Roman" w:hAnsi="Times New Roman" w:cs="Times New Roman"/>
          <w:sz w:val="20"/>
        </w:rPr>
        <w:t>The Company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also </w:t>
      </w:r>
      <w:r>
        <w:rPr>
          <w:rFonts w:ascii="Times New Roman" w:eastAsia="Times New Roman" w:hAnsi="Times New Roman" w:cs="Times New Roman"/>
          <w:sz w:val="20"/>
        </w:rPr>
        <w:t>capitalize</w:t>
      </w:r>
      <w:r>
        <w:rPr>
          <w:rFonts w:ascii="Times New Roman" w:eastAsia="Times New Roman" w:hAnsi="Times New Roman" w:cs="Times New Roman"/>
          <w:sz w:val="20"/>
        </w:rPr>
        <w:t>s</w:t>
      </w:r>
      <w:r>
        <w:rPr>
          <w:rFonts w:ascii="Times New Roman" w:eastAsia="Times New Roman" w:hAnsi="Times New Roman" w:cs="Times New Roman"/>
          <w:sz w:val="20"/>
        </w:rPr>
        <w:t xml:space="preserve"> certain costs associated with cloud computing arrangements ("CCAs").</w:t>
      </w:r>
      <w:r>
        <w:rPr>
          <w:rFonts w:ascii="Times New Roman" w:eastAsia="Times New Roman" w:hAnsi="Times New Roman" w:cs="Times New Roman"/>
          <w:sz w:val="20"/>
        </w:rPr>
        <w:t xml:space="preserve"> </w:t>
      </w:r>
      <w:r>
        <w:rPr>
          <w:rFonts w:ascii="Times New Roman" w:eastAsia="Times New Roman" w:hAnsi="Times New Roman" w:cs="Times New Roman"/>
          <w:sz w:val="20"/>
        </w:rPr>
        <w:t>These software development</w:t>
      </w:r>
      <w:r>
        <w:rPr>
          <w:rFonts w:ascii="Times New Roman" w:eastAsia="Times New Roman" w:hAnsi="Times New Roman" w:cs="Times New Roman"/>
          <w:sz w:val="20"/>
        </w:rPr>
        <w:t>,</w:t>
      </w:r>
      <w:r>
        <w:rPr>
          <w:rFonts w:ascii="Times New Roman" w:eastAsia="Times New Roman" w:hAnsi="Times New Roman" w:cs="Times New Roman"/>
          <w:sz w:val="20"/>
        </w:rPr>
        <w:t xml:space="preserve"> acquired technology</w:t>
      </w:r>
      <w:r>
        <w:rPr>
          <w:rFonts w:ascii="Times New Roman" w:eastAsia="Times New Roman" w:hAnsi="Times New Roman" w:cs="Times New Roman"/>
          <w:sz w:val="20"/>
        </w:rPr>
        <w:t>, and CCA</w:t>
      </w:r>
      <w:r>
        <w:rPr>
          <w:rFonts w:ascii="Times New Roman" w:eastAsia="Times New Roman" w:hAnsi="Times New Roman" w:cs="Times New Roman"/>
          <w:sz w:val="20"/>
        </w:rPr>
        <w:t xml:space="preserve"> costs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are amortized on a straight-line basis over the estimated useful life of </w:t>
      </w:r>
      <w:r>
        <w:rPr>
          <w:rFonts w:ascii="Times New Roman" w:eastAsia="Times New Roman" w:hAnsi="Times New Roman" w:cs="Times New Roman"/>
          <w:sz w:val="20"/>
        </w:rPr>
        <w:t>five years</w:t>
      </w:r>
      <w:r>
        <w:rPr>
          <w:rFonts w:ascii="Times New Roman" w:eastAsia="Times New Roman" w:hAnsi="Times New Roman" w:cs="Times New Roman"/>
          <w:sz w:val="20"/>
        </w:rPr>
        <w:t xml:space="preserve"> upon initial release of the software or additional features. </w:t>
      </w:r>
      <w:r>
        <w:rPr>
          <w:rFonts w:ascii="Times New Roman" w:eastAsia="Times New Roman" w:hAnsi="Times New Roman" w:cs="Times New Roman"/>
          <w:sz w:val="20"/>
        </w:rPr>
        <w:t>The Company</w:t>
      </w:r>
      <w:r>
        <w:rPr>
          <w:rFonts w:ascii="Times New Roman" w:eastAsia="Times New Roman" w:hAnsi="Times New Roman" w:cs="Times New Roman"/>
          <w:sz w:val="20"/>
        </w:rPr>
        <w:t xml:space="preserve"> review</w:t>
      </w:r>
      <w:r>
        <w:rPr>
          <w:rFonts w:ascii="Times New Roman" w:eastAsia="Times New Roman" w:hAnsi="Times New Roman" w:cs="Times New Roman"/>
          <w:sz w:val="20"/>
        </w:rPr>
        <w:t>s</w:t>
      </w:r>
      <w:r>
        <w:rPr>
          <w:rFonts w:ascii="Times New Roman" w:eastAsia="Times New Roman" w:hAnsi="Times New Roman" w:cs="Times New Roman"/>
          <w:sz w:val="20"/>
        </w:rPr>
        <w:t xml:space="preserve"> the </w:t>
      </w:r>
      <w:r>
        <w:rPr>
          <w:rFonts w:ascii="Times New Roman" w:eastAsia="Times New Roman" w:hAnsi="Times New Roman" w:cs="Times New Roman"/>
          <w:sz w:val="20"/>
        </w:rPr>
        <w:t xml:space="preserve">software development costs </w:t>
      </w:r>
      <w:r>
        <w:rPr>
          <w:rFonts w:ascii="Times New Roman" w:eastAsia="Times New Roman" w:hAnsi="Times New Roman" w:cs="Times New Roman"/>
          <w:sz w:val="20"/>
        </w:rPr>
        <w:t xml:space="preserve">for impairment when circumstances indicate that their carrying amounts may not be recoverable. If the carrying value of an asset group is not recoverable, </w:t>
      </w:r>
      <w:r>
        <w:rPr>
          <w:rFonts w:ascii="Times New Roman" w:eastAsia="Times New Roman" w:hAnsi="Times New Roman" w:cs="Times New Roman"/>
          <w:sz w:val="20"/>
        </w:rPr>
        <w:t>the Company</w:t>
      </w:r>
      <w:r>
        <w:rPr>
          <w:rFonts w:ascii="Times New Roman" w:eastAsia="Times New Roman" w:hAnsi="Times New Roman" w:cs="Times New Roman"/>
          <w:sz w:val="20"/>
        </w:rPr>
        <w:t xml:space="preserve"> recogniz</w:t>
      </w:r>
      <w:r>
        <w:rPr>
          <w:rFonts w:ascii="Times New Roman" w:eastAsia="Times New Roman" w:hAnsi="Times New Roman" w:cs="Times New Roman"/>
          <w:sz w:val="20"/>
        </w:rPr>
        <w:t>e</w:t>
      </w:r>
      <w:r>
        <w:rPr>
          <w:rFonts w:ascii="Times New Roman" w:eastAsia="Times New Roman" w:hAnsi="Times New Roman" w:cs="Times New Roman"/>
          <w:sz w:val="20"/>
        </w:rPr>
        <w:t>s</w:t>
      </w:r>
      <w:r>
        <w:rPr>
          <w:rFonts w:ascii="Times New Roman" w:eastAsia="Times New Roman" w:hAnsi="Times New Roman" w:cs="Times New Roman"/>
          <w:sz w:val="20"/>
        </w:rPr>
        <w:t xml:space="preserve"> an impairment loss for the excess of carrying value over the fair value in </w:t>
      </w:r>
      <w:r>
        <w:rPr>
          <w:rFonts w:ascii="Times New Roman" w:eastAsia="Times New Roman" w:hAnsi="Times New Roman" w:cs="Times New Roman"/>
          <w:sz w:val="20"/>
        </w:rPr>
        <w:t>its</w:t>
      </w:r>
      <w:r>
        <w:rPr>
          <w:rFonts w:ascii="Times New Roman" w:eastAsia="Times New Roman" w:hAnsi="Times New Roman" w:cs="Times New Roman"/>
          <w:sz w:val="20"/>
        </w:rPr>
        <w:t xml:space="preserve"> consolidated statements of operations. </w:t>
      </w:r>
      <w:r>
        <w:rPr>
          <w:rFonts w:ascii="Times New Roman" w:eastAsia="Times New Roman" w:hAnsi="Times New Roman" w:cs="Times New Roman"/>
          <w:sz w:val="20"/>
        </w:rPr>
        <w:t>See Note 4 for further details.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Leases</w:t>
      </w:r>
    </w:p>
    <w:p>
      <w:pPr>
        <w:keepNext w:val="0"/>
        <w:keepLines/>
        <w:pageBreakBefore w:val="0"/>
        <w:widowControl w:val="0"/>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On January 1, 2019, the Company adopted Accounting Standards Update (“ASU”) No. 2016-02,</w:t>
      </w:r>
      <w:r>
        <w:rPr>
          <w:rFonts w:ascii="Times New Roman" w:eastAsia="Times New Roman" w:hAnsi="Times New Roman" w:cs="Times New Roman"/>
          <w:i/>
          <w:sz w:val="20"/>
        </w:rPr>
        <w:t xml:space="preserve"> Leases (Topic 842)</w:t>
      </w:r>
      <w:r>
        <w:rPr>
          <w:rFonts w:ascii="Times New Roman" w:eastAsia="Times New Roman" w:hAnsi="Times New Roman" w:cs="Times New Roman"/>
          <w:sz w:val="20"/>
        </w:rPr>
        <w:t xml:space="preserve">, which established a right-of-use model that requires a lessee to record a right-of-use asset and a right-of-use liability on the balance sheet for all leases with terms longer than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Leases are classified as either finance or operating, with classification affecting the pattern of expense recognition in the income statement. The Company does not record leases on the balance sheet that have a lease term of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or less at the commencement date.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Revenue Recognition</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The Company historically generated revenue from five primary sources: (1) revenue from its managed services when a marketer (typically a brand, agency or partner) pays the Company to provide custom content, influencer marketing, amplification or other campaign management services (“Managed Services”); (2) revenue from fees charged to software customers on their marketplace spend within the Company's </w:t>
      </w:r>
      <w:r>
        <w:rPr>
          <w:rFonts w:ascii="Times New Roman" w:eastAsia="Times New Roman" w:hAnsi="Times New Roman" w:cs="Times New Roman"/>
          <w:i/>
          <w:sz w:val="20"/>
        </w:rPr>
        <w:t>IZEAx</w:t>
      </w:r>
      <w:r>
        <w:rPr>
          <w:rFonts w:ascii="Times New Roman" w:eastAsia="Times New Roman" w:hAnsi="Times New Roman" w:cs="Times New Roman"/>
          <w:i/>
          <w:sz w:val="20"/>
        </w:rPr>
        <w:t>, Shake</w:t>
      </w:r>
      <w:r>
        <w:rPr>
          <w:rFonts w:ascii="Times New Roman" w:eastAsia="Times New Roman" w:hAnsi="Times New Roman" w:cs="Times New Roman"/>
          <w:i/>
          <w:sz w:val="20"/>
        </w:rPr>
        <w:t>,</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platforms (“Marketplace Spend Fees”); (3) revenue from fees charged to access the </w:t>
      </w:r>
      <w:r>
        <w:rPr>
          <w:rFonts w:ascii="Times New Roman" w:eastAsia="Times New Roman" w:hAnsi="Times New Roman" w:cs="Times New Roman"/>
          <w:i/>
          <w:sz w:val="20"/>
        </w:rPr>
        <w:t xml:space="preserve">IZEAx, </w:t>
      </w:r>
      <w:r>
        <w:rPr>
          <w:rFonts w:ascii="Times New Roman" w:eastAsia="Times New Roman" w:hAnsi="Times New Roman" w:cs="Times New Roman"/>
          <w:i/>
          <w:sz w:val="20"/>
        </w:rPr>
        <w:t>BrandGraph,</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platforms (“License Fees”); (4) revenue from transactions generated by the self-service use of the Company's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for professional custom content workflow (“Legacy Workflow Fees”); and (5) revenue derived from other fees such as inactivity fees, early cash-out fees, and subscription plan fees charged to users of the Company's platforms (“Other”). After the migration of the last customers from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in December 2019, there is </w:t>
      </w:r>
      <w:r>
        <w:rPr>
          <w:rFonts w:ascii="Times New Roman" w:eastAsia="Times New Roman" w:hAnsi="Times New Roman" w:cs="Times New Roman"/>
          <w:sz w:val="20"/>
        </w:rPr>
        <w:t>no</w:t>
      </w:r>
      <w:r>
        <w:rPr>
          <w:rFonts w:ascii="Times New Roman" w:eastAsia="Times New Roman" w:hAnsi="Times New Roman" w:cs="Times New Roman"/>
          <w:sz w:val="20"/>
        </w:rPr>
        <w:t xml:space="preserve"> longer any revenue generated from Legacy Workflow Fees and all such revenue is reported as Marketplace Spend Fees under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platform.</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recognizes revenue in accordance with Accounting Standards Codification Topic 606, </w:t>
      </w:r>
      <w:r>
        <w:rPr>
          <w:rFonts w:ascii="Times New Roman" w:eastAsia="Times New Roman" w:hAnsi="Times New Roman" w:cs="Times New Roman"/>
          <w:i/>
          <w:sz w:val="20"/>
        </w:rPr>
        <w:t xml:space="preserve">Revenue from Contracts with Customers </w:t>
      </w:r>
      <w:r>
        <w:rPr>
          <w:rFonts w:ascii="Times New Roman" w:eastAsia="Times New Roman" w:hAnsi="Times New Roman" w:cs="Times New Roman"/>
          <w:sz w:val="20"/>
        </w:rPr>
        <w:t>(“ASC 606”). Under ASC 606, revenue is recognized based on a five-step model as follows: (i) identify the contract with the customer; (ii) identify the performance obligations in the contract; (iii) determine the transaction price; (iv) allocate the transaction price to the performance obligations in the contract; and (v) recognize revenue when (or as) performance obligations are satisfied. The core principle of ASC 606 is that revenue is recognized when the transfer of promised goods or services to customers is made in an amount that reflects the consideration to which the entity expects to be entitled in exchange for those goods or services. The Company applies the five-step model to contracts when it is probable that it will collect the consideration it is entitled to in exchange for the goods or services it transfers to the customer. At contract inception, once the contract is determined to be within the scope of ASC 606, the Company assesses the goods or services promised within each contract and determines those that are distinct performance obligations. The Company also determines whether it acts as an agent or a principal for each identified performance obligation. The determination of whether the Company acts as the principal or the agent is highly subjective and requires the Company to evaluate a number of indicators individually and as a whole in order to make its determination</w:t>
      </w:r>
      <w:r>
        <w:rPr>
          <w:rFonts w:ascii="Times New Roman" w:eastAsia="Times New Roman" w:hAnsi="Times New Roman" w:cs="Times New Roman"/>
          <w:sz w:val="22"/>
        </w:rPr>
        <w:t xml:space="preserve">. </w:t>
      </w:r>
      <w:r>
        <w:rPr>
          <w:rFonts w:ascii="Times New Roman" w:eastAsia="Times New Roman" w:hAnsi="Times New Roman" w:cs="Times New Roman"/>
          <w:sz w:val="20"/>
        </w:rPr>
        <w:t>For transactions in which the Company acts as a principal, revenue is reported on a gross basis as the amount paid by the marketer for the purchase of content or sponsorship, promotion and other related services and the Company records the amounts it pays to third-party creators as cost of revenue. For transactions in which the Company acts as an agent, revenue is reported on a net basis as the amount the Company charged to the self-service marketer using the Company’s platforms, less the amounts paid to the third-party creators providing the service.</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maintains separate arrangements with each marketer and content creator either in the form of a master agreement or terms of service, which specify the terms of the relationship and access to its platforms, or by statement of work, which specifies the price and the services to be performed, along with other terms. The transaction price is determined based on the fixed fee stated in the statement of work and does not contain variable consideration. Marketers who contract with the Company to manage their advertising campaigns or custom content requests may prepay for services or request credit terms. Payment terms are typically </w:t>
      </w:r>
      <w:r>
        <w:rPr>
          <w:rFonts w:ascii="Times New Roman" w:eastAsia="Times New Roman" w:hAnsi="Times New Roman" w:cs="Times New Roman"/>
          <w:sz w:val="20"/>
        </w:rPr>
        <w:t>30</w:t>
      </w:r>
      <w:r>
        <w:rPr>
          <w:rFonts w:ascii="Times New Roman" w:eastAsia="Times New Roman" w:hAnsi="Times New Roman" w:cs="Times New Roman"/>
          <w:sz w:val="20"/>
        </w:rPr>
        <w:t xml:space="preserve"> days from the invoice date. The agreement typically provides for either a non-refundable deposit, or a cancellation fee if the agreement is canceled by the customer prior to completion of services. Billings in advance of completed services are recorded as a contract liability until earned. The Company assesses collectibility based on a number of factors, including the creditworthiness of the customer and payment and transaction history. </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120" w:after="0" w:line="28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b/>
          <w:i/>
          <w:sz w:val="20"/>
        </w:rPr>
        <w:t>Managed Services Revenue</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For Managed Services Revenue, the Company enters into an agreement to provide services that may include multiple distinct performance obligations in the form of: (i) an integrated marketing campaign to provide influencer marketing services, which may include the provision of blogs, tweets, photos or videos shared through social network offerings and content promotion, such as click-through advertisements appearing in websites and social media channels; and (ii) custom content items, such as a research or news article, informational material or videos. Marketers typically purchase influencer marketing services for the purpose of providing public awareness or advertising buzz regarding the marketer’s brand and they purchase custom content for internal and external use. The Company may provide one type or a combination of all types of these performance obligations on a statement of work for a lump sum fee. The Company allocates revenue to each performance obligation in the contract at inception based on its relative standalone selling price. These performance obligations are to be provided over a stated period that generally ranges from one day to one year. Revenue is accounted for when the performance obligation has been satisfied depending on the type of service provided. The Company views its obligation to deliver influencer marketing services, including management services, as a single performance obligation that is satisfied over time as the customer receives the benefits from the services. Revenue is recognized using an input method of costs incurred compared to total expected costs to measure the progress towards satisfying the overall performance obligation of the marketing campaign. The delivery of custom content represents a distinct performance obligation that is satisfied over time as the Company has no alternative for the custom content</w:t>
      </w:r>
      <w:r>
        <w:rPr>
          <w:rFonts w:ascii="Times New Roman" w:eastAsia="Times New Roman" w:hAnsi="Times New Roman" w:cs="Times New Roman"/>
          <w:sz w:val="20"/>
        </w:rPr>
        <w:t>,</w:t>
      </w:r>
      <w:r>
        <w:rPr>
          <w:rFonts w:ascii="Times New Roman" w:eastAsia="Times New Roman" w:hAnsi="Times New Roman" w:cs="Times New Roman"/>
          <w:sz w:val="20"/>
        </w:rPr>
        <w:t xml:space="preserve"> and the Company has an enforceable right to payment for performance completed to date under the contracts. The Company considers custom content to be a series of distinct services that are substantially the same and that have the same pattern of transfer to the customer, and revenue is recognized over time using an output method based on when each individual piece of content is delivered to the customer. Based on the Company’s evaluations, revenue from Managed Services is reported on a gross basis because the Company has the primary obligation to fulfill the performance obligations and it creates, reviews</w:t>
      </w:r>
      <w:r>
        <w:rPr>
          <w:rFonts w:ascii="Times New Roman" w:eastAsia="Times New Roman" w:hAnsi="Times New Roman" w:cs="Times New Roman"/>
          <w:sz w:val="20"/>
        </w:rPr>
        <w:t>,</w:t>
      </w:r>
      <w:r>
        <w:rPr>
          <w:rFonts w:ascii="Times New Roman" w:eastAsia="Times New Roman" w:hAnsi="Times New Roman" w:cs="Times New Roman"/>
          <w:sz w:val="20"/>
        </w:rPr>
        <w:t xml:space="preserve"> and controls the services. The Company takes on the risk of payment to any third-party creators</w:t>
      </w:r>
      <w:r>
        <w:rPr>
          <w:rFonts w:ascii="Times New Roman" w:eastAsia="Times New Roman" w:hAnsi="Times New Roman" w:cs="Times New Roman"/>
          <w:sz w:val="20"/>
        </w:rPr>
        <w:t>,</w:t>
      </w:r>
      <w:r>
        <w:rPr>
          <w:rFonts w:ascii="Times New Roman" w:eastAsia="Times New Roman" w:hAnsi="Times New Roman" w:cs="Times New Roman"/>
          <w:sz w:val="20"/>
        </w:rPr>
        <w:t xml:space="preserve"> and it establishes the contract price directly with its customers based on the services requested in the statement of work.</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Marketplace Spend Fees and Legacy Workflow Fees Revenue</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For Marketplace Spend Fees and Legacy Workflow Fees Revenue, the self-service customer instructs creators found through the Company’s platforms to provide and/or distribute custom content for an agreed upon transaction price. The Company’s platforms control the contracting, description of services, acceptance of and payment for the requested content. This service is used primarily by news agencies or marketers to control the outsourcing of their content and advertising needs. The Company charges the self-service customer the transaction price plus a fee based on the contract. Revenue is recognized when the transaction is completed by the creator and accepted by the marketer or verified as posted by the system. Based on the Company’s evaluations, this revenue is reported on a net basis since the Company is acting as an agent solely arranging for the third-par</w:t>
      </w:r>
      <w:r>
        <w:rPr>
          <w:rFonts w:ascii="Times New Roman" w:eastAsia="Times New Roman" w:hAnsi="Times New Roman" w:cs="Times New Roman"/>
          <w:sz w:val="20"/>
        </w:rPr>
        <w:t>ty creator or influencer to provide the services directly to the self-service customer through the platform or by posting the requested content.</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License Fees Revenue</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i/>
          <w:sz w:val="20"/>
        </w:rPr>
      </w:pPr>
      <w:r>
        <w:rPr>
          <w:rFonts w:ascii="Times New Roman" w:eastAsia="Times New Roman" w:hAnsi="Times New Roman" w:cs="Times New Roman"/>
          <w:sz w:val="20"/>
        </w:rPr>
        <w:t xml:space="preserve">License Fees Revenue is generated through the granting of limited, non-exclusive, non-transferable licenses to customers for the use of the </w:t>
      </w:r>
      <w:r>
        <w:rPr>
          <w:rFonts w:ascii="Times New Roman" w:eastAsia="Times New Roman" w:hAnsi="Times New Roman" w:cs="Times New Roman"/>
          <w:i/>
          <w:sz w:val="20"/>
        </w:rPr>
        <w:t>IZEAx</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BrandGraph,</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until February 2020,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technology platforms for an agreed-upon subscription period. Customers license the platforms to manage their own influencer marketing campaigns. Fees for subscription or licensing services are recognized straight-line over the term of the service.</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Other Fees Revenue</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Other Fees Revenue is generated when fees are charged to the Company’s platform users primarily related to monthly plan fees, inactivity fees, and early cash-out fees. Plan fees are recognized within the month they relate to, inactivity fees are recognized at a point in time when the account is deemed inactive, and early cash-out fees are recognized when a cash-out is either below certain minimum thresholds or when accelerated payout timing is requested. </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does not typically engage in contracts that are longer than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Therefore, the Company does not capitalize costs to obtain its customer contracts as these amounts generally would be recognized over a period of less than one year and are not material.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Advertising Costs</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Advertising costs are charged to expense as they are incurred, including payments to content creators to promote the Company. </w:t>
      </w:r>
      <w:r>
        <w:rPr>
          <w:rFonts w:ascii="Times New Roman" w:eastAsia="Times New Roman" w:hAnsi="Times New Roman" w:cs="Times New Roman"/>
          <w:sz w:val="20"/>
        </w:rPr>
        <w:t xml:space="preserve">Advertising costs charged to operations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were approximately </w:t>
      </w:r>
      <w:r>
        <w:rPr>
          <w:rFonts w:ascii="Times New Roman" w:eastAsia="Times New Roman" w:hAnsi="Times New Roman" w:cs="Times New Roman"/>
          <w:sz w:val="20"/>
        </w:rPr>
        <w:t>$749,000</w:t>
      </w:r>
      <w:r>
        <w:rPr>
          <w:rFonts w:ascii="Times New Roman" w:eastAsia="Times New Roman" w:hAnsi="Times New Roman" w:cs="Times New Roman"/>
          <w:sz w:val="20"/>
        </w:rPr>
        <w:t xml:space="preserve"> </w:t>
      </w:r>
      <w:r>
        <w:rPr>
          <w:rFonts w:ascii="Times New Roman" w:eastAsia="Times New Roman" w:hAnsi="Times New Roman" w:cs="Times New Roman"/>
          <w:sz w:val="20"/>
        </w:rPr>
        <w:t>in each year</w:t>
      </w:r>
      <w:r>
        <w:rPr>
          <w:rFonts w:ascii="Times New Roman" w:eastAsia="Times New Roman" w:hAnsi="Times New Roman" w:cs="Times New Roman"/>
          <w:sz w:val="20"/>
        </w:rPr>
        <w:t xml:space="preserve">. Advertising costs are included in sales and marketing expense in the accompanying consolidated statements of operations.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Income Taxes</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has not recorded federal income tax expense due to its history of net operating losses. Deferred income taxes are accounted for using the balance sheet approach, which requires recognition of deferred tax assets and liabilities for the expected future consequences of temporary differences between the financial reporting basis and the tax basis of assets and liabilities. A valuation allowance is provided when it is more likely than not that a deferred tax asset will not be realized. The Company incurs minimal state franchise tax in four states, which is included in general and administrative expense in the consolidated statements of operations.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 identifies and evaluates uncertain tax positions, if any, and recognizes the impact of uncertain tax positions for which there is a less than more-likely-than-not probability of the position being upheld when reviewed by the relevant taxing authority. Such positions are deemed to be unrecognized tax benefits and a corresponding liability is established on the balance sheet. The Company has not recognized a liability for uncertain tax positions. If there were an unrecognized tax benefit, the Company would recognize interest accrued related to unrecognized tax benefits in interest expense and penalties in operating expenses. The Company’s tax years subject to examination by the Internal Revenue Service are 2016 through 2019.</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In March 2020</w:t>
      </w:r>
      <w:r>
        <w:rPr>
          <w:rFonts w:ascii="Times New Roman" w:eastAsia="Times New Roman" w:hAnsi="Times New Roman" w:cs="Times New Roman"/>
          <w:sz w:val="20"/>
        </w:rPr>
        <w:t xml:space="preserve">, </w:t>
      </w:r>
      <w:r>
        <w:rPr>
          <w:rFonts w:ascii="Times New Roman" w:eastAsia="Times New Roman" w:hAnsi="Times New Roman" w:cs="Times New Roman"/>
          <w:sz w:val="20"/>
        </w:rPr>
        <w:t>the CARES Act</w:t>
      </w:r>
      <w:r>
        <w:rPr>
          <w:rFonts w:ascii="Times New Roman" w:eastAsia="Times New Roman" w:hAnsi="Times New Roman" w:cs="Times New Roman"/>
          <w:sz w:val="20"/>
        </w:rPr>
        <w:t xml:space="preserve"> was </w:t>
      </w:r>
      <w:r>
        <w:rPr>
          <w:rFonts w:ascii="Times New Roman" w:eastAsia="Times New Roman" w:hAnsi="Times New Roman" w:cs="Times New Roman"/>
          <w:sz w:val="20"/>
        </w:rPr>
        <w:t>signed into law</w:t>
      </w:r>
      <w:r>
        <w:rPr>
          <w:rFonts w:ascii="Times New Roman" w:eastAsia="Times New Roman" w:hAnsi="Times New Roman" w:cs="Times New Roman"/>
          <w:sz w:val="20"/>
        </w:rPr>
        <w:t xml:space="preserve">. The CARES Act, among other things, includes provisions relating to refundable payroll tax credits, deferment of employer side social security payments, net operating loss carryback periods, alternative minimum tax credit refunds, modifications to the net interest deduction limitations, increased limitations on qualified charitable contributions, and technical corrections to tax depreciation methods for qualified improvement property. It also appropriated funds for the PPP loans that are forgivable in certain situations to promote continued employment, as well as Economic Injury Disaster Loans to provide liquidity to small businesses harmed by COVID-19. </w:t>
      </w:r>
      <w:r>
        <w:rPr>
          <w:rFonts w:ascii="Times New Roman" w:eastAsia="Times New Roman" w:hAnsi="Times New Roman" w:cs="Times New Roman"/>
          <w:sz w:val="20"/>
        </w:rPr>
        <w:t xml:space="preserve">The Company </w:t>
      </w:r>
      <w:r>
        <w:rPr>
          <w:rFonts w:ascii="Times New Roman" w:eastAsia="Times New Roman" w:hAnsi="Times New Roman" w:cs="Times New Roman"/>
          <w:sz w:val="20"/>
        </w:rPr>
        <w:t>is</w:t>
      </w:r>
      <w:r>
        <w:rPr>
          <w:rFonts w:ascii="Times New Roman" w:eastAsia="Times New Roman" w:hAnsi="Times New Roman" w:cs="Times New Roman"/>
          <w:sz w:val="20"/>
        </w:rPr>
        <w:t xml:space="preserve"> currently seeking forgiveness of its PPP loan which</w:t>
      </w:r>
      <w:r>
        <w:rPr>
          <w:rFonts w:ascii="Times New Roman" w:eastAsia="Times New Roman" w:hAnsi="Times New Roman" w:cs="Times New Roman"/>
          <w:sz w:val="20"/>
        </w:rPr>
        <w:t>, if approved, would result in non-taxable income</w:t>
      </w:r>
      <w:r>
        <w:rPr>
          <w:rFonts w:ascii="Times New Roman" w:eastAsia="Times New Roman" w:hAnsi="Times New Roman" w:cs="Times New Roman"/>
          <w:sz w:val="20"/>
        </w:rPr>
        <w:t xml:space="preserve"> on th</w:t>
      </w:r>
      <w:r>
        <w:rPr>
          <w:rFonts w:ascii="Times New Roman" w:eastAsia="Times New Roman" w:hAnsi="Times New Roman" w:cs="Times New Roman"/>
          <w:sz w:val="20"/>
        </w:rPr>
        <w:t>e forgiv</w:t>
      </w:r>
      <w:r>
        <w:rPr>
          <w:rFonts w:ascii="Times New Roman" w:eastAsia="Times New Roman" w:hAnsi="Times New Roman" w:cs="Times New Roman"/>
          <w:sz w:val="20"/>
        </w:rPr>
        <w:t>eness of</w:t>
      </w:r>
      <w:r>
        <w:rPr>
          <w:rFonts w:ascii="Times New Roman" w:eastAsia="Times New Roman" w:hAnsi="Times New Roman" w:cs="Times New Roman"/>
          <w:sz w:val="20"/>
        </w:rPr>
        <w:t xml:space="preserve"> </w:t>
      </w:r>
      <w:r>
        <w:rPr>
          <w:rFonts w:ascii="Times New Roman" w:eastAsia="Times New Roman" w:hAnsi="Times New Roman" w:cs="Times New Roman"/>
          <w:sz w:val="20"/>
        </w:rPr>
        <w:t>debt.</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Fair Value of Financial Instruments</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Company’s financial instruments are recorded at fair value. Fair value is defined as the exchange price that would be received for an asset or paid to transfer a liability (an exit price) in the principal or most advantageous market for the asset or liability in an orderly transaction between market participants on the measurement date. The valuation techniques are based on observable and unobservable inputs. Observable inputs reflect readily obtainable data from independent sources, while unobservable inputs reflect certain market assumptions. There are three levels of inputs that may be used to measure fair value:</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28"/>
        </w:numPr>
        <w:spacing w:before="0" w:after="6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Level 1 </w:t>
      </w:r>
      <w:r>
        <w:rPr>
          <w:rFonts w:ascii="Times New Roman" w:eastAsia="Times New Roman" w:hAnsi="Times New Roman" w:cs="Times New Roman"/>
          <w:i/>
          <w:sz w:val="20"/>
        </w:rPr>
        <w:t>–</w:t>
      </w:r>
      <w:r>
        <w:rPr>
          <w:rFonts w:ascii="Times New Roman" w:eastAsia="Times New Roman" w:hAnsi="Times New Roman" w:cs="Times New Roman"/>
          <w:sz w:val="20"/>
        </w:rPr>
        <w:t xml:space="preserve"> Valuation based on quoted market prices in active markets for identical assets and liabilities.</w:t>
      </w:r>
    </w:p>
    <w:p>
      <w:pPr>
        <w:keepNext w:val="0"/>
        <w:keepLines w:val="0"/>
        <w:pageBreakBefore w:val="0"/>
        <w:widowControl/>
        <w:numPr>
          <w:ilvl w:val="0"/>
          <w:numId w:val="28"/>
        </w:numPr>
        <w:spacing w:before="0" w:after="6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Level 2 </w:t>
      </w:r>
      <w:r>
        <w:rPr>
          <w:rFonts w:ascii="Times New Roman" w:eastAsia="Times New Roman" w:hAnsi="Times New Roman" w:cs="Times New Roman"/>
          <w:i/>
          <w:sz w:val="20"/>
        </w:rPr>
        <w:t>–</w:t>
      </w:r>
      <w:r>
        <w:rPr>
          <w:rFonts w:ascii="Times New Roman" w:eastAsia="Times New Roman" w:hAnsi="Times New Roman" w:cs="Times New Roman"/>
          <w:sz w:val="20"/>
        </w:rPr>
        <w:t xml:space="preserve"> Valuation based on quoted market prices for similar assets and liabilities in active markets.</w:t>
      </w:r>
    </w:p>
    <w:p>
      <w:pPr>
        <w:keepNext w:val="0"/>
        <w:keepLines w:val="0"/>
        <w:pageBreakBefore w:val="0"/>
        <w:widowControl/>
        <w:numPr>
          <w:ilvl w:val="0"/>
          <w:numId w:val="28"/>
        </w:numPr>
        <w:spacing w:before="0" w:after="18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Level 3 </w:t>
      </w:r>
      <w:r>
        <w:rPr>
          <w:rFonts w:ascii="Times New Roman" w:eastAsia="Times New Roman" w:hAnsi="Times New Roman" w:cs="Times New Roman"/>
          <w:i/>
          <w:sz w:val="20"/>
        </w:rPr>
        <w:t>–</w:t>
      </w:r>
      <w:r>
        <w:rPr>
          <w:rFonts w:ascii="Times New Roman" w:eastAsia="Times New Roman" w:hAnsi="Times New Roman" w:cs="Times New Roman"/>
          <w:sz w:val="20"/>
        </w:rPr>
        <w:t xml:space="preserve"> Valuation based on unobservable inputs that are supported by little or no market activity, therefore requiring management’s best estimate of what market participants would use as fair value.</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Fair value estimates discussed herein are based upon certain market assumptions and pertinent information available to management. The Company does not have any Level 1</w:t>
      </w:r>
      <w:r>
        <w:rPr>
          <w:rFonts w:ascii="Times New Roman" w:eastAsia="Times New Roman" w:hAnsi="Times New Roman" w:cs="Times New Roman"/>
          <w:sz w:val="20"/>
        </w:rPr>
        <w:t>, 2 or 3</w:t>
      </w:r>
      <w:r>
        <w:rPr>
          <w:rFonts w:ascii="Times New Roman" w:eastAsia="Times New Roman" w:hAnsi="Times New Roman" w:cs="Times New Roman"/>
          <w:sz w:val="20"/>
        </w:rPr>
        <w:t xml:space="preserve"> financial assets or liabilities. </w:t>
      </w:r>
      <w:r>
        <w:rPr>
          <w:rFonts w:ascii="Times New Roman" w:eastAsia="Times New Roman" w:hAnsi="Times New Roman" w:cs="Times New Roman"/>
          <w:sz w:val="20"/>
        </w:rPr>
        <w:t>The respective carrying values of certain on-balance-sheet financial instruments approximated their fair values due to the short-term nature of these instruments. These financial instruments include cash and cash equivalents, accounts receivable, accounts payable, contract liabilities, and accrued expenses. Unless otherwise disclosed, the fair values of the Company’s long-term debt obligations approximate their carrying value based upon current rates available to the Company.</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Stock-Based Compensation</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Stock-based compensation cost related to stock options granted under the 2011 Equity Incentive Plan</w:t>
      </w:r>
      <w:r>
        <w:rPr>
          <w:rFonts w:ascii="Times New Roman" w:eastAsia="Times New Roman" w:hAnsi="Times New Roman" w:cs="Times New Roman"/>
          <w:sz w:val="20"/>
        </w:rPr>
        <w:t>, as amended,</w:t>
      </w:r>
      <w:r>
        <w:rPr>
          <w:rFonts w:ascii="Times New Roman" w:eastAsia="Times New Roman" w:hAnsi="Times New Roman" w:cs="Times New Roman"/>
          <w:sz w:val="20"/>
        </w:rPr>
        <w:t xml:space="preserve"> and the 2011 B Equity Incentive Plan (together, the “2011 Equity Incentive Plans”) (see Note 8) is measured at the grant date, based on the fair value of the award, and is recognized as expense over the employee’s requisite service period on a straight-line basis. The Company estimates the fair value of each option award on the date of grant using a Black-Scholes option-pricing model that uses the assumptions noted in the table below. </w:t>
      </w:r>
      <w:r>
        <w:rPr>
          <w:rFonts w:ascii="Times New Roman" w:eastAsia="Times New Roman" w:hAnsi="Times New Roman" w:cs="Times New Roman"/>
          <w:sz w:val="20"/>
        </w:rPr>
        <w:t>The Company</w:t>
      </w:r>
      <w:r>
        <w:rPr>
          <w:rFonts w:ascii="Times New Roman" w:eastAsia="Times New Roman" w:hAnsi="Times New Roman" w:cs="Times New Roman"/>
          <w:sz w:val="20"/>
        </w:rPr>
        <w:t xml:space="preserve"> use</w:t>
      </w:r>
      <w:r>
        <w:rPr>
          <w:rFonts w:ascii="Times New Roman" w:eastAsia="Times New Roman" w:hAnsi="Times New Roman" w:cs="Times New Roman"/>
          <w:sz w:val="20"/>
        </w:rPr>
        <w:t>s</w:t>
      </w:r>
      <w:r>
        <w:rPr>
          <w:rFonts w:ascii="Times New Roman" w:eastAsia="Times New Roman" w:hAnsi="Times New Roman" w:cs="Times New Roman"/>
          <w:sz w:val="20"/>
        </w:rPr>
        <w:t xml:space="preserve"> the simplified method to estimate the expected term of employee stock options</w:t>
      </w:r>
      <w:r>
        <w:rPr>
          <w:rFonts w:ascii="Times New Roman" w:eastAsia="Times New Roman" w:hAnsi="Times New Roman" w:cs="Times New Roman"/>
          <w:sz w:val="20"/>
        </w:rPr>
        <w:t>, because it does</w:t>
      </w:r>
      <w:r>
        <w:rPr>
          <w:rFonts w:ascii="Times New Roman" w:eastAsia="Times New Roman" w:hAnsi="Times New Roman" w:cs="Times New Roman"/>
          <w:sz w:val="20"/>
        </w:rPr>
        <w:t xml:space="preserve"> not </w:t>
      </w:r>
      <w:r>
        <w:rPr>
          <w:rFonts w:ascii="Times New Roman" w:eastAsia="Times New Roman" w:hAnsi="Times New Roman" w:cs="Times New Roman"/>
          <w:sz w:val="20"/>
        </w:rPr>
        <w:t>believe</w:t>
      </w:r>
      <w:r>
        <w:rPr>
          <w:rFonts w:ascii="Times New Roman" w:eastAsia="Times New Roman" w:hAnsi="Times New Roman" w:cs="Times New Roman"/>
          <w:sz w:val="20"/>
        </w:rPr>
        <w:t xml:space="preserve"> historical exercise data </w:t>
      </w:r>
      <w:r>
        <w:rPr>
          <w:rFonts w:ascii="Times New Roman" w:eastAsia="Times New Roman" w:hAnsi="Times New Roman" w:cs="Times New Roman"/>
          <w:sz w:val="20"/>
        </w:rPr>
        <w:t>will</w:t>
      </w:r>
      <w:r>
        <w:rPr>
          <w:rFonts w:ascii="Times New Roman" w:eastAsia="Times New Roman" w:hAnsi="Times New Roman" w:cs="Times New Roman"/>
          <w:sz w:val="20"/>
        </w:rPr>
        <w:t xml:space="preserve"> provide a reasonable basis for estimating the</w:t>
      </w:r>
      <w:r>
        <w:rPr>
          <w:rFonts w:ascii="Times New Roman" w:eastAsia="Times New Roman" w:hAnsi="Times New Roman" w:cs="Times New Roman"/>
          <w:sz w:val="20"/>
        </w:rPr>
        <w:t xml:space="preserve"> </w:t>
      </w:r>
      <w:r>
        <w:rPr>
          <w:rFonts w:ascii="Times New Roman" w:eastAsia="Times New Roman" w:hAnsi="Times New Roman" w:cs="Times New Roman"/>
          <w:sz w:val="20"/>
        </w:rPr>
        <w:t>e</w:t>
      </w:r>
      <w:r>
        <w:rPr>
          <w:rFonts w:ascii="Times New Roman" w:eastAsia="Times New Roman" w:hAnsi="Times New Roman" w:cs="Times New Roman"/>
          <w:sz w:val="20"/>
        </w:rPr>
        <w:t>xpected term for the current share options granted. The simplified method assumes that employees will exercise share options evenly between the period when the share options are vested and ending on the date when the options would expire.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Company uses the closing stock price of its common stock on the date of the grant as the associated fair value of its common stock. For issuances after June </w:t>
      </w:r>
      <w:r>
        <w:rPr>
          <w:rFonts w:ascii="Times New Roman" w:eastAsia="Times New Roman" w:hAnsi="Times New Roman" w:cs="Times New Roman"/>
          <w:sz w:val="20"/>
        </w:rPr>
        <w:t xml:space="preserve">30, </w:t>
      </w:r>
      <w:r>
        <w:rPr>
          <w:rFonts w:ascii="Times New Roman" w:eastAsia="Times New Roman" w:hAnsi="Times New Roman" w:cs="Times New Roman"/>
          <w:sz w:val="20"/>
        </w:rPr>
        <w:t xml:space="preserve">2019, the Company estimates the volatility of its common stock at the date of grant based on the volatility of its stock during the period. </w:t>
      </w:r>
      <w:r>
        <w:rPr>
          <w:rFonts w:ascii="Times New Roman" w:eastAsia="Times New Roman" w:hAnsi="Times New Roman" w:cs="Times New Roman"/>
          <w:sz w:val="20"/>
        </w:rPr>
        <w:t xml:space="preserve">For issuances </w:t>
      </w:r>
      <w:r>
        <w:rPr>
          <w:rFonts w:ascii="Times New Roman" w:eastAsia="Times New Roman" w:hAnsi="Times New Roman" w:cs="Times New Roman"/>
          <w:sz w:val="20"/>
        </w:rPr>
        <w:t xml:space="preserve">on or </w:t>
      </w:r>
      <w:r>
        <w:rPr>
          <w:rFonts w:ascii="Times New Roman" w:eastAsia="Times New Roman" w:hAnsi="Times New Roman" w:cs="Times New Roman"/>
          <w:sz w:val="20"/>
        </w:rPr>
        <w:t xml:space="preserve">prior to June 30, 2019, the Company estimated the volatility of its common stock at the date of grant based on the volatility of comparable peer companies that were publicly traded and had a longer trading history than </w:t>
      </w:r>
      <w:r>
        <w:rPr>
          <w:rFonts w:ascii="Times New Roman" w:eastAsia="Times New Roman" w:hAnsi="Times New Roman" w:cs="Times New Roman"/>
          <w:sz w:val="20"/>
        </w:rPr>
        <w:t>the Company</w:t>
      </w:r>
      <w:r>
        <w:rPr>
          <w:rFonts w:ascii="Times New Roman" w:eastAsia="Times New Roman" w:hAnsi="Times New Roman" w:cs="Times New Roman"/>
          <w:sz w:val="20"/>
        </w:rPr>
        <w:t xml:space="preserve">. The Company determines the expected life based on historical experience with similar awards, giving consideration to the contractual terms, vesting schedules and post-vesting forfeitures. The Company uses the risk-free interest rate on the implied yield currently available on U.S. Treasury issues with an equivalent remaining term approximately equal to the expected life of the award. The Company has never paid any cash dividends on its common stock and does not anticipate paying any cash dividends in the foreseeable future.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6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used the following assumptions for stock options granted under the 2011 Equity Incentive Plans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20"/>
        <w:gridCol w:w="75"/>
        <w:gridCol w:w="1395"/>
        <w:gridCol w:w="75"/>
        <w:gridCol w:w="1395"/>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7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Twelve Months Ended</w:t>
            </w:r>
          </w:p>
        </w:tc>
      </w:tr>
      <w:tr>
        <w:tblPrEx>
          <w:tblW w:w="10465" w:type="dxa"/>
          <w:jc w:val="center"/>
          <w:tblInd w:w="0" w:type="dxa"/>
          <w:tblCellMar>
            <w:left w:w="108" w:type="dxa"/>
            <w:right w:w="108" w:type="dxa"/>
          </w:tblCellMar>
        </w:tblPrEx>
        <w:trPr>
          <w:cantSplit/>
          <w:trHeight w:hRule="exact" w:val="495"/>
          <w:jc w:val="center"/>
        </w:trPr>
        <w:tc>
          <w:tcPr>
            <w:tcW w:w="732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i/>
                <w:color w:val="000000"/>
                <w:sz w:val="20"/>
              </w:rPr>
              <w:t>2011 Equity Incentive Plans Assumptions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December 31,</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tcBorders>
              <w:top w:val="single" w:sz="8" w:space="0" w:color="000000"/>
              <w:left w:val="nil"/>
              <w:bottom w:val="single" w:sz="8" w:space="0" w:color="000000"/>
              <w:right w:val="nil"/>
            </w:tcBorders>
            <w:tcMar>
              <w:top w:w="0" w:type="dxa"/>
              <w:left w:w="53" w:type="dxa"/>
              <w:bottom w:w="0" w:type="dxa"/>
              <w:right w:w="53" w:type="dxa"/>
            </w:tcMar>
            <w:vAlign w:val="top"/>
          </w:tcPr>
          <w:p>
            <w:pPr>
              <w:keepNext/>
              <w:pageBreakBefore w:val="0"/>
              <w:spacing w:before="55" w:after="30" w:line="240" w:lineRule="auto"/>
              <w:ind w:left="0" w:right="0"/>
              <w:jc w:val="center"/>
            </w:pPr>
            <w:r>
              <w:rPr>
                <w:rFonts w:ascii="Times New Roman" w:eastAsia="Times New Roman" w:hAnsi="Times New Roman" w:cs="Times New Roman"/>
                <w:color w:val="000000"/>
                <w:sz w:val="20"/>
              </w:rPr>
              <w:t>December 31,</w:t>
            </w:r>
            <w:r>
              <w:br/>
            </w:r>
            <w:r>
              <w:rPr>
                <w:rFonts w:ascii="Times New Roman" w:eastAsia="Times New Roman" w:hAnsi="Times New Roman" w:cs="Times New Roman"/>
                <w:color w:val="000000"/>
                <w:sz w:val="20"/>
              </w:rPr>
              <w:t>2019</w:t>
            </w:r>
          </w:p>
        </w:tc>
      </w:tr>
      <w:tr>
        <w:tblPrEx>
          <w:tblW w:w="10465" w:type="dxa"/>
          <w:jc w:val="center"/>
          <w:tblInd w:w="0" w:type="dxa"/>
          <w:tblCellMar>
            <w:left w:w="108" w:type="dxa"/>
            <w:right w:w="108" w:type="dxa"/>
          </w:tblCellMar>
        </w:tblPrEx>
        <w:trPr>
          <w:cantSplit/>
          <w:trHeight w:hRule="exact" w:val="300"/>
          <w:jc w:val="center"/>
        </w:trPr>
        <w:tc>
          <w:tcPr>
            <w:tcW w:w="732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Expected term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6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6 years</w:t>
            </w:r>
          </w:p>
        </w:tc>
      </w:tr>
      <w:tr>
        <w:tblPrEx>
          <w:tblW w:w="10465"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Weighted average volatility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108.58%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64.38%</w:t>
            </w:r>
          </w:p>
        </w:tc>
      </w:tr>
      <w:tr>
        <w:tblPrEx>
          <w:tblW w:w="10465"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Weighted average risk-free interest rate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0.46%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1.92%</w:t>
            </w:r>
          </w:p>
        </w:tc>
      </w:tr>
      <w:tr>
        <w:tblPrEx>
          <w:tblW w:w="10465"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Expected dividends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w:t>
            </w:r>
          </w:p>
        </w:tc>
      </w:tr>
      <w:tr>
        <w:tblPrEx>
          <w:tblW w:w="10465"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Weighted average expected forfeiture rate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7.72%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9.26%</w:t>
            </w:r>
          </w:p>
        </w:tc>
      </w:tr>
    </w:tbl>
    <w:p>
      <w:pPr>
        <w:keepNext w:val="0"/>
        <w:keepLines w:val="0"/>
        <w:pageBreakBefore w:val="0"/>
        <w:widowControl/>
        <w:numPr>
          <w:ilvl w:val="0"/>
          <w:numId w:val="0"/>
        </w:numPr>
        <w:spacing w:before="10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 estimates forfeitures when recognizing compensation expense and this estimate of forfeitures is adjusted over the requisite service period based on the extent to which actual forfeitures differ, or are expected to differ, from such estimates. Changes in estimated forfeitures are recognized through a cumulative catch-up adjustment, which is recognized in the period of change, and a revised amount of unamortized compensation expense to be recognized in future periods.</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 may issue shares of restricted stock or restricted stock units which vest over future periods. The value of shares is recorded as the fair value of the stock or units upon the issuance date and is expensed on a straight-line basis over the vesting period. See Note 8 for additional information related to these shares.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Recently Issued Accounting Pronouncement</w:t>
      </w:r>
      <w:r>
        <w:rPr>
          <w:rFonts w:ascii="Times New Roman" w:eastAsia="Times New Roman" w:hAnsi="Times New Roman" w:cs="Times New Roman"/>
          <w:b/>
          <w:sz w:val="20"/>
          <w:u w:val="single"/>
        </w:rPr>
        <w:t>s</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Recently Adopted Accounting Pronouncements</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i/>
          <w:sz w:val="20"/>
        </w:rPr>
      </w:pPr>
      <w:r>
        <w:rPr>
          <w:rFonts w:ascii="Times New Roman" w:eastAsia="Times New Roman" w:hAnsi="Times New Roman" w:cs="Times New Roman"/>
          <w:i/>
          <w:sz w:val="20"/>
          <w:u w:val="single"/>
        </w:rPr>
        <w:t>Fair Value Measurements:</w:t>
      </w:r>
      <w:r>
        <w:rPr>
          <w:rFonts w:ascii="Times New Roman" w:eastAsia="Times New Roman" w:hAnsi="Times New Roman" w:cs="Times New Roman"/>
          <w:sz w:val="20"/>
        </w:rPr>
        <w:t xml:space="preserve"> In August 2018, the Financial Accounting Standards Board (“FASB”) issued ASU No. 2018-13, </w:t>
      </w:r>
      <w:r>
        <w:rPr>
          <w:rFonts w:ascii="Times New Roman" w:eastAsia="Times New Roman" w:hAnsi="Times New Roman" w:cs="Times New Roman"/>
          <w:i/>
          <w:sz w:val="20"/>
        </w:rPr>
        <w:t xml:space="preserve">Fair Value Measurement (Topic 820): Disclosure Framework—Changes to the Disclosure Requirements for Fair Value Measurement </w:t>
      </w:r>
      <w:r>
        <w:rPr>
          <w:rFonts w:ascii="Times New Roman" w:eastAsia="Times New Roman" w:hAnsi="Times New Roman" w:cs="Times New Roman"/>
          <w:sz w:val="20"/>
        </w:rPr>
        <w:t>(“ASU 2018-13”)</w:t>
      </w:r>
      <w:r>
        <w:rPr>
          <w:rFonts w:ascii="Times New Roman" w:eastAsia="Times New Roman" w:hAnsi="Times New Roman" w:cs="Times New Roman"/>
          <w:i/>
          <w:sz w:val="20"/>
        </w:rPr>
        <w:t>.</w:t>
      </w:r>
      <w:r>
        <w:rPr>
          <w:rFonts w:ascii="Times New Roman" w:eastAsia="Times New Roman" w:hAnsi="Times New Roman" w:cs="Times New Roman"/>
          <w:sz w:val="20"/>
        </w:rPr>
        <w:t xml:space="preserve"> The new guidance amends the disclosure requirements for recurring and nonrecurring fair value measurements by removing, modifying, and adding certain disclosures on fair value measurements in ASC 820. The amendments on changes to the range and weighted average of significant unobservable in</w:t>
      </w:r>
      <w:r>
        <w:rPr>
          <w:rFonts w:ascii="Times New Roman" w:eastAsia="Times New Roman" w:hAnsi="Times New Roman" w:cs="Times New Roman"/>
          <w:sz w:val="20"/>
        </w:rPr>
        <w:t xml:space="preserve">puts used to develop Level 3 fair value measurements and the narrative description of measurement uncertainty should be applied prospectively for only the most recent interim or annual period presented in the initial fiscal year of adoption. All other amendments should be applied retrospectively to all periods presented upon their effective date. </w:t>
      </w:r>
      <w:r>
        <w:rPr>
          <w:rFonts w:ascii="Times New Roman" w:eastAsia="Times New Roman" w:hAnsi="Times New Roman" w:cs="Times New Roman"/>
          <w:sz w:val="20"/>
        </w:rPr>
        <w:t>The adoption of ASU 2018-13 on January 1, 2020 was not material to the Company’s consolidated financial statements.</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i/>
          <w:sz w:val="20"/>
          <w:u w:val="single"/>
        </w:rPr>
      </w:pPr>
      <w:r>
        <w:rPr>
          <w:rFonts w:ascii="Times New Roman" w:eastAsia="Times New Roman" w:hAnsi="Times New Roman" w:cs="Times New Roman"/>
          <w:i/>
          <w:sz w:val="20"/>
          <w:u w:val="single"/>
        </w:rPr>
        <w:t>Collaborative Arrangements</w:t>
      </w:r>
      <w:r>
        <w:rPr>
          <w:rFonts w:ascii="Times New Roman" w:eastAsia="Times New Roman" w:hAnsi="Times New Roman" w:cs="Times New Roman"/>
          <w:i/>
          <w:sz w:val="20"/>
        </w:rPr>
        <w:t>:</w:t>
      </w:r>
      <w:r>
        <w:rPr>
          <w:rFonts w:ascii="Times New Roman" w:eastAsia="Times New Roman" w:hAnsi="Times New Roman" w:cs="Times New Roman"/>
          <w:sz w:val="20"/>
        </w:rPr>
        <w:t xml:space="preserve"> In November 2018, the FASB issued ASU No. 2018-18, </w:t>
      </w:r>
      <w:r>
        <w:rPr>
          <w:rFonts w:ascii="Times New Roman" w:eastAsia="Times New Roman" w:hAnsi="Times New Roman" w:cs="Times New Roman"/>
          <w:i/>
          <w:sz w:val="20"/>
        </w:rPr>
        <w:t xml:space="preserve">Collaborative Arrangements (Topic 808): Clarifying the interaction between Topic 808 and Topic 606 </w:t>
      </w:r>
      <w:r>
        <w:rPr>
          <w:rFonts w:ascii="Times New Roman" w:eastAsia="Times New Roman" w:hAnsi="Times New Roman" w:cs="Times New Roman"/>
          <w:sz w:val="20"/>
        </w:rPr>
        <w:t>(“ASU 2018-18”). The guidance makes targeted improvements to GAAP for collaborative arrangements including: (i) clarifying that certain transactions between collaborative arrangement participants should be accounted for as revenue under ASC 606 when the collaborative arrangement participant is a customer in the context of a unit of account, (ii) adding unit-of-account guidance in ASC 808 to align with the guidance in ASC 606 (that is, a distinct good or service) when an entity is assessing whether the collaborative arrangement or a part of the arrangement is within the scope of ASC 606, and (iii) requiring that in a transaction with a collaborative arrangement participant that is not directly related to sales to third parties, presenting the transaction together with revenue recognized under ASC 606 is precluded if the collaborative arrangement participant is not a customer. The amendments in this update are effective for public entities for fiscal years beginning after December 15, 2019, and interim periods within those fiscal years. The amendments should be applied retrospectively to the date of initial application of ASC 606. An entity may elect to apply the practical expedient for contract modifications that is permitted for entities using the modified retrospective transition method in ASC 606. The Company adopted ASU 2018-18 on January 1, 2020 and applied the amendments only to contracts that were not completed as of such date. The adoption of ASU 2018-18 was not material to the Company’s consolidated financial statements.</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i/>
          <w:sz w:val="20"/>
          <w:u w:val="single"/>
        </w:rPr>
      </w:pPr>
      <w:r>
        <w:rPr>
          <w:rFonts w:ascii="Times New Roman" w:eastAsia="Times New Roman" w:hAnsi="Times New Roman" w:cs="Times New Roman"/>
          <w:i/>
          <w:sz w:val="20"/>
          <w:u w:val="single"/>
        </w:rPr>
        <w:t>Costs Incurred in a Cloud Computing Arrangement</w:t>
      </w:r>
      <w:r>
        <w:rPr>
          <w:rFonts w:ascii="Times New Roman" w:eastAsia="Times New Roman" w:hAnsi="Times New Roman" w:cs="Times New Roman"/>
          <w:i/>
          <w:sz w:val="20"/>
          <w:u w:val="single"/>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On January 1, 2020, we adopted ASU </w:t>
      </w:r>
      <w:r>
        <w:rPr>
          <w:rFonts w:ascii="Times New Roman" w:eastAsia="Times New Roman" w:hAnsi="Times New Roman" w:cs="Times New Roman"/>
          <w:sz w:val="20"/>
        </w:rPr>
        <w:t xml:space="preserve">No. </w:t>
      </w:r>
      <w:r>
        <w:rPr>
          <w:rFonts w:ascii="Times New Roman" w:eastAsia="Times New Roman" w:hAnsi="Times New Roman" w:cs="Times New Roman"/>
          <w:sz w:val="20"/>
        </w:rPr>
        <w:t xml:space="preserve">2018-15 ("ASU 2018-15"), </w:t>
      </w:r>
      <w:r>
        <w:rPr>
          <w:rFonts w:ascii="Times New Roman" w:eastAsia="Times New Roman" w:hAnsi="Times New Roman" w:cs="Times New Roman"/>
          <w:i/>
          <w:sz w:val="20"/>
        </w:rPr>
        <w:t>Customer's Accounting Implementation Costs Incurred in a Cloud Computing Arrangement That is a Service Contract</w:t>
      </w:r>
      <w:r>
        <w:rPr>
          <w:rFonts w:ascii="Times New Roman" w:eastAsia="Times New Roman" w:hAnsi="Times New Roman" w:cs="Times New Roman"/>
          <w:sz w:val="20"/>
        </w:rPr>
        <w:t xml:space="preserve">, which requires a customer in a cloud computing arrangement that is a service contract to follow the internal-use software guidance in Accounting Standards Codification 350-40 to determine which implementation costs to defer and recognize as an asset. ASU 2018-15 generally aligns the guidance on recognizing implementation costs incurred in a cloud computing arrangement that is a service contract with that for implementation costs incurred to develop or obtain internal-use software, including hosting arrangements that include an internal-use software license. This ASU </w:t>
      </w:r>
      <w:r>
        <w:rPr>
          <w:rFonts w:ascii="Times New Roman" w:eastAsia="Times New Roman" w:hAnsi="Times New Roman" w:cs="Times New Roman"/>
          <w:sz w:val="20"/>
        </w:rPr>
        <w:t xml:space="preserve">was </w:t>
      </w:r>
      <w:r>
        <w:rPr>
          <w:rFonts w:ascii="Times New Roman" w:eastAsia="Times New Roman" w:hAnsi="Times New Roman" w:cs="Times New Roman"/>
          <w:sz w:val="20"/>
        </w:rPr>
        <w:t xml:space="preserve">adopted using the retrospective approach. </w:t>
      </w:r>
      <w:r>
        <w:rPr>
          <w:rFonts w:ascii="Times New Roman" w:eastAsia="Times New Roman" w:hAnsi="Times New Roman" w:cs="Times New Roman"/>
          <w:sz w:val="20"/>
        </w:rPr>
        <w:t xml:space="preserve">The adoption of ASU 2018-15 </w:t>
      </w:r>
      <w:r>
        <w:rPr>
          <w:rFonts w:ascii="Times New Roman" w:eastAsia="Times New Roman" w:hAnsi="Times New Roman" w:cs="Times New Roman"/>
          <w:sz w:val="20"/>
        </w:rPr>
        <w:t>was not material to</w:t>
      </w:r>
      <w:r>
        <w:rPr>
          <w:rFonts w:ascii="Times New Roman" w:eastAsia="Times New Roman" w:hAnsi="Times New Roman" w:cs="Times New Roman"/>
          <w:sz w:val="20"/>
        </w:rPr>
        <w:t xml:space="preserve"> </w:t>
      </w:r>
      <w:r>
        <w:rPr>
          <w:rFonts w:ascii="Times New Roman" w:eastAsia="Times New Roman" w:hAnsi="Times New Roman" w:cs="Times New Roman"/>
          <w:sz w:val="20"/>
        </w:rPr>
        <w:t>the Company’s</w:t>
      </w:r>
      <w:r>
        <w:rPr>
          <w:rFonts w:ascii="Times New Roman" w:eastAsia="Times New Roman" w:hAnsi="Times New Roman" w:cs="Times New Roman"/>
          <w:sz w:val="20"/>
        </w:rPr>
        <w:t xml:space="preserve"> consolidated financial statements.</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Recently Issued Accounting Pronouncements Not Yet Adopted</w:t>
      </w:r>
    </w:p>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i/>
          <w:sz w:val="20"/>
        </w:rPr>
      </w:pPr>
      <w:r>
        <w:rPr>
          <w:rFonts w:ascii="Times New Roman" w:eastAsia="Times New Roman" w:hAnsi="Times New Roman" w:cs="Times New Roman"/>
          <w:i/>
          <w:sz w:val="20"/>
          <w:u w:val="single"/>
        </w:rPr>
        <w:t>Credit Losses</w:t>
      </w:r>
      <w:r>
        <w:rPr>
          <w:rFonts w:ascii="Times New Roman" w:eastAsia="Times New Roman" w:hAnsi="Times New Roman" w:cs="Times New Roman"/>
          <w:i/>
          <w:sz w:val="20"/>
        </w:rPr>
        <w:t xml:space="preserve">: </w:t>
      </w:r>
      <w:r>
        <w:rPr>
          <w:rFonts w:ascii="Times New Roman" w:eastAsia="Times New Roman" w:hAnsi="Times New Roman" w:cs="Times New Roman"/>
          <w:sz w:val="20"/>
        </w:rPr>
        <w:t>In June 2016, the FASB issued ASU No. 2016-13, </w:t>
      </w:r>
      <w:r>
        <w:rPr>
          <w:rFonts w:ascii="Times New Roman" w:eastAsia="Times New Roman" w:hAnsi="Times New Roman" w:cs="Times New Roman"/>
          <w:i/>
          <w:sz w:val="20"/>
        </w:rPr>
        <w:t>Financial Instruments - Credit Losses (Topic 326): Measurement of Credit Losses on Financial Instruments</w:t>
      </w:r>
      <w:r>
        <w:rPr>
          <w:rFonts w:ascii="Times New Roman" w:eastAsia="Times New Roman" w:hAnsi="Times New Roman" w:cs="Times New Roman"/>
          <w:sz w:val="20"/>
        </w:rPr>
        <w:t> (“ASU 2016-13”). ASU 2016-13 replaces the incurred loss impairment methodology under current GAAP with a methodology that reflects expected credit losses and requires a consideration of a broader range of reasonable and supportable information to inform credit loss estimates. ASU 2016-13 requires use of a forward-looking expected credit loss model for accounts receivables, loans, and other financial instruments. In May 2019, the FASB issued ASU 2019-05, which provides transition relief for entities adopting ASU 2016-13. For entities that have adopted ASU 2016-13, the amendments in ASU 2019-05 are effective for fiscal years beginning after December 15, 2019, including interim periods therein. An entity may early adopt the ASU in any interim period after its issuance if the entity has adopted ASU 2016-13. For all other entities, the effective date will be the same as the effective date of ASU 2016-13. ASU 2016-13 is effective for fiscal years beginning after December 15, 2022, including interim periods within those fiscal years. The Company is currently evaluating the expected impact of adopting ASU 2016-13 on its consolidated financial statements and disclosures.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i/>
          <w:sz w:val="20"/>
          <w:u w:val="single"/>
        </w:rPr>
        <w:t>Income Taxes:</w:t>
      </w:r>
      <w:r>
        <w:rPr>
          <w:rFonts w:ascii="Times New Roman" w:eastAsia="Times New Roman" w:hAnsi="Times New Roman" w:cs="Times New Roman"/>
          <w:i/>
          <w:sz w:val="20"/>
        </w:rPr>
        <w:t xml:space="preserve"> </w:t>
      </w:r>
      <w:r>
        <w:rPr>
          <w:rFonts w:ascii="Times New Roman" w:eastAsia="Times New Roman" w:hAnsi="Times New Roman" w:cs="Times New Roman"/>
          <w:sz w:val="20"/>
        </w:rPr>
        <w:t>In December 2019, the FASB issued ASU No. 2019-12, </w:t>
      </w:r>
      <w:r>
        <w:rPr>
          <w:rFonts w:ascii="Times New Roman" w:eastAsia="Times New Roman" w:hAnsi="Times New Roman" w:cs="Times New Roman"/>
          <w:i/>
          <w:sz w:val="20"/>
        </w:rPr>
        <w:t xml:space="preserve">Income Taxes (Topic 740): Simplifying the Accounting for Income Taxes </w:t>
      </w:r>
      <w:r>
        <w:rPr>
          <w:rFonts w:ascii="Times New Roman" w:eastAsia="Times New Roman" w:hAnsi="Times New Roman" w:cs="Times New Roman"/>
          <w:sz w:val="20"/>
        </w:rPr>
        <w:t xml:space="preserve">(“ASU 2019-12”), which is intended to simplify various aspects related to accounting for income taxes. ASU 2019-12 removes certain exceptions to the general principles in Topic 740 and also clarifies and amends existing guidance to improve consistent application. This guidance is effective for fiscal years, and interim periods within those fiscal years, beginning after December 15, 2020, with early adoption permitted. </w:t>
      </w:r>
      <w:r>
        <w:rPr>
          <w:rFonts w:ascii="Times New Roman" w:eastAsia="Times New Roman" w:hAnsi="Times New Roman" w:cs="Times New Roman"/>
          <w:sz w:val="20"/>
        </w:rPr>
        <w:t>The Company believes this guidance will not have a material impact on its financial statements.</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i/>
          <w:sz w:val="20"/>
          <w:u w:val="single"/>
        </w:rPr>
        <w:t>Investments - Equity Securities:</w:t>
      </w:r>
      <w:r>
        <w:rPr>
          <w:rFonts w:ascii="Times New Roman" w:eastAsia="Times New Roman" w:hAnsi="Times New Roman" w:cs="Times New Roman"/>
          <w:sz w:val="20"/>
        </w:rPr>
        <w:t xml:space="preserve"> In January 2020, the FASB issued ASU No. 2020-01, </w:t>
      </w:r>
      <w:r>
        <w:rPr>
          <w:rFonts w:ascii="Times New Roman" w:eastAsia="Times New Roman" w:hAnsi="Times New Roman" w:cs="Times New Roman"/>
          <w:i/>
          <w:sz w:val="20"/>
        </w:rPr>
        <w:t xml:space="preserve">Investments - Equity Securities (Topic 321), Investments - Equity Method and Joint Ventures (Topic 323), and Derivatives and Hedging (Topic 815): Clarifying the Interactions between Topic 321, 323 and Topic 815 </w:t>
      </w:r>
      <w:r>
        <w:rPr>
          <w:rFonts w:ascii="Times New Roman" w:eastAsia="Times New Roman" w:hAnsi="Times New Roman" w:cs="Times New Roman"/>
          <w:sz w:val="20"/>
        </w:rPr>
        <w:t xml:space="preserve">(“ASU 2020-01”) to clarify the scope and interaction between these standards for equity securities, equity method and certain derivatives. ASU 2020-01 is effective for fiscal years, and interim periods within those fiscal years, beginning after December 15, 2020, with early adoption permitted. </w:t>
      </w:r>
      <w:r>
        <w:rPr>
          <w:rFonts w:ascii="Times New Roman" w:eastAsia="Times New Roman" w:hAnsi="Times New Roman" w:cs="Times New Roman"/>
          <w:sz w:val="20"/>
        </w:rPr>
        <w:t>The Company believes this guidance will not have a material impact on its financial statements.</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i/>
          <w:sz w:val="20"/>
          <w:u w:val="single"/>
        </w:rPr>
        <w:t>Reference Rate Reform:</w:t>
      </w:r>
      <w:r>
        <w:rPr>
          <w:rFonts w:ascii="Times New Roman" w:eastAsia="Times New Roman" w:hAnsi="Times New Roman" w:cs="Times New Roman"/>
          <w:sz w:val="20"/>
        </w:rPr>
        <w:t xml:space="preserve"> In March 2020, the FASB issued ASU No. 2020-04, </w:t>
      </w:r>
      <w:r>
        <w:rPr>
          <w:rFonts w:ascii="Times New Roman" w:eastAsia="Times New Roman" w:hAnsi="Times New Roman" w:cs="Times New Roman"/>
          <w:i/>
          <w:sz w:val="20"/>
        </w:rPr>
        <w:t xml:space="preserve">Reference Rate Reform (Topic 848): Facilitation of the Effects of Reference Rate Reform on Financial Reporting </w:t>
      </w:r>
      <w:r>
        <w:rPr>
          <w:rFonts w:ascii="Times New Roman" w:eastAsia="Times New Roman" w:hAnsi="Times New Roman" w:cs="Times New Roman"/>
          <w:sz w:val="20"/>
        </w:rPr>
        <w:t>(“ASU 2020-04”)</w:t>
      </w:r>
      <w:r>
        <w:rPr>
          <w:rFonts w:ascii="Times New Roman" w:eastAsia="Times New Roman" w:hAnsi="Times New Roman" w:cs="Times New Roman"/>
          <w:i/>
          <w:sz w:val="20"/>
        </w:rPr>
        <w:t>.</w:t>
      </w:r>
      <w:r>
        <w:rPr>
          <w:rFonts w:ascii="Times New Roman" w:eastAsia="Times New Roman" w:hAnsi="Times New Roman" w:cs="Times New Roman"/>
          <w:sz w:val="20"/>
        </w:rPr>
        <w:t xml:space="preserve"> ASU 2020-04 provides optional guidance for a limited time to ease the potential burden in accounting for reference rate reform. It also provides optional expedients and exceptions for applying U.S. GAAP to contracts, hedging relationships and other transactions affected by reference rate reform if certain criteria are met. ASU 2020-04 applies only to contracts and hedging relationships that reference LIBOR or another reference rate expected to be discontinued due to reference rate reform. ASU 2020-04 is effective immediately and may be applied prospectively to contract modifications made and hedging relationships entered into or evaluated on or before December 31, 2022. The Company believes this guidance will not have a material impact on its financial statements.</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shd w:val="clear" w:color="auto" w:fill="FFFF00"/>
        </w:rPr>
      </w:pPr>
      <w:r>
        <w:rPr>
          <w:rFonts w:ascii="Times New Roman" w:eastAsia="Times New Roman" w:hAnsi="Times New Roman" w:cs="Times New Roman"/>
          <w:i/>
          <w:sz w:val="20"/>
          <w:u w:val="single"/>
        </w:rPr>
        <w:t>Convertible Instruments:</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In August 2020, the FASB issued ASU </w:t>
      </w:r>
      <w:r>
        <w:rPr>
          <w:rFonts w:ascii="Times New Roman" w:eastAsia="Times New Roman" w:hAnsi="Times New Roman" w:cs="Times New Roman"/>
          <w:sz w:val="20"/>
        </w:rPr>
        <w:t xml:space="preserve">No. </w:t>
      </w:r>
      <w:r>
        <w:rPr>
          <w:rFonts w:ascii="Times New Roman" w:eastAsia="Times New Roman" w:hAnsi="Times New Roman" w:cs="Times New Roman"/>
          <w:sz w:val="20"/>
        </w:rPr>
        <w:t xml:space="preserve">2020-06, </w:t>
      </w:r>
      <w:r>
        <w:rPr>
          <w:rFonts w:ascii="Times New Roman" w:eastAsia="Times New Roman" w:hAnsi="Times New Roman" w:cs="Times New Roman"/>
          <w:i/>
          <w:sz w:val="20"/>
        </w:rPr>
        <w:t>Accounting for Convertible Instruments and Contracts in an Entity’s Own Equity</w:t>
      </w:r>
      <w:r>
        <w:rPr>
          <w:rFonts w:ascii="Times New Roman" w:eastAsia="Times New Roman" w:hAnsi="Times New Roman" w:cs="Times New Roman"/>
          <w:sz w:val="20"/>
        </w:rPr>
        <w:t xml:space="preserve"> (“ASU 2020-06”). ASU 2020-06 simplifies the guidance on the issuer’s accounting for convertible debt instruments by removing the separation models for (1) convertible debt with a cash conversion feature and (2) convertible instruments with a beneficial conversion feature. As a result, entities will not separately present in equity an embedded conversion feature in such debt. Instead, they will account for a convertible debt instrument wholly as debt, unless certain other conditions are met. The elimination of these models will reduce reported interest expense and increase reported net income for entities that have issued a convertible instrument that was within the scope of those models before the adoption of ASU 2020-06. Also, ASU 2020-06 requires the application of the if-converted method for calculating diluted earnings per share and </w:t>
      </w:r>
      <w:r>
        <w:rPr>
          <w:rFonts w:ascii="Times New Roman" w:eastAsia="Times New Roman" w:hAnsi="Times New Roman" w:cs="Times New Roman"/>
          <w:sz w:val="20"/>
        </w:rPr>
        <w:t xml:space="preserve">the </w:t>
      </w:r>
      <w:r>
        <w:rPr>
          <w:rFonts w:ascii="Times New Roman" w:eastAsia="Times New Roman" w:hAnsi="Times New Roman" w:cs="Times New Roman"/>
          <w:sz w:val="20"/>
        </w:rPr>
        <w:t xml:space="preserve">treasury stock method will be no longer available. The provisions of ASU 2020-06 are applicable for </w:t>
      </w:r>
      <w:r>
        <w:rPr>
          <w:rFonts w:ascii="Times New Roman" w:eastAsia="Times New Roman" w:hAnsi="Times New Roman" w:cs="Times New Roman"/>
          <w:sz w:val="20"/>
        </w:rPr>
        <w:t xml:space="preserve">the Company as a </w:t>
      </w:r>
      <w:r>
        <w:rPr>
          <w:rFonts w:ascii="Times New Roman" w:eastAsia="Times New Roman" w:hAnsi="Times New Roman" w:cs="Times New Roman"/>
          <w:sz w:val="20"/>
        </w:rPr>
        <w:t>sm</w:t>
      </w:r>
      <w:r>
        <w:rPr>
          <w:rFonts w:ascii="Times New Roman" w:eastAsia="Times New Roman" w:hAnsi="Times New Roman" w:cs="Times New Roman"/>
          <w:sz w:val="20"/>
        </w:rPr>
        <w:t xml:space="preserve">aller reporting company for </w:t>
      </w:r>
      <w:r>
        <w:rPr>
          <w:rFonts w:ascii="Times New Roman" w:eastAsia="Times New Roman" w:hAnsi="Times New Roman" w:cs="Times New Roman"/>
          <w:sz w:val="20"/>
        </w:rPr>
        <w:t>fiscal years beginning after December 15, 202</w:t>
      </w:r>
      <w:r>
        <w:rPr>
          <w:rFonts w:ascii="Times New Roman" w:eastAsia="Times New Roman" w:hAnsi="Times New Roman" w:cs="Times New Roman"/>
          <w:sz w:val="20"/>
        </w:rPr>
        <w:t>3</w:t>
      </w:r>
      <w:r>
        <w:rPr>
          <w:rFonts w:ascii="Times New Roman" w:eastAsia="Times New Roman" w:hAnsi="Times New Roman" w:cs="Times New Roman"/>
          <w:sz w:val="20"/>
        </w:rPr>
        <w:t>, with early adoption permitted no earlier than fiscal years beginning after December 15, 2020. The Company is currently evaluating the impact of ASU 2020-06 on its consolidated financial statements and related disclosures.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shd w:val="clear" w:color="auto" w:fill="FFFF00"/>
        </w:rPr>
      </w:pPr>
      <w:r>
        <w:rPr>
          <w:rFonts w:ascii="Times New Roman" w:eastAsia="Times New Roman" w:hAnsi="Times New Roman" w:cs="Times New Roman"/>
          <w:i/>
          <w:sz w:val="20"/>
          <w:u w:val="single"/>
        </w:rPr>
        <w:t>Codification Improvements</w:t>
      </w:r>
      <w:r>
        <w:rPr>
          <w:rFonts w:ascii="Times New Roman" w:eastAsia="Times New Roman" w:hAnsi="Times New Roman" w:cs="Times New Roman"/>
          <w:i/>
          <w:sz w:val="20"/>
          <w:u w:val="single"/>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 October 2020, the FASB issued ASU No. 2020-08, </w:t>
      </w:r>
      <w:r>
        <w:rPr>
          <w:rFonts w:ascii="Times New Roman" w:eastAsia="Times New Roman" w:hAnsi="Times New Roman" w:cs="Times New Roman"/>
          <w:i/>
          <w:sz w:val="20"/>
        </w:rPr>
        <w:t>Codification Improvements to Subtopic 310-20, Receivables - Nonrefundable Fees and Other Costs</w:t>
      </w:r>
      <w:r>
        <w:rPr>
          <w:rFonts w:ascii="Times New Roman" w:eastAsia="Times New Roman" w:hAnsi="Times New Roman" w:cs="Times New Roman"/>
          <w:sz w:val="20"/>
        </w:rPr>
        <w:t xml:space="preserve"> ("ASU 2020-08"), and ASU No. 2020-10,</w:t>
      </w:r>
      <w:r>
        <w:rPr>
          <w:rFonts w:ascii="Times New Roman" w:eastAsia="Times New Roman" w:hAnsi="Times New Roman" w:cs="Times New Roman"/>
          <w:i/>
          <w:sz w:val="20"/>
        </w:rPr>
        <w:t xml:space="preserve"> Codification Improvements</w:t>
      </w:r>
      <w:r>
        <w:rPr>
          <w:rFonts w:ascii="Times New Roman" w:eastAsia="Times New Roman" w:hAnsi="Times New Roman" w:cs="Times New Roman"/>
          <w:sz w:val="20"/>
        </w:rPr>
        <w:t xml:space="preserve"> ("ASU 2020-10"). ASU 2020-08 and ASU 2020-10 provide changes to clarify or improve existing guidance. This guidance is effective for fiscal years beginning after December 15, 2020, including interim periods within those fiscal years. Early adoption is not permitted. </w:t>
      </w:r>
      <w:r>
        <w:rPr>
          <w:rFonts w:ascii="Times New Roman" w:eastAsia="Times New Roman" w:hAnsi="Times New Roman" w:cs="Times New Roman"/>
          <w:sz w:val="20"/>
        </w:rPr>
        <w:t>The Company is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currently evaluating the impact that ASU 2020-08 and ASU 2020-10 will have </w:t>
      </w:r>
      <w:r>
        <w:rPr>
          <w:rFonts w:ascii="Times New Roman" w:eastAsia="Times New Roman" w:hAnsi="Times New Roman" w:cs="Times New Roman"/>
          <w:sz w:val="20"/>
        </w:rPr>
        <w:t>on its</w:t>
      </w:r>
      <w:r>
        <w:rPr>
          <w:rFonts w:ascii="Times New Roman" w:eastAsia="Times New Roman" w:hAnsi="Times New Roman" w:cs="Times New Roman"/>
          <w:sz w:val="20"/>
        </w:rPr>
        <w:t xml:space="preserve"> consolidated financial statements and disclosures.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3"/>
        <w:rPr>
          <w:rFonts w:ascii="Times New Roman" w:eastAsia="Times New Roman" w:hAnsi="Times New Roman" w:cs="Times New Roman"/>
          <w:b/>
          <w:sz w:val="20"/>
        </w:rPr>
      </w:pPr>
      <w:bookmarkStart w:id="31" w:name="Section32"/>
      <w:bookmarkEnd w:id="31"/>
      <w:r>
        <w:rPr>
          <w:rFonts w:ascii="Times New Roman" w:eastAsia="Times New Roman" w:hAnsi="Times New Roman" w:cs="Times New Roman"/>
          <w:b/>
          <w:sz w:val="20"/>
        </w:rPr>
        <w:t xml:space="preserve">NOTE 2. </w:t>
      </w:r>
      <w:r>
        <w:rPr>
          <w:rFonts w:ascii="Times New Roman" w:eastAsia="Times New Roman" w:hAnsi="Times New Roman" w:cs="Times New Roman"/>
          <w:b/>
          <w:sz w:val="20"/>
        </w:rPr>
        <w:tab/>
      </w:r>
      <w:r>
        <w:rPr>
          <w:rFonts w:ascii="Times New Roman" w:eastAsia="Times New Roman" w:hAnsi="Times New Roman" w:cs="Times New Roman"/>
          <w:b/>
          <w:sz w:val="20"/>
        </w:rPr>
        <w:t>PROPERTY AND EQUIPMENT</w:t>
      </w:r>
    </w:p>
    <w:p>
      <w:pPr>
        <w:keepNext w:val="0"/>
        <w:keepLines/>
        <w:pageBreakBefore w:val="0"/>
        <w:widowControl w:val="0"/>
        <w:numPr>
          <w:ilvl w:val="0"/>
          <w:numId w:val="0"/>
        </w:numPr>
        <w:spacing w:before="120" w:after="22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Property and equipment consist of the following: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15"/>
        <w:gridCol w:w="160"/>
        <w:gridCol w:w="1375"/>
        <w:gridCol w:w="100"/>
        <w:gridCol w:w="75"/>
        <w:gridCol w:w="160"/>
        <w:gridCol w:w="13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9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 2019</w:t>
            </w: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Furniture and fixtures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221,733 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298,205 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Office equipment</w:t>
            </w: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67,833 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86,884 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Computer equipment</w:t>
            </w: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513,344 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455,008 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Leasehold improvements</w:t>
            </w:r>
          </w:p>
        </w:tc>
        <w:tc>
          <w:tcPr>
            <w:tcW w:w="1535" w:type="dxa"/>
            <w:gridSpan w:val="2"/>
            <w:tcBorders>
              <w:top w:val="nil"/>
              <w:left w:val="nil"/>
              <w:bottom w:val="single" w:sz="8" w:space="0" w:color="000000"/>
              <w:right w:val="nil"/>
            </w:tcBorders>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338,018 </w:t>
            </w:r>
          </w:p>
        </w:tc>
        <w:tc>
          <w:tcPr>
            <w:tcW w:w="100" w:type="dxa"/>
            <w:tcBorders>
              <w:top w:val="nil"/>
              <w:left w:val="nil"/>
              <w:bottom w:val="single" w:sz="8" w:space="0" w:color="000000"/>
              <w:right w:val="nil"/>
            </w:tcBorders>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Total</w:t>
            </w:r>
          </w:p>
        </w:tc>
        <w:tc>
          <w:tcPr>
            <w:tcW w:w="15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802,910 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1,178,115 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Less accumulated depreciation and amortization</w:t>
            </w: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(571,992)</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(868,335)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225"/>
              <w:jc w:val="left"/>
            </w:pPr>
            <w:r>
              <w:rPr>
                <w:rFonts w:ascii="Times New Roman" w:eastAsia="Times New Roman" w:hAnsi="Times New Roman" w:cs="Times New Roman"/>
                <w:color w:val="000000"/>
                <w:sz w:val="20"/>
              </w:rPr>
              <w:t>Property and equipment, net</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230,918 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309,780 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Depreciation and amortization expense on property and equipment recorded in depreciation and amortization expense in the consolidated statements of operations was </w:t>
      </w:r>
      <w:r>
        <w:rPr>
          <w:rFonts w:ascii="Times New Roman" w:eastAsia="Times New Roman" w:hAnsi="Times New Roman" w:cs="Times New Roman"/>
          <w:sz w:val="20"/>
        </w:rPr>
        <w:t>$135,077</w:t>
      </w:r>
      <w:r>
        <w:rPr>
          <w:rFonts w:ascii="Times New Roman" w:eastAsia="Times New Roman" w:hAnsi="Times New Roman" w:cs="Times New Roman"/>
          <w:sz w:val="20"/>
        </w:rPr>
        <w:t xml:space="preserve"> and </w:t>
      </w:r>
      <w:r>
        <w:rPr>
          <w:rFonts w:ascii="Times New Roman" w:eastAsia="Times New Roman" w:hAnsi="Times New Roman" w:cs="Times New Roman"/>
          <w:sz w:val="20"/>
        </w:rPr>
        <w:t>$131,121</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headerReference w:type="default" r:id="rId9"/>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9"/>
        <w:rPr>
          <w:rFonts w:ascii="Times New Roman" w:eastAsia="Times New Roman" w:hAnsi="Times New Roman" w:cs="Times New Roman"/>
          <w:b/>
          <w:sz w:val="20"/>
        </w:rPr>
      </w:pPr>
      <w:bookmarkStart w:id="32" w:name="Section33"/>
      <w:bookmarkEnd w:id="32"/>
      <w:r>
        <w:rPr>
          <w:rFonts w:ascii="Times New Roman" w:eastAsia="Times New Roman" w:hAnsi="Times New Roman" w:cs="Times New Roman"/>
          <w:b/>
          <w:sz w:val="20"/>
        </w:rPr>
        <w:t xml:space="preserve">NOTE 3. </w:t>
      </w:r>
      <w:r>
        <w:rPr>
          <w:rFonts w:ascii="Times New Roman" w:eastAsia="Times New Roman" w:hAnsi="Times New Roman" w:cs="Times New Roman"/>
          <w:b/>
          <w:sz w:val="20"/>
        </w:rPr>
        <w:tab/>
      </w:r>
      <w:r>
        <w:rPr>
          <w:rFonts w:ascii="Times New Roman" w:eastAsia="Times New Roman" w:hAnsi="Times New Roman" w:cs="Times New Roman"/>
          <w:b/>
          <w:sz w:val="20"/>
        </w:rPr>
        <w:t>INTANGIBLE ASSETS</w:t>
      </w:r>
    </w:p>
    <w:p>
      <w:pPr>
        <w:keepNext/>
        <w:keepLines/>
        <w:pageBreakBefore w:val="0"/>
        <w:widowControl w:val="0"/>
        <w:numPr>
          <w:ilvl w:val="0"/>
          <w:numId w:val="0"/>
        </w:numPr>
        <w:spacing w:before="120" w:after="10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identifiable intangible assets, other than Goodwill, consists of the following assets:</w:t>
      </w:r>
      <w:r>
        <w:rPr>
          <w:rFonts w:ascii="Times New Roman" w:eastAsia="Times New Roman" w:hAnsi="Times New Roman" w:cs="Times New Roman"/>
          <w:sz w:val="20"/>
        </w:rPr>
        <w:tab/>
      </w:r>
    </w:p>
    <w:tbl>
      <w:tblPr>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40"/>
        <w:gridCol w:w="160"/>
        <w:gridCol w:w="1135"/>
        <w:gridCol w:w="100"/>
        <w:gridCol w:w="75"/>
        <w:gridCol w:w="160"/>
        <w:gridCol w:w="1135"/>
        <w:gridCol w:w="100"/>
        <w:gridCol w:w="75"/>
        <w:gridCol w:w="160"/>
        <w:gridCol w:w="1135"/>
        <w:gridCol w:w="100"/>
        <w:gridCol w:w="75"/>
        <w:gridCol w:w="160"/>
        <w:gridCol w:w="1135"/>
        <w:gridCol w:w="100"/>
        <w:gridCol w:w="75"/>
        <w:gridCol w:w="1080"/>
      </w:tblGrid>
      <w:tr>
        <w:tblPrEx>
          <w:tblW w:w="10404"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2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 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p>
        </w:tc>
      </w:tr>
      <w:tr>
        <w:tblPrEx>
          <w:tblW w:w="10404" w:type="dxa"/>
          <w:jc w:val="left"/>
          <w:tblInd w:w="0" w:type="dxa"/>
          <w:tblCellMar>
            <w:left w:w="108" w:type="dxa"/>
            <w:right w:w="108" w:type="dxa"/>
          </w:tblCellMar>
        </w:tblPrEx>
        <w:trPr>
          <w:cantSplit/>
          <w:trHeight w:hRule="exact" w:val="465"/>
          <w:jc w:val="left"/>
        </w:trPr>
        <w:tc>
          <w:tcPr>
            <w:tcW w:w="32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Balance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Accumulated Amortization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Balance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18"/>
              </w:rPr>
              <w:t>Accumulated Amortization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Useful Life   (in years)</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Content provider networks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2</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Trade names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1</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Developed technology</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820,000 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820,000 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820,000 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622,167 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5</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Self-service content customers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2,810,000 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2,304,444 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2,810,000 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1,437,778 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3</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Managed content customers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3</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Domains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166,469 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166,469 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166,469 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133,175 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5</w:t>
            </w:r>
          </w:p>
        </w:tc>
      </w:tr>
      <w:tr>
        <w:tblPrEx>
          <w:tblW w:w="10404"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Embedded non-compete provision</w:t>
            </w: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19,833 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2</w:t>
            </w:r>
          </w:p>
        </w:tc>
      </w:tr>
      <w:tr>
        <w:tblPrEx>
          <w:tblW w:w="10404" w:type="dxa"/>
          <w:jc w:val="left"/>
          <w:tblInd w:w="0" w:type="dxa"/>
          <w:tblCellMar>
            <w:left w:w="108" w:type="dxa"/>
            <w:right w:w="108" w:type="dxa"/>
          </w:tblCellMar>
        </w:tblPrEx>
        <w:trPr>
          <w:cantSplit/>
          <w:trHeight w:hRule="exact" w:val="300"/>
          <w:jc w:val="left"/>
        </w:trPr>
        <w:tc>
          <w:tcPr>
            <w:tcW w:w="32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Total</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6,211,469 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5,705,913 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6,211,469 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4,599,953 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bl>
    <w:p>
      <w:pPr>
        <w:keepNext/>
        <w:keepLines/>
        <w:pageBreakBefore w:val="0"/>
        <w:widowControl w:val="0"/>
        <w:numPr>
          <w:ilvl w:val="0"/>
          <w:numId w:val="0"/>
        </w:numPr>
        <w:spacing w:before="120" w:after="0" w:line="28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Total identifiable intangible assets from the Company’s acquisitions and other acquired assets net of accumulated amortization thereon consists of the following:</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15"/>
        <w:gridCol w:w="160"/>
        <w:gridCol w:w="1375"/>
        <w:gridCol w:w="100"/>
        <w:gridCol w:w="75"/>
        <w:gridCol w:w="160"/>
        <w:gridCol w:w="13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9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 2019</w:t>
            </w: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Ebyline Intangible Assets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2,370,000 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2,370,000 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ZenContent Intangible Assets</w:t>
            </w: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722,000 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722,000 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Domains</w:t>
            </w: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166,469 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166,469 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TapInfluence Intangible Assets</w:t>
            </w: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2,953,000 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2,953,000 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Total</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6,211,469 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6,211,469 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Less accumulated amortization</w:t>
            </w: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(5,705,913)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(4,599,953)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225"/>
              <w:jc w:val="left"/>
            </w:pPr>
            <w:r>
              <w:rPr>
                <w:rFonts w:ascii="Times New Roman" w:eastAsia="Times New Roman" w:hAnsi="Times New Roman" w:cs="Times New Roman"/>
                <w:color w:val="000000"/>
                <w:sz w:val="20"/>
              </w:rPr>
              <w:t>Intangible assets, net</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505,556 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1,611,516 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20" w:after="0" w:line="28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is amortizing the identifiable intangible assets over a remaining weighted-average period of </w:t>
      </w:r>
      <w:r>
        <w:rPr>
          <w:rFonts w:ascii="Times New Roman" w:eastAsia="Times New Roman" w:hAnsi="Times New Roman" w:cs="Times New Roman"/>
          <w:sz w:val="20"/>
        </w:rPr>
        <w:t>7 months</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w:t>
      </w:r>
      <w:r>
        <w:rPr>
          <w:rFonts w:ascii="Times New Roman" w:eastAsia="Times New Roman" w:hAnsi="Times New Roman" w:cs="Times New Roman"/>
          <w:sz w:val="20"/>
        </w:rPr>
        <w:t>the Company recorded an impairment charge of</w:t>
      </w:r>
      <w:r>
        <w:rPr>
          <w:rFonts w:ascii="Times New Roman" w:eastAsia="Times New Roman" w:hAnsi="Times New Roman" w:cs="Times New Roman"/>
          <w:sz w:val="20"/>
        </w:rPr>
        <w:t xml:space="preserve"> </w:t>
      </w:r>
      <w:r>
        <w:rPr>
          <w:rFonts w:ascii="Times New Roman" w:eastAsia="Times New Roman" w:hAnsi="Times New Roman" w:cs="Times New Roman"/>
          <w:sz w:val="20"/>
        </w:rPr>
        <w:t>$310,000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reflected as an expense under impairment of </w:t>
      </w:r>
      <w:r>
        <w:rPr>
          <w:rFonts w:ascii="Times New Roman" w:eastAsia="Times New Roman" w:hAnsi="Times New Roman" w:cs="Times New Roman"/>
          <w:sz w:val="20"/>
        </w:rPr>
        <w:t xml:space="preserve">goodwill and </w:t>
      </w:r>
      <w:r>
        <w:rPr>
          <w:rFonts w:ascii="Times New Roman" w:eastAsia="Times New Roman" w:hAnsi="Times New Roman" w:cs="Times New Roman"/>
          <w:sz w:val="20"/>
        </w:rPr>
        <w:t>intangible assets in the consolidated statements of operations</w:t>
      </w:r>
      <w:r>
        <w:rPr>
          <w:rFonts w:ascii="Times New Roman" w:eastAsia="Times New Roman" w:hAnsi="Times New Roman" w:cs="Times New Roman"/>
          <w:sz w:val="20"/>
        </w:rPr>
        <w:t>. T</w:t>
      </w:r>
      <w:r>
        <w:rPr>
          <w:rFonts w:ascii="Times New Roman" w:eastAsia="Times New Roman" w:hAnsi="Times New Roman" w:cs="Times New Roman"/>
          <w:sz w:val="20"/>
        </w:rPr>
        <w:t xml:space="preserve">he </w:t>
      </w:r>
      <w:r>
        <w:rPr>
          <w:rFonts w:ascii="Times New Roman" w:eastAsia="Times New Roman" w:hAnsi="Times New Roman" w:cs="Times New Roman"/>
          <w:sz w:val="20"/>
        </w:rPr>
        <w:t>Compa</w:t>
      </w:r>
      <w:r>
        <w:rPr>
          <w:rFonts w:ascii="Times New Roman" w:eastAsia="Times New Roman" w:hAnsi="Times New Roman" w:cs="Times New Roman"/>
          <w:sz w:val="20"/>
        </w:rPr>
        <w:t xml:space="preserve">ny recorded the </w:t>
      </w:r>
      <w:r>
        <w:rPr>
          <w:rFonts w:ascii="Times New Roman" w:eastAsia="Times New Roman" w:hAnsi="Times New Roman" w:cs="Times New Roman"/>
          <w:sz w:val="20"/>
        </w:rPr>
        <w:t xml:space="preserve">impairment </w:t>
      </w:r>
      <w:r>
        <w:rPr>
          <w:rFonts w:ascii="Times New Roman" w:eastAsia="Times New Roman" w:hAnsi="Times New Roman" w:cs="Times New Roman"/>
          <w:sz w:val="20"/>
        </w:rPr>
        <w:t xml:space="preserve">on the TapInfluence developed technology to the extent that future cash flows after the Company's migration of TapInfluence customers and creators into the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platform were not expected to exceed the carrying value of the asset</w:t>
      </w:r>
      <w:r>
        <w:rPr>
          <w:rFonts w:ascii="Times New Roman" w:eastAsia="Times New Roman" w:hAnsi="Times New Roman" w:cs="Times New Roman"/>
          <w:sz w:val="20"/>
        </w:rPr>
        <w:t xml:space="preserve">. There were </w:t>
      </w:r>
      <w:r>
        <w:rPr>
          <w:rFonts w:ascii="Times New Roman" w:eastAsia="Times New Roman" w:hAnsi="Times New Roman" w:cs="Times New Roman"/>
          <w:sz w:val="20"/>
        </w:rPr>
        <w:t>no</w:t>
      </w:r>
      <w:r>
        <w:rPr>
          <w:rFonts w:ascii="Times New Roman" w:eastAsia="Times New Roman" w:hAnsi="Times New Roman" w:cs="Times New Roman"/>
          <w:sz w:val="20"/>
        </w:rPr>
        <w:t xml:space="preserve"> impairment charges associated with the Company’s </w:t>
      </w:r>
      <w:r>
        <w:rPr>
          <w:rFonts w:ascii="Times New Roman" w:eastAsia="Times New Roman" w:hAnsi="Times New Roman" w:cs="Times New Roman"/>
          <w:sz w:val="20"/>
        </w:rPr>
        <w:t>identifiable</w:t>
      </w:r>
      <w:r>
        <w:rPr>
          <w:rFonts w:ascii="Times New Roman" w:eastAsia="Times New Roman" w:hAnsi="Times New Roman" w:cs="Times New Roman"/>
          <w:sz w:val="20"/>
        </w:rPr>
        <w:t xml:space="preserve"> intangible assets in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Amortization expense recorded in depreciation and amortization in the accompanying consolidated statements of operations was</w:t>
      </w:r>
      <w:r>
        <w:rPr>
          <w:rFonts w:ascii="Times New Roman" w:eastAsia="Times New Roman" w:hAnsi="Times New Roman" w:cs="Times New Roman"/>
          <w:sz w:val="20"/>
        </w:rPr>
        <w:t xml:space="preserve"> </w:t>
      </w:r>
      <w:r>
        <w:rPr>
          <w:rFonts w:ascii="Times New Roman" w:eastAsia="Times New Roman" w:hAnsi="Times New Roman" w:cs="Times New Roman"/>
          <w:sz w:val="20"/>
        </w:rPr>
        <w:t>$1,105,960</w:t>
      </w:r>
      <w:r>
        <w:rPr>
          <w:rFonts w:ascii="Times New Roman" w:eastAsia="Times New Roman" w:hAnsi="Times New Roman" w:cs="Times New Roman"/>
          <w:sz w:val="20"/>
        </w:rPr>
        <w:t xml:space="preserve"> and </w:t>
      </w:r>
      <w:r>
        <w:rPr>
          <w:rFonts w:ascii="Times New Roman" w:eastAsia="Times New Roman" w:hAnsi="Times New Roman" w:cs="Times New Roman"/>
          <w:sz w:val="20"/>
        </w:rPr>
        <w:t>$1,228,433</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p>
    <w:p>
      <w:pPr>
        <w:keepNext/>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portion of </w:t>
      </w:r>
      <w:r>
        <w:rPr>
          <w:rFonts w:ascii="Times New Roman" w:eastAsia="Times New Roman" w:hAnsi="Times New Roman" w:cs="Times New Roman"/>
          <w:sz w:val="20"/>
        </w:rPr>
        <w:t xml:space="preserve">this </w:t>
      </w:r>
      <w:r>
        <w:rPr>
          <w:rFonts w:ascii="Times New Roman" w:eastAsia="Times New Roman" w:hAnsi="Times New Roman" w:cs="Times New Roman"/>
          <w:sz w:val="20"/>
        </w:rPr>
        <w:t xml:space="preserve">amortization expense specifically related to the costs of acquired technology </w:t>
      </w:r>
      <w:r>
        <w:rPr>
          <w:rFonts w:ascii="Times New Roman" w:eastAsia="Times New Roman" w:hAnsi="Times New Roman" w:cs="Times New Roman"/>
          <w:sz w:val="20"/>
        </w:rPr>
        <w:t xml:space="preserve">that is </w:t>
      </w:r>
      <w:r>
        <w:rPr>
          <w:rFonts w:ascii="Times New Roman" w:eastAsia="Times New Roman" w:hAnsi="Times New Roman" w:cs="Times New Roman"/>
          <w:sz w:val="20"/>
        </w:rPr>
        <w:t>ex</w:t>
      </w:r>
      <w:r>
        <w:rPr>
          <w:rFonts w:ascii="Times New Roman" w:eastAsia="Times New Roman" w:hAnsi="Times New Roman" w:cs="Times New Roman"/>
          <w:sz w:val="20"/>
        </w:rPr>
        <w:t>cluded</w:t>
      </w:r>
      <w:r>
        <w:rPr>
          <w:rFonts w:ascii="Times New Roman" w:eastAsia="Times New Roman" w:hAnsi="Times New Roman" w:cs="Times New Roman"/>
          <w:sz w:val="20"/>
        </w:rPr>
        <w:t xml:space="preserve"> from cost of revenue </w:t>
      </w:r>
      <w:r>
        <w:rPr>
          <w:rFonts w:ascii="Times New Roman" w:eastAsia="Times New Roman" w:hAnsi="Times New Roman" w:cs="Times New Roman"/>
          <w:sz w:val="20"/>
        </w:rPr>
        <w:t xml:space="preserve">and </w:t>
      </w:r>
      <w:r>
        <w:rPr>
          <w:rFonts w:ascii="Times New Roman" w:eastAsia="Times New Roman" w:hAnsi="Times New Roman" w:cs="Times New Roman"/>
          <w:sz w:val="20"/>
        </w:rPr>
        <w:t>re</w:t>
      </w:r>
      <w:r>
        <w:rPr>
          <w:rFonts w:ascii="Times New Roman" w:eastAsia="Times New Roman" w:hAnsi="Times New Roman" w:cs="Times New Roman"/>
          <w:sz w:val="20"/>
        </w:rPr>
        <w:t>corded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 </w:t>
      </w:r>
      <w:r>
        <w:rPr>
          <w:rFonts w:ascii="Times New Roman" w:eastAsia="Times New Roman" w:hAnsi="Times New Roman" w:cs="Times New Roman"/>
          <w:sz w:val="20"/>
        </w:rPr>
        <w:t>depre</w:t>
      </w:r>
      <w:r>
        <w:rPr>
          <w:rFonts w:ascii="Times New Roman" w:eastAsia="Times New Roman" w:hAnsi="Times New Roman" w:cs="Times New Roman"/>
          <w:sz w:val="20"/>
        </w:rPr>
        <w:t xml:space="preserve">ciation and amortization </w:t>
      </w:r>
      <w:r>
        <w:rPr>
          <w:rFonts w:ascii="Times New Roman" w:eastAsia="Times New Roman" w:hAnsi="Times New Roman" w:cs="Times New Roman"/>
          <w:sz w:val="20"/>
        </w:rPr>
        <w:t xml:space="preserve">was </w:t>
      </w:r>
      <w:r>
        <w:rPr>
          <w:rFonts w:ascii="Times New Roman" w:eastAsia="Times New Roman" w:hAnsi="Times New Roman" w:cs="Times New Roman"/>
          <w:sz w:val="20"/>
        </w:rPr>
        <w:t>$197,833</w:t>
      </w:r>
      <w:r>
        <w:rPr>
          <w:rFonts w:ascii="Times New Roman" w:eastAsia="Times New Roman" w:hAnsi="Times New Roman" w:cs="Times New Roman"/>
          <w:sz w:val="20"/>
        </w:rPr>
        <w:t xml:space="preserve"> and </w:t>
      </w:r>
      <w:r>
        <w:rPr>
          <w:rFonts w:ascii="Times New Roman" w:eastAsia="Times New Roman" w:hAnsi="Times New Roman" w:cs="Times New Roman"/>
          <w:sz w:val="20"/>
        </w:rPr>
        <w:t>$226,000</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p>
    <w:p>
      <w:pPr>
        <w:keepNext/>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December 31, 2020</w:t>
      </w:r>
      <w:r>
        <w:rPr>
          <w:rFonts w:ascii="Times New Roman" w:eastAsia="Times New Roman" w:hAnsi="Times New Roman" w:cs="Times New Roman"/>
          <w:sz w:val="20"/>
        </w:rPr>
        <w:t>, future estimated amortization expense related to identifiable intangible assets is set forth in the following schedule:</w:t>
      </w:r>
    </w:p>
    <w:tbl>
      <w:tblPr>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385"/>
        <w:gridCol w:w="75"/>
        <w:gridCol w:w="160"/>
        <w:gridCol w:w="1525"/>
        <w:gridCol w:w="100"/>
      </w:tblGrid>
      <w:tr>
        <w:tblPrEx>
          <w:tblW w:w="1045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838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7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18"/>
              </w:rPr>
              <w:t>Intangible Asset</w:t>
            </w:r>
          </w:p>
          <w:p>
            <w:pPr>
              <w:spacing w:after="30" w:line="240" w:lineRule="auto"/>
              <w:ind w:left="0" w:right="0"/>
              <w:jc w:val="center"/>
            </w:pPr>
            <w:r>
              <w:rPr>
                <w:rFonts w:ascii="Times New Roman" w:eastAsia="Times New Roman" w:hAnsi="Times New Roman" w:cs="Times New Roman"/>
                <w:color w:val="000000"/>
                <w:sz w:val="18"/>
              </w:rPr>
              <w:t>Amortization Expense</w:t>
            </w:r>
          </w:p>
        </w:tc>
      </w:tr>
      <w:tr>
        <w:tblPrEx>
          <w:tblW w:w="10450" w:type="dxa"/>
          <w:jc w:val="left"/>
          <w:tblInd w:w="0" w:type="dxa"/>
          <w:tblCellMar>
            <w:left w:w="108" w:type="dxa"/>
            <w:right w:w="108" w:type="dxa"/>
          </w:tblCellMar>
        </w:tblPrEx>
        <w:trPr>
          <w:cantSplit/>
          <w:trHeight w:hRule="exact" w:val="300"/>
          <w:jc w:val="left"/>
        </w:trPr>
        <w:tc>
          <w:tcPr>
            <w:tcW w:w="838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2021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52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505,556 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50" w:type="dxa"/>
          <w:jc w:val="left"/>
          <w:tblInd w:w="0" w:type="dxa"/>
          <w:tblCellMar>
            <w:left w:w="108" w:type="dxa"/>
            <w:right w:w="108" w:type="dxa"/>
          </w:tblCellMar>
        </w:tblPrEx>
        <w:trPr>
          <w:cantSplit/>
          <w:trHeight w:hRule="exact" w:val="300"/>
          <w:jc w:val="left"/>
        </w:trPr>
        <w:tc>
          <w:tcPr>
            <w:tcW w:w="838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225"/>
              <w:jc w:val="left"/>
            </w:pPr>
            <w:r>
              <w:rPr>
                <w:rFonts w:ascii="Times New Roman" w:eastAsia="Times New Roman" w:hAnsi="Times New Roman" w:cs="Times New Roman"/>
                <w:color w:val="000000"/>
                <w:sz w:val="20"/>
              </w:rPr>
              <w:t>Total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5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505,556 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0"/>
        </w:numPr>
        <w:spacing w:before="100" w:after="0" w:line="28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Company’s </w:t>
      </w:r>
      <w:r>
        <w:rPr>
          <w:rFonts w:ascii="Times New Roman" w:eastAsia="Times New Roman" w:hAnsi="Times New Roman" w:cs="Times New Roman"/>
          <w:sz w:val="20"/>
        </w:rPr>
        <w:t>goodwill balance changed as follows: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550"/>
        <w:gridCol w:w="75"/>
        <w:gridCol w:w="160"/>
        <w:gridCol w:w="13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855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Amount</w:t>
            </w:r>
          </w:p>
        </w:tc>
      </w:tr>
      <w:tr>
        <w:tblPrEx>
          <w:tblW w:w="10465" w:type="dxa"/>
          <w:jc w:val="left"/>
          <w:tblInd w:w="0" w:type="dxa"/>
          <w:tblCellMar>
            <w:left w:w="108" w:type="dxa"/>
            <w:right w:w="108" w:type="dxa"/>
          </w:tblCellMar>
        </w:tblPrEx>
        <w:trPr>
          <w:cantSplit/>
          <w:trHeight w:hRule="exact" w:val="300"/>
          <w:jc w:val="left"/>
        </w:trPr>
        <w:tc>
          <w:tcPr>
            <w:tcW w:w="85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Balance on December 31, 2018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3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8,316,722 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85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Acquisitions, impairments or other changes during 2019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5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Balance on December 31, 2019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8,316,722 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5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Acquisitions, impairments or other changes during 2020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(4,300,000)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55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Balance on December 31, 2020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4,016,722 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In March 2020, the Company identified triggering events due to the reduction in its projected revenue due to adverse economic conditions caused by the COVID-19 pandemic, the continuation of a market capitalization below the Company’s carrying value, and uncertainty for recovery given the volatility of the capital markets surrounding COVID-19. The Company performed an interim assessment of goodwill</w:t>
      </w:r>
      <w:r>
        <w:rPr>
          <w:rFonts w:ascii="Times New Roman" w:eastAsia="Times New Roman" w:hAnsi="Times New Roman" w:cs="Times New Roman"/>
          <w:sz w:val="20"/>
        </w:rPr>
        <w:t>,</w:t>
      </w:r>
      <w:r>
        <w:rPr>
          <w:rFonts w:ascii="Times New Roman" w:eastAsia="Times New Roman" w:hAnsi="Times New Roman" w:cs="Times New Roman"/>
          <w:sz w:val="20"/>
        </w:rPr>
        <w:t xml:space="preserve"> using the </w:t>
      </w:r>
      <w:r>
        <w:rPr>
          <w:rFonts w:ascii="Times New Roman" w:eastAsia="Times New Roman" w:hAnsi="Times New Roman" w:cs="Times New Roman"/>
          <w:sz w:val="20"/>
        </w:rPr>
        <w:t>discounted cash flow method under the income approach and the guideline transaction method under the market approach</w:t>
      </w:r>
      <w:r>
        <w:rPr>
          <w:rFonts w:ascii="Times New Roman" w:eastAsia="Times New Roman" w:hAnsi="Times New Roman" w:cs="Times New Roman"/>
          <w:sz w:val="20"/>
        </w:rPr>
        <w:t>,</w:t>
      </w:r>
      <w:r>
        <w:rPr>
          <w:rFonts w:ascii="Times New Roman" w:eastAsia="Times New Roman" w:hAnsi="Times New Roman" w:cs="Times New Roman"/>
          <w:sz w:val="20"/>
        </w:rPr>
        <w:t xml:space="preserve"> and determined that the carrying value of our Company’s reporting unit</w:t>
      </w:r>
      <w:r>
        <w:rPr>
          <w:rFonts w:ascii="Times New Roman" w:eastAsia="Times New Roman" w:hAnsi="Times New Roman" w:cs="Times New Roman"/>
          <w:sz w:val="20"/>
        </w:rPr>
        <w:t xml:space="preserve"> as of March 31, 2020 exceeded the fair value. As a result of the valuation, the Company recorded a </w:t>
      </w:r>
      <w:r>
        <w:rPr>
          <w:rFonts w:ascii="Times New Roman" w:eastAsia="Times New Roman" w:hAnsi="Times New Roman" w:cs="Times New Roman"/>
          <w:sz w:val="20"/>
        </w:rPr>
        <w:t>$4.3 million</w:t>
      </w:r>
      <w:r>
        <w:rPr>
          <w:rFonts w:ascii="Times New Roman" w:eastAsia="Times New Roman" w:hAnsi="Times New Roman" w:cs="Times New Roman"/>
          <w:sz w:val="20"/>
        </w:rPr>
        <w:t xml:space="preserve"> impairment of goodwill</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which is reflected as an expense </w:t>
      </w:r>
      <w:r>
        <w:rPr>
          <w:rFonts w:ascii="Times New Roman" w:eastAsia="Times New Roman" w:hAnsi="Times New Roman" w:cs="Times New Roman"/>
          <w:sz w:val="20"/>
        </w:rPr>
        <w:t>under impa</w:t>
      </w:r>
      <w:r>
        <w:rPr>
          <w:rFonts w:ascii="Times New Roman" w:eastAsia="Times New Roman" w:hAnsi="Times New Roman" w:cs="Times New Roman"/>
          <w:sz w:val="20"/>
        </w:rPr>
        <w:t>ir</w:t>
      </w:r>
      <w:r>
        <w:rPr>
          <w:rFonts w:ascii="Times New Roman" w:eastAsia="Times New Roman" w:hAnsi="Times New Roman" w:cs="Times New Roman"/>
          <w:sz w:val="20"/>
        </w:rPr>
        <w:t xml:space="preserve">ment of </w:t>
      </w:r>
      <w:r>
        <w:rPr>
          <w:rFonts w:ascii="Times New Roman" w:eastAsia="Times New Roman" w:hAnsi="Times New Roman" w:cs="Times New Roman"/>
          <w:sz w:val="20"/>
        </w:rPr>
        <w:t>goo</w:t>
      </w:r>
      <w:r>
        <w:rPr>
          <w:rFonts w:ascii="Times New Roman" w:eastAsia="Times New Roman" w:hAnsi="Times New Roman" w:cs="Times New Roman"/>
          <w:sz w:val="20"/>
        </w:rPr>
        <w:t xml:space="preserve">dwill and </w:t>
      </w:r>
      <w:r>
        <w:rPr>
          <w:rFonts w:ascii="Times New Roman" w:eastAsia="Times New Roman" w:hAnsi="Times New Roman" w:cs="Times New Roman"/>
          <w:sz w:val="20"/>
        </w:rPr>
        <w:t xml:space="preserve">intangible assets </w:t>
      </w:r>
      <w:r>
        <w:rPr>
          <w:rFonts w:ascii="Times New Roman" w:eastAsia="Times New Roman" w:hAnsi="Times New Roman" w:cs="Times New Roman"/>
          <w:sz w:val="20"/>
        </w:rPr>
        <w:t xml:space="preserve">in the consolidated statements of operations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sectPr>
          <w:headerReference w:type="default" r:id="rId10"/>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3"/>
        <w:rPr>
          <w:rFonts w:ascii="Times New Roman" w:eastAsia="Times New Roman" w:hAnsi="Times New Roman" w:cs="Times New Roman"/>
          <w:b/>
          <w:sz w:val="20"/>
        </w:rPr>
      </w:pPr>
      <w:bookmarkStart w:id="33" w:name="Section34"/>
      <w:bookmarkEnd w:id="33"/>
      <w:r>
        <w:rPr>
          <w:rFonts w:ascii="Times New Roman" w:eastAsia="Times New Roman" w:hAnsi="Times New Roman" w:cs="Times New Roman"/>
          <w:b/>
          <w:sz w:val="20"/>
        </w:rPr>
        <w:t xml:space="preserve">NOTE 4. </w:t>
      </w:r>
      <w:r>
        <w:rPr>
          <w:rFonts w:ascii="Times New Roman" w:eastAsia="Times New Roman" w:hAnsi="Times New Roman" w:cs="Times New Roman"/>
          <w:b/>
          <w:sz w:val="20"/>
        </w:rPr>
        <w:tab/>
      </w:r>
      <w:r>
        <w:rPr>
          <w:rFonts w:ascii="Times New Roman" w:eastAsia="Times New Roman" w:hAnsi="Times New Roman" w:cs="Times New Roman"/>
          <w:b/>
          <w:sz w:val="20"/>
        </w:rPr>
        <w:t>SOFTWARE DEVELOPMENT COSTS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Software development costs consists of the following: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15"/>
        <w:gridCol w:w="160"/>
        <w:gridCol w:w="1375"/>
        <w:gridCol w:w="100"/>
        <w:gridCol w:w="75"/>
        <w:gridCol w:w="160"/>
        <w:gridCol w:w="13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9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 2019</w:t>
            </w: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Software development costs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3,036,810 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2,673,017 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Less accumulated amortization</w:t>
            </w: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(1,564,126)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(1,153,037)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225"/>
              <w:jc w:val="left"/>
            </w:pPr>
            <w:r>
              <w:rPr>
                <w:rFonts w:ascii="Times New Roman" w:eastAsia="Times New Roman" w:hAnsi="Times New Roman" w:cs="Times New Roman"/>
                <w:color w:val="000000"/>
                <w:sz w:val="20"/>
              </w:rPr>
              <w:t>Software development costs, net</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1,472,684 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1,519,980 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2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Arial" w:eastAsia="Arial" w:hAnsi="Arial" w:cs="Arial"/>
          <w:sz w:val="24"/>
        </w:rPr>
      </w:pPr>
      <w:r>
        <w:rPr>
          <w:rFonts w:ascii="Times New Roman" w:eastAsia="Times New Roman" w:hAnsi="Times New Roman" w:cs="Times New Roman"/>
          <w:sz w:val="20"/>
        </w:rPr>
        <w:t xml:space="preserve">The Company developed its web-based </w:t>
      </w:r>
      <w:r>
        <w:rPr>
          <w:rFonts w:ascii="Times New Roman" w:eastAsia="Times New Roman" w:hAnsi="Times New Roman" w:cs="Times New Roman"/>
          <w:sz w:val="20"/>
        </w:rPr>
        <w:t>influencer marketing</w:t>
      </w:r>
      <w:r>
        <w:rPr>
          <w:rFonts w:ascii="Times New Roman" w:eastAsia="Times New Roman" w:hAnsi="Times New Roman" w:cs="Times New Roman"/>
          <w:sz w:val="20"/>
        </w:rPr>
        <w:t xml:space="preserve"> platform, </w:t>
      </w:r>
      <w:r>
        <w:rPr>
          <w:rFonts w:ascii="Times New Roman" w:eastAsia="Times New Roman" w:hAnsi="Times New Roman" w:cs="Times New Roman"/>
          <w:i/>
          <w:sz w:val="20"/>
        </w:rPr>
        <w:t>IZEAx</w:t>
      </w:r>
      <w:r>
        <w:rPr>
          <w:rFonts w:ascii="Times New Roman" w:eastAsia="Times New Roman" w:hAnsi="Times New Roman" w:cs="Times New Roman"/>
          <w:i/>
          <w:sz w:val="20"/>
        </w:rPr>
        <w:t>,</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to enable </w:t>
      </w:r>
      <w:r>
        <w:rPr>
          <w:rFonts w:ascii="Times New Roman" w:eastAsia="Times New Roman" w:hAnsi="Times New Roman" w:cs="Times New Roman"/>
          <w:sz w:val="20"/>
        </w:rPr>
        <w:t>inf</w:t>
      </w:r>
      <w:r>
        <w:rPr>
          <w:rFonts w:ascii="Times New Roman" w:eastAsia="Times New Roman" w:hAnsi="Times New Roman" w:cs="Times New Roman"/>
          <w:sz w:val="20"/>
        </w:rPr>
        <w:t>luencer marketing and content creation</w:t>
      </w:r>
      <w:r>
        <w:rPr>
          <w:rFonts w:ascii="Times New Roman" w:eastAsia="Times New Roman" w:hAnsi="Times New Roman" w:cs="Times New Roman"/>
          <w:sz w:val="20"/>
        </w:rPr>
        <w:t xml:space="preserve"> campaigns on a greater scale. The Company continues to add new features and additional functionality 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developed </w:t>
      </w:r>
      <w:r>
        <w:rPr>
          <w:rFonts w:ascii="Times New Roman" w:eastAsia="Times New Roman" w:hAnsi="Times New Roman" w:cs="Times New Roman"/>
          <w:sz w:val="20"/>
        </w:rPr>
        <w:t>additional platforms</w:t>
      </w:r>
      <w:r>
        <w:rPr>
          <w:rFonts w:ascii="Times New Roman" w:eastAsia="Times New Roman" w:hAnsi="Times New Roman" w:cs="Times New Roman"/>
          <w:sz w:val="20"/>
        </w:rPr>
        <w:t xml:space="preserve"> in 2020</w:t>
      </w:r>
      <w:r>
        <w:rPr>
          <w:rFonts w:ascii="Times New Roman" w:eastAsia="Times New Roman" w:hAnsi="Times New Roman" w:cs="Times New Roman"/>
          <w:sz w:val="20"/>
        </w:rPr>
        <w:t xml:space="preserve">, </w:t>
      </w:r>
      <w:r>
        <w:rPr>
          <w:rFonts w:ascii="Times New Roman" w:eastAsia="Times New Roman" w:hAnsi="Times New Roman" w:cs="Times New Roman"/>
          <w:i/>
          <w:sz w:val="20"/>
        </w:rPr>
        <w:t>BrandGraph</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Shake</w:t>
      </w:r>
      <w:r>
        <w:rPr>
          <w:rFonts w:ascii="Times New Roman" w:eastAsia="Times New Roman" w:hAnsi="Times New Roman" w:cs="Times New Roman"/>
          <w:i/>
          <w:sz w:val="20"/>
        </w:rPr>
        <w:t>,</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to facilitate the contracting, workflow, and delivery or posting of content as well as provide for invoicing, collaborating, and direct payments for the Company’s customers and creators. The Company capitalized software development costs of </w:t>
      </w:r>
      <w:r>
        <w:rPr>
          <w:rFonts w:ascii="Times New Roman" w:eastAsia="Times New Roman" w:hAnsi="Times New Roman" w:cs="Times New Roman"/>
          <w:sz w:val="20"/>
        </w:rPr>
        <w:t>$363,793</w:t>
      </w:r>
      <w:r>
        <w:rPr>
          <w:rFonts w:ascii="Times New Roman" w:eastAsia="Times New Roman" w:hAnsi="Times New Roman" w:cs="Times New Roman"/>
          <w:sz w:val="20"/>
        </w:rPr>
        <w:t xml:space="preserve"> and </w:t>
      </w:r>
      <w:r>
        <w:rPr>
          <w:rFonts w:ascii="Times New Roman" w:eastAsia="Times New Roman" w:hAnsi="Times New Roman" w:cs="Times New Roman"/>
          <w:sz w:val="20"/>
        </w:rPr>
        <w:t>$590,549</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As a result, the Company has capitalized a total of </w:t>
      </w:r>
      <w:r>
        <w:rPr>
          <w:rFonts w:ascii="Times New Roman" w:eastAsia="Times New Roman" w:hAnsi="Times New Roman" w:cs="Times New Roman"/>
          <w:sz w:val="20"/>
        </w:rPr>
        <w:t>$3,036,810</w:t>
      </w:r>
      <w:r>
        <w:rPr>
          <w:rFonts w:ascii="Times New Roman" w:eastAsia="Times New Roman" w:hAnsi="Times New Roman" w:cs="Times New Roman"/>
          <w:sz w:val="20"/>
        </w:rPr>
        <w:t xml:space="preserve"> in direct materials, consulting, payroll and benefit costs to its internal use software development costs in the consolidated balance sheet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amortizes its software development costs, commencing upon initial release of the software or additional features, on a straight-line basis over the estimated useful life of </w:t>
      </w:r>
      <w:r>
        <w:rPr>
          <w:rFonts w:ascii="Times New Roman" w:eastAsia="Times New Roman" w:hAnsi="Times New Roman" w:cs="Times New Roman"/>
          <w:sz w:val="20"/>
        </w:rPr>
        <w:t>five years</w:t>
      </w:r>
      <w:r>
        <w:rPr>
          <w:rFonts w:ascii="Times New Roman" w:eastAsia="Times New Roman" w:hAnsi="Times New Roman" w:cs="Times New Roman"/>
          <w:sz w:val="20"/>
        </w:rPr>
        <w:t xml:space="preserve">, which is consistent with the amount of time its legacy platforms were in service. Amortization expense on software development costs that is </w:t>
      </w:r>
      <w:r>
        <w:rPr>
          <w:rFonts w:ascii="Times New Roman" w:eastAsia="Times New Roman" w:hAnsi="Times New Roman" w:cs="Times New Roman"/>
          <w:sz w:val="20"/>
        </w:rPr>
        <w:t>ex</w:t>
      </w:r>
      <w:r>
        <w:rPr>
          <w:rFonts w:ascii="Times New Roman" w:eastAsia="Times New Roman" w:hAnsi="Times New Roman" w:cs="Times New Roman"/>
          <w:sz w:val="20"/>
        </w:rPr>
        <w:t>cluded</w:t>
      </w:r>
      <w:r>
        <w:rPr>
          <w:rFonts w:ascii="Times New Roman" w:eastAsia="Times New Roman" w:hAnsi="Times New Roman" w:cs="Times New Roman"/>
          <w:sz w:val="20"/>
        </w:rPr>
        <w:t xml:space="preserve"> from cost of revenue and recorded in depreciation and amortization expense in the accompanying consolidated statements of operations was </w:t>
      </w:r>
      <w:r>
        <w:rPr>
          <w:rFonts w:ascii="Times New Roman" w:eastAsia="Times New Roman" w:hAnsi="Times New Roman" w:cs="Times New Roman"/>
          <w:sz w:val="20"/>
        </w:rPr>
        <w:t>$411,089</w:t>
      </w:r>
      <w:r>
        <w:rPr>
          <w:rFonts w:ascii="Times New Roman" w:eastAsia="Times New Roman" w:hAnsi="Times New Roman" w:cs="Times New Roman"/>
          <w:sz w:val="20"/>
        </w:rPr>
        <w:t xml:space="preserve"> and </w:t>
      </w:r>
      <w:r>
        <w:rPr>
          <w:rFonts w:ascii="Times New Roman" w:eastAsia="Times New Roman" w:hAnsi="Times New Roman" w:cs="Times New Roman"/>
          <w:sz w:val="20"/>
        </w:rPr>
        <w:t>$391,075</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w:t>
      </w:r>
      <w:r>
        <w:rPr>
          <w:rFonts w:ascii="Times New Roman" w:eastAsia="Times New Roman" w:hAnsi="Times New Roman" w:cs="Times New Roman"/>
          <w:sz w:val="20"/>
        </w:rPr>
        <w:t xml:space="preserve">After the transfer of customers to the new workflow features implemented in the </w:t>
      </w:r>
      <w:r>
        <w:rPr>
          <w:rFonts w:ascii="Times New Roman" w:eastAsia="Times New Roman" w:hAnsi="Times New Roman" w:cs="Times New Roman"/>
          <w:i/>
          <w:sz w:val="20"/>
        </w:rPr>
        <w:t>IZEAx 3.0</w:t>
      </w:r>
      <w:r>
        <w:rPr>
          <w:rFonts w:ascii="Times New Roman" w:eastAsia="Times New Roman" w:hAnsi="Times New Roman" w:cs="Times New Roman"/>
          <w:sz w:val="20"/>
        </w:rPr>
        <w:t xml:space="preserve"> release</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the Company discontinued use of previously developed technology totaling </w:t>
      </w:r>
      <w:r>
        <w:rPr>
          <w:rFonts w:ascii="Times New Roman" w:eastAsia="Times New Roman" w:hAnsi="Times New Roman" w:cs="Times New Roman"/>
          <w:sz w:val="20"/>
        </w:rPr>
        <w:t>$234,047</w:t>
      </w:r>
      <w:r>
        <w:rPr>
          <w:rFonts w:ascii="Times New Roman" w:eastAsia="Times New Roman" w:hAnsi="Times New Roman" w:cs="Times New Roman"/>
          <w:sz w:val="20"/>
        </w:rPr>
        <w:t xml:space="preserve"> and recorded an impairment charge of </w:t>
      </w:r>
      <w:r>
        <w:rPr>
          <w:rFonts w:ascii="Times New Roman" w:eastAsia="Times New Roman" w:hAnsi="Times New Roman" w:cs="Times New Roman"/>
          <w:sz w:val="20"/>
        </w:rPr>
        <w:t>$108,099</w:t>
      </w:r>
      <w:r>
        <w:rPr>
          <w:rFonts w:ascii="Times New Roman" w:eastAsia="Times New Roman" w:hAnsi="Times New Roman" w:cs="Times New Roman"/>
          <w:sz w:val="20"/>
        </w:rPr>
        <w:t xml:space="preserve"> </w:t>
      </w:r>
      <w:r>
        <w:rPr>
          <w:rFonts w:ascii="Times New Roman" w:eastAsia="Times New Roman" w:hAnsi="Times New Roman" w:cs="Times New Roman"/>
          <w:sz w:val="20"/>
        </w:rPr>
        <w:t>under impairment of</w:t>
      </w:r>
      <w:r>
        <w:rPr>
          <w:rFonts w:ascii="Times New Roman" w:eastAsia="Times New Roman" w:hAnsi="Times New Roman" w:cs="Times New Roman"/>
          <w:sz w:val="20"/>
        </w:rPr>
        <w:t xml:space="preserve"> goodwill and</w:t>
      </w:r>
      <w:r>
        <w:rPr>
          <w:rFonts w:ascii="Times New Roman" w:eastAsia="Times New Roman" w:hAnsi="Times New Roman" w:cs="Times New Roman"/>
          <w:sz w:val="20"/>
        </w:rPr>
        <w:t xml:space="preserve"> intangible assets</w:t>
      </w:r>
      <w:r>
        <w:rPr>
          <w:rFonts w:ascii="Times New Roman" w:eastAsia="Times New Roman" w:hAnsi="Times New Roman" w:cs="Times New Roman"/>
          <w:sz w:val="20"/>
        </w:rPr>
        <w:t xml:space="preserve"> in the accompanying consolidated statements of operations during the</w:t>
      </w:r>
      <w:r>
        <w:rPr>
          <w:rFonts w:ascii="Times New Roman" w:eastAsia="Times New Roman" w:hAnsi="Times New Roman" w:cs="Times New Roman"/>
          <w:sz w:val="20"/>
        </w:rPr>
        <w:t xml:space="preserv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2019</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December 31, 2020</w:t>
      </w:r>
      <w:r>
        <w:rPr>
          <w:rFonts w:ascii="Times New Roman" w:eastAsia="Times New Roman" w:hAnsi="Times New Roman" w:cs="Times New Roman"/>
          <w:sz w:val="20"/>
        </w:rPr>
        <w:t>, future estimated amortization expense related to software development costs is set forth in the following schedule:</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460"/>
        <w:gridCol w:w="160"/>
        <w:gridCol w:w="154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84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80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Software Development Amortization Expense</w:t>
            </w: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2021</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5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455,841 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2022</w:t>
            </w:r>
          </w:p>
        </w:tc>
        <w:tc>
          <w:tcPr>
            <w:tcW w:w="17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400,474 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2023</w:t>
            </w:r>
          </w:p>
        </w:tc>
        <w:tc>
          <w:tcPr>
            <w:tcW w:w="17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359,685 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2024</w:t>
            </w:r>
          </w:p>
        </w:tc>
        <w:tc>
          <w:tcPr>
            <w:tcW w:w="17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177,764 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2025</w:t>
            </w:r>
          </w:p>
        </w:tc>
        <w:tc>
          <w:tcPr>
            <w:tcW w:w="17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78,920 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225"/>
              <w:jc w:val="left"/>
            </w:pPr>
            <w:r>
              <w:rPr>
                <w:rFonts w:ascii="Times New Roman" w:eastAsia="Times New Roman" w:hAnsi="Times New Roman" w:cs="Times New Roman"/>
                <w:color w:val="000000"/>
                <w:sz w:val="20"/>
              </w:rPr>
              <w:t>Total</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5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1,472,684 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100" w:after="0" w:line="28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3"/>
        <w:rPr>
          <w:rFonts w:ascii="Times New Roman" w:eastAsia="Times New Roman" w:hAnsi="Times New Roman" w:cs="Times New Roman"/>
          <w:b/>
          <w:sz w:val="20"/>
        </w:rPr>
      </w:pPr>
      <w:bookmarkStart w:id="34" w:name="Section35"/>
      <w:bookmarkEnd w:id="34"/>
      <w:r>
        <w:rPr>
          <w:rFonts w:ascii="Times New Roman" w:eastAsia="Times New Roman" w:hAnsi="Times New Roman" w:cs="Times New Roman"/>
          <w:b/>
          <w:sz w:val="20"/>
        </w:rPr>
        <w:t xml:space="preserve">NOTE 5. </w:t>
      </w:r>
      <w:r>
        <w:rPr>
          <w:rFonts w:ascii="Times New Roman" w:eastAsia="Times New Roman" w:hAnsi="Times New Roman" w:cs="Times New Roman"/>
          <w:b/>
          <w:sz w:val="20"/>
        </w:rPr>
        <w:tab/>
      </w:r>
      <w:r>
        <w:rPr>
          <w:rFonts w:ascii="Times New Roman" w:eastAsia="Times New Roman" w:hAnsi="Times New Roman" w:cs="Times New Roman"/>
          <w:b/>
          <w:sz w:val="20"/>
        </w:rPr>
        <w:t>ACCRUED EXPENSES</w:t>
      </w:r>
    </w:p>
    <w:p>
      <w:pPr>
        <w:keepNext w:val="0"/>
        <w:keepLines w:val="0"/>
        <w:pageBreakBefore w:val="0"/>
        <w:widowControl/>
        <w:numPr>
          <w:ilvl w:val="0"/>
          <w:numId w:val="0"/>
        </w:numPr>
        <w:spacing w:before="120" w:after="10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Accrued expenses consist of the following: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15"/>
        <w:gridCol w:w="160"/>
        <w:gridCol w:w="1375"/>
        <w:gridCol w:w="100"/>
        <w:gridCol w:w="75"/>
        <w:gridCol w:w="160"/>
        <w:gridCol w:w="137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9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 2019</w:t>
            </w: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Accrued payroll liabilities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1,504,113 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1,202,765 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Accrued taxes</w:t>
            </w: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286,455 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117,698 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Current portion of finance obligation</w:t>
            </w: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30,487 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26,837 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Accrued other</w:t>
            </w: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103,918 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30,256 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225"/>
              <w:jc w:val="left"/>
            </w:pPr>
            <w:r>
              <w:rPr>
                <w:rFonts w:ascii="Times New Roman" w:eastAsia="Times New Roman" w:hAnsi="Times New Roman" w:cs="Times New Roman"/>
                <w:color w:val="000000"/>
                <w:sz w:val="20"/>
              </w:rPr>
              <w:t>Total accrued expenses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1,924,973 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1,377,556 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s>
        <w:spacing w:before="0" w:after="0" w:line="288" w:lineRule="auto"/>
        <w:ind w:left="0" w:right="0" w:firstLine="0"/>
        <w:jc w:val="left"/>
        <w:outlineLvl w:val="3"/>
        <w:rPr>
          <w:rFonts w:ascii="Times New Roman" w:eastAsia="Times New Roman" w:hAnsi="Times New Roman" w:cs="Times New Roman"/>
          <w:b/>
          <w:sz w:val="20"/>
        </w:rPr>
      </w:pPr>
      <w:bookmarkStart w:id="35" w:name="Section36"/>
      <w:bookmarkEnd w:id="35"/>
      <w:r>
        <w:rPr>
          <w:rFonts w:ascii="Times New Roman" w:eastAsia="Times New Roman" w:hAnsi="Times New Roman" w:cs="Times New Roman"/>
          <w:b/>
          <w:sz w:val="20"/>
        </w:rPr>
        <w:t>NOTE 6.</w:t>
      </w:r>
      <w:r>
        <w:rPr>
          <w:rFonts w:ascii="Times New Roman" w:eastAsia="Times New Roman" w:hAnsi="Times New Roman" w:cs="Times New Roman"/>
          <w:b/>
          <w:sz w:val="20"/>
        </w:rPr>
        <w:tab/>
      </w:r>
      <w:r>
        <w:rPr>
          <w:rFonts w:ascii="Times New Roman" w:eastAsia="Times New Roman" w:hAnsi="Times New Roman" w:cs="Times New Roman"/>
          <w:b/>
          <w:sz w:val="20"/>
        </w:rPr>
        <w:t>NOTES PAYABLE</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12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color w:val="1A1A1A"/>
          <w:sz w:val="20"/>
          <w:u w:val="single"/>
          <w:shd w:val="clear" w:color="auto" w:fill="FFFFFF"/>
        </w:rPr>
        <w:t>Canada Emergency Business Account (“</w:t>
      </w:r>
      <w:r>
        <w:rPr>
          <w:rFonts w:ascii="Times New Roman" w:eastAsia="Times New Roman" w:hAnsi="Times New Roman" w:cs="Times New Roman"/>
          <w:b/>
          <w:sz w:val="20"/>
          <w:u w:val="single"/>
        </w:rPr>
        <w:t>CEBA”) Loan</w:t>
      </w:r>
    </w:p>
    <w:p>
      <w:pPr>
        <w:keepNext/>
        <w:keepLines/>
        <w:pageBreakBefore w:val="0"/>
        <w:widowControl w:val="0"/>
        <w:numPr>
          <w:ilvl w:val="0"/>
          <w:numId w:val="0"/>
        </w:numPr>
        <w:spacing w:before="120" w:after="0" w:line="288" w:lineRule="auto"/>
        <w:ind w:left="0" w:right="0" w:firstLine="720"/>
        <w:jc w:val="both"/>
        <w:outlineLvl w:val="9"/>
        <w:rPr>
          <w:rFonts w:ascii="Times New Roman" w:eastAsia="Times New Roman" w:hAnsi="Times New Roman" w:cs="Times New Roman"/>
          <w:b/>
          <w:sz w:val="20"/>
        </w:rPr>
      </w:pPr>
      <w:r>
        <w:rPr>
          <w:rFonts w:ascii="Times New Roman" w:eastAsia="Times New Roman" w:hAnsi="Times New Roman" w:cs="Times New Roman"/>
          <w:color w:val="1A1A1A"/>
          <w:sz w:val="20"/>
          <w:shd w:val="clear" w:color="auto" w:fill="FFFFFF"/>
        </w:rPr>
        <w:t xml:space="preserve">On April 22, 2020, the Company received a Canadian dollar loan in the principal amount of </w:t>
      </w:r>
      <w:r>
        <w:rPr>
          <w:rFonts w:ascii="Times New Roman" w:eastAsia="Times New Roman" w:hAnsi="Times New Roman" w:cs="Times New Roman"/>
          <w:color w:val="1A1A1A"/>
          <w:sz w:val="20"/>
          <w:shd w:val="clear" w:color="auto" w:fill="FFFFFF"/>
        </w:rPr>
        <w:t>40,000</w:t>
      </w:r>
      <w:r>
        <w:rPr>
          <w:rFonts w:ascii="Times New Roman" w:eastAsia="Times New Roman" w:hAnsi="Times New Roman" w:cs="Times New Roman"/>
          <w:color w:val="1A1A1A"/>
          <w:sz w:val="20"/>
          <w:shd w:val="clear" w:color="auto" w:fill="FFFFFF"/>
        </w:rPr>
        <w:t xml:space="preserve"> CAD (</w:t>
      </w:r>
      <w:r>
        <w:rPr>
          <w:rFonts w:ascii="Times New Roman" w:eastAsia="Times New Roman" w:hAnsi="Times New Roman" w:cs="Times New Roman"/>
          <w:color w:val="1A1A1A"/>
          <w:sz w:val="20"/>
          <w:shd w:val="clear" w:color="auto" w:fill="FFFFFF"/>
        </w:rPr>
        <w:t>$31,422</w:t>
      </w:r>
      <w:r>
        <w:rPr>
          <w:rFonts w:ascii="Times New Roman" w:eastAsia="Times New Roman" w:hAnsi="Times New Roman" w:cs="Times New Roman"/>
          <w:color w:val="1A1A1A"/>
          <w:sz w:val="20"/>
          <w:shd w:val="clear" w:color="auto" w:fill="FFFFFF"/>
        </w:rPr>
        <w:t xml:space="preserve"> USD as of </w:t>
      </w:r>
      <w:r>
        <w:rPr>
          <w:rFonts w:ascii="Times New Roman" w:eastAsia="Times New Roman" w:hAnsi="Times New Roman" w:cs="Times New Roman"/>
          <w:sz w:val="20"/>
        </w:rPr>
        <w:t>December 31, 2020</w:t>
      </w:r>
      <w:r>
        <w:rPr>
          <w:rFonts w:ascii="Times New Roman" w:eastAsia="Times New Roman" w:hAnsi="Times New Roman" w:cs="Times New Roman"/>
          <w:color w:val="1A1A1A"/>
          <w:sz w:val="20"/>
          <w:shd w:val="clear" w:color="auto" w:fill="FFFFFF"/>
        </w:rPr>
        <w:t xml:space="preserve">), from TD Canada Trust Bank pursuant to a CEBA term loan agreement (the “CEBA Loan”). The CEBA Loan has an initial term from inception through December 31, 2022 (the “Initial Term”) and an extended term from January 1, 2023 through December 31, 2025 (the “Extended Term”). </w:t>
      </w:r>
      <w:r>
        <w:rPr>
          <w:rFonts w:ascii="Times New Roman" w:eastAsia="Times New Roman" w:hAnsi="Times New Roman" w:cs="Times New Roman"/>
          <w:color w:val="1A1A1A"/>
          <w:sz w:val="20"/>
          <w:shd w:val="clear" w:color="auto" w:fill="FFFFFF"/>
        </w:rPr>
        <w:t>No</w:t>
      </w:r>
      <w:r>
        <w:rPr>
          <w:rFonts w:ascii="Times New Roman" w:eastAsia="Times New Roman" w:hAnsi="Times New Roman" w:cs="Times New Roman"/>
          <w:color w:val="1A1A1A"/>
          <w:sz w:val="20"/>
          <w:shd w:val="clear" w:color="auto" w:fill="FFFFFF"/>
        </w:rPr>
        <w:t xml:space="preserve"> interest is accrued and </w:t>
      </w:r>
      <w:r>
        <w:rPr>
          <w:rFonts w:ascii="Times New Roman" w:eastAsia="Times New Roman" w:hAnsi="Times New Roman" w:cs="Times New Roman"/>
          <w:color w:val="1A1A1A"/>
          <w:sz w:val="20"/>
          <w:shd w:val="clear" w:color="auto" w:fill="FFFFFF"/>
        </w:rPr>
        <w:t>no</w:t>
      </w:r>
      <w:r>
        <w:rPr>
          <w:rFonts w:ascii="Times New Roman" w:eastAsia="Times New Roman" w:hAnsi="Times New Roman" w:cs="Times New Roman"/>
          <w:color w:val="1A1A1A"/>
          <w:sz w:val="20"/>
          <w:shd w:val="clear" w:color="auto" w:fill="FFFFFF"/>
        </w:rPr>
        <w:t xml:space="preserve"> payments are due on the loan during the Initial Term.</w:t>
      </w:r>
      <w:r>
        <w:rPr>
          <w:rFonts w:ascii="Times New Roman" w:eastAsia="Times New Roman" w:hAnsi="Times New Roman" w:cs="Times New Roman"/>
          <w:color w:val="1A1A1A"/>
          <w:sz w:val="20"/>
          <w:shd w:val="clear" w:color="auto" w:fill="FFFFFF"/>
        </w:rPr>
        <w:t xml:space="preserve"> If the Company repays </w:t>
      </w:r>
      <w:r>
        <w:rPr>
          <w:rFonts w:ascii="Times New Roman" w:eastAsia="Times New Roman" w:hAnsi="Times New Roman" w:cs="Times New Roman"/>
          <w:color w:val="1A1A1A"/>
          <w:sz w:val="20"/>
          <w:shd w:val="clear" w:color="auto" w:fill="FFFFFF"/>
        </w:rPr>
        <w:t>75%</w:t>
      </w:r>
      <w:r>
        <w:rPr>
          <w:rFonts w:ascii="Times New Roman" w:eastAsia="Times New Roman" w:hAnsi="Times New Roman" w:cs="Times New Roman"/>
          <w:color w:val="1A1A1A"/>
          <w:sz w:val="20"/>
          <w:shd w:val="clear" w:color="auto" w:fill="FFFFFF"/>
        </w:rPr>
        <w:t xml:space="preserve"> of the CEBA Loan (</w:t>
      </w:r>
      <w:r>
        <w:rPr>
          <w:rFonts w:ascii="Times New Roman" w:eastAsia="Times New Roman" w:hAnsi="Times New Roman" w:cs="Times New Roman"/>
          <w:color w:val="1A1A1A"/>
          <w:sz w:val="20"/>
          <w:shd w:val="clear" w:color="auto" w:fill="FFFFFF"/>
        </w:rPr>
        <w:t>30,000</w:t>
      </w:r>
      <w:r>
        <w:rPr>
          <w:rFonts w:ascii="Times New Roman" w:eastAsia="Times New Roman" w:hAnsi="Times New Roman" w:cs="Times New Roman"/>
          <w:color w:val="1A1A1A"/>
          <w:sz w:val="20"/>
          <w:shd w:val="clear" w:color="auto" w:fill="FFFFFF"/>
        </w:rPr>
        <w:t xml:space="preserve"> CAD) on or prior to December 31, 2022, the remaining </w:t>
      </w:r>
      <w:r>
        <w:rPr>
          <w:rFonts w:ascii="Times New Roman" w:eastAsia="Times New Roman" w:hAnsi="Times New Roman" w:cs="Times New Roman"/>
          <w:color w:val="1A1A1A"/>
          <w:sz w:val="20"/>
          <w:shd w:val="clear" w:color="auto" w:fill="FFFFFF"/>
        </w:rPr>
        <w:t>10,000</w:t>
      </w:r>
      <w:r>
        <w:rPr>
          <w:rFonts w:ascii="Times New Roman" w:eastAsia="Times New Roman" w:hAnsi="Times New Roman" w:cs="Times New Roman"/>
          <w:color w:val="1A1A1A"/>
          <w:sz w:val="20"/>
          <w:shd w:val="clear" w:color="auto" w:fill="FFFFFF"/>
        </w:rPr>
        <w:t xml:space="preserve"> CAD balance will be forgiven. Otherwise, interest will begin to accrue on the unpaid balance on January 1, 2023 with monthly interest payments commencing on January 31, 2023 until the CEBA Loan is paid in full on or before the end of the Extended Term.</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Paycheck Protection Program (“PPP”) Loan</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O</w:t>
      </w:r>
      <w:r>
        <w:rPr>
          <w:rFonts w:ascii="Times New Roman" w:eastAsia="Times New Roman" w:hAnsi="Times New Roman" w:cs="Times New Roman"/>
          <w:sz w:val="20"/>
        </w:rPr>
        <w:t xml:space="preserve">n April 23, 2020, </w:t>
      </w:r>
      <w:r>
        <w:rPr>
          <w:rFonts w:ascii="Times New Roman" w:eastAsia="Times New Roman" w:hAnsi="Times New Roman" w:cs="Times New Roman"/>
          <w:sz w:val="20"/>
        </w:rPr>
        <w:t xml:space="preserve">the Company </w:t>
      </w:r>
      <w:r>
        <w:rPr>
          <w:rFonts w:ascii="Times New Roman" w:eastAsia="Times New Roman" w:hAnsi="Times New Roman" w:cs="Times New Roman"/>
          <w:sz w:val="20"/>
        </w:rPr>
        <w:t xml:space="preserve">received a loan from Western Alliance Bank (the “Lender”) in the principal amount of </w:t>
      </w:r>
      <w:r>
        <w:rPr>
          <w:rFonts w:ascii="Times New Roman" w:eastAsia="Times New Roman" w:hAnsi="Times New Roman" w:cs="Times New Roman"/>
          <w:sz w:val="20"/>
        </w:rPr>
        <w:t>$1,905,100</w:t>
      </w:r>
      <w:r>
        <w:rPr>
          <w:rFonts w:ascii="Times New Roman" w:eastAsia="Times New Roman" w:hAnsi="Times New Roman" w:cs="Times New Roman"/>
          <w:sz w:val="20"/>
        </w:rPr>
        <w:t>, under the PPP</w:t>
      </w:r>
      <w:r>
        <w:rPr>
          <w:rFonts w:ascii="Times New Roman" w:eastAsia="Times New Roman" w:hAnsi="Times New Roman" w:cs="Times New Roman"/>
          <w:sz w:val="20"/>
        </w:rPr>
        <w:t xml:space="preserve"> </w:t>
      </w:r>
      <w:r>
        <w:rPr>
          <w:rFonts w:ascii="Times New Roman" w:eastAsia="Times New Roman" w:hAnsi="Times New Roman" w:cs="Times New Roman"/>
          <w:sz w:val="20"/>
        </w:rPr>
        <w:t>evidenced by a promissory note issued by the Company (the “Note”) to the Lender.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term of the Note is </w:t>
      </w:r>
      <w:r>
        <w:rPr>
          <w:rFonts w:ascii="Times New Roman" w:eastAsia="Times New Roman" w:hAnsi="Times New Roman" w:cs="Times New Roman"/>
          <w:sz w:val="20"/>
        </w:rPr>
        <w:t>two</w:t>
      </w:r>
      <w:r>
        <w:rPr>
          <w:rFonts w:ascii="Times New Roman" w:eastAsia="Times New Roman" w:hAnsi="Times New Roman" w:cs="Times New Roman"/>
          <w:sz w:val="20"/>
        </w:rPr>
        <w:t xml:space="preserve"> years, though it may be payable sooner in connection with an event of default under the Note. The PPP Loan carries a fixed interest rate of </w:t>
      </w:r>
      <w:r>
        <w:rPr>
          <w:rFonts w:ascii="Times New Roman" w:eastAsia="Times New Roman" w:hAnsi="Times New Roman" w:cs="Times New Roman"/>
          <w:sz w:val="20"/>
        </w:rPr>
        <w:t>one</w:t>
      </w:r>
      <w:r>
        <w:rPr>
          <w:rFonts w:ascii="Times New Roman" w:eastAsia="Times New Roman" w:hAnsi="Times New Roman" w:cs="Times New Roman"/>
          <w:sz w:val="20"/>
        </w:rPr>
        <w:t xml:space="preserve"> percent per year. Certain amounts received under the PPP Loan may be forgiven if the loan proceeds are used for eligible purposes, including payroll costs and certain rent or utility costs, and the Company meets other requirements regarding, among other things, the maintenance of employment and compensation levels.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color w:val="1A1A1A"/>
          <w:sz w:val="20"/>
        </w:rPr>
      </w:pPr>
      <w:r>
        <w:rPr>
          <w:rFonts w:ascii="Times New Roman" w:eastAsia="Times New Roman" w:hAnsi="Times New Roman" w:cs="Times New Roman"/>
          <w:color w:val="1A1A1A"/>
          <w:sz w:val="20"/>
        </w:rPr>
        <w:t>Loan payments on the PPP Loan may be deferred to either (1) the date that the SBA remits the Company’s loan forgiveness amount to the Lender or (2) ten months after the end of the Company’s loan forgiveness covered period, if the Company does not apply for loan forgiveness</w:t>
      </w:r>
      <w:r>
        <w:rPr>
          <w:rFonts w:ascii="Times New Roman" w:eastAsia="Times New Roman" w:hAnsi="Times New Roman" w:cs="Times New Roman"/>
          <w:sz w:val="20"/>
        </w:rPr>
        <w:t xml:space="preserve">. The Company </w:t>
      </w:r>
      <w:r>
        <w:rPr>
          <w:rFonts w:ascii="Times New Roman" w:eastAsia="Times New Roman" w:hAnsi="Times New Roman" w:cs="Times New Roman"/>
          <w:sz w:val="20"/>
        </w:rPr>
        <w:t>su</w:t>
      </w:r>
      <w:r>
        <w:rPr>
          <w:rFonts w:ascii="Times New Roman" w:eastAsia="Times New Roman" w:hAnsi="Times New Roman" w:cs="Times New Roman"/>
          <w:sz w:val="20"/>
        </w:rPr>
        <w:t>bmitted</w:t>
      </w:r>
      <w:r>
        <w:rPr>
          <w:rFonts w:ascii="Times New Roman" w:eastAsia="Times New Roman" w:hAnsi="Times New Roman" w:cs="Times New Roman"/>
          <w:sz w:val="20"/>
        </w:rPr>
        <w:t xml:space="preserve"> its forgiveness application </w:t>
      </w:r>
      <w:r>
        <w:rPr>
          <w:rFonts w:ascii="Times New Roman" w:eastAsia="Times New Roman" w:hAnsi="Times New Roman" w:cs="Times New Roman"/>
          <w:sz w:val="20"/>
        </w:rPr>
        <w:t xml:space="preserve">for the entire amount of the loan </w:t>
      </w:r>
      <w:r>
        <w:rPr>
          <w:rFonts w:ascii="Times New Roman" w:eastAsia="Times New Roman" w:hAnsi="Times New Roman" w:cs="Times New Roman"/>
          <w:sz w:val="20"/>
        </w:rPr>
        <w:t xml:space="preserve">in </w:t>
      </w:r>
      <w:r>
        <w:rPr>
          <w:rFonts w:ascii="Times New Roman" w:eastAsia="Times New Roman" w:hAnsi="Times New Roman" w:cs="Times New Roman"/>
          <w:sz w:val="20"/>
        </w:rPr>
        <w:t>December</w:t>
      </w:r>
      <w:r>
        <w:rPr>
          <w:rFonts w:ascii="Times New Roman" w:eastAsia="Times New Roman" w:hAnsi="Times New Roman" w:cs="Times New Roman"/>
          <w:sz w:val="20"/>
        </w:rPr>
        <w:t xml:space="preserve"> 2020</w:t>
      </w:r>
      <w:r>
        <w:rPr>
          <w:rFonts w:ascii="Times New Roman" w:eastAsia="Times New Roman" w:hAnsi="Times New Roman" w:cs="Times New Roman"/>
          <w:sz w:val="20"/>
        </w:rPr>
        <w:t xml:space="preserve"> and i</w:t>
      </w:r>
      <w:r>
        <w:rPr>
          <w:rFonts w:ascii="Times New Roman" w:eastAsia="Times New Roman" w:hAnsi="Times New Roman" w:cs="Times New Roman"/>
          <w:sz w:val="20"/>
        </w:rPr>
        <w:t>s awa</w:t>
      </w:r>
      <w:r>
        <w:rPr>
          <w:rFonts w:ascii="Times New Roman" w:eastAsia="Times New Roman" w:hAnsi="Times New Roman" w:cs="Times New Roman"/>
          <w:sz w:val="20"/>
        </w:rPr>
        <w:t>iting</w:t>
      </w:r>
      <w:r>
        <w:rPr>
          <w:rFonts w:ascii="Times New Roman" w:eastAsia="Times New Roman" w:hAnsi="Times New Roman" w:cs="Times New Roman"/>
          <w:sz w:val="20"/>
        </w:rPr>
        <w:t xml:space="preserve"> approval from the SBA</w:t>
      </w:r>
      <w:r>
        <w:rPr>
          <w:rFonts w:ascii="Times New Roman" w:eastAsia="Times New Roman" w:hAnsi="Times New Roman" w:cs="Times New Roman"/>
          <w:sz w:val="20"/>
        </w:rPr>
        <w:t xml:space="preserve">. </w:t>
      </w:r>
      <w:r>
        <w:rPr>
          <w:rFonts w:ascii="Times New Roman" w:eastAsia="Times New Roman" w:hAnsi="Times New Roman" w:cs="Times New Roman"/>
          <w:color w:val="1A1A1A"/>
          <w:sz w:val="20"/>
        </w:rPr>
        <w:t xml:space="preserve">The forgiveness of the PPP Loan is dependent on the Company qualifying for the forgiveness of the PPP Loan based on its adherence to the forgiveness criteria under the CARES Act, </w:t>
      </w:r>
      <w:r>
        <w:rPr>
          <w:rFonts w:ascii="Times New Roman" w:eastAsia="Times New Roman" w:hAnsi="Times New Roman" w:cs="Times New Roman"/>
          <w:color w:val="1A1A1A"/>
          <w:sz w:val="20"/>
        </w:rPr>
        <w:t>and</w:t>
      </w:r>
      <w:r>
        <w:rPr>
          <w:rFonts w:ascii="Times New Roman" w:eastAsia="Times New Roman" w:hAnsi="Times New Roman" w:cs="Times New Roman"/>
          <w:color w:val="1A1A1A"/>
          <w:sz w:val="20"/>
        </w:rPr>
        <w:t xml:space="preserve"> no assurance is provided that the Company will obtain forgiveness of the PPP Loan in whole or in part.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shd w:val="clear" w:color="auto" w:fill="FFFF0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Finance Obligation</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u w:val="single"/>
        </w:rPr>
      </w:pPr>
    </w:p>
    <w:p>
      <w:pPr>
        <w:keepNext/>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w:t>
      </w:r>
      <w:r>
        <w:rPr>
          <w:rFonts w:ascii="Times New Roman" w:eastAsia="Times New Roman" w:hAnsi="Times New Roman" w:cs="Times New Roman"/>
          <w:sz w:val="20"/>
        </w:rPr>
        <w:t xml:space="preserve">Company </w:t>
      </w:r>
      <w:r>
        <w:rPr>
          <w:rFonts w:ascii="Times New Roman" w:eastAsia="Times New Roman" w:hAnsi="Times New Roman" w:cs="Times New Roman"/>
          <w:sz w:val="20"/>
        </w:rPr>
        <w:t xml:space="preserve">has </w:t>
      </w:r>
      <w:r>
        <w:rPr>
          <w:rFonts w:ascii="Times New Roman" w:eastAsia="Times New Roman" w:hAnsi="Times New Roman" w:cs="Times New Roman"/>
          <w:sz w:val="20"/>
        </w:rPr>
        <w:t>two</w:t>
      </w:r>
      <w:r>
        <w:rPr>
          <w:rFonts w:ascii="Times New Roman" w:eastAsia="Times New Roman" w:hAnsi="Times New Roman" w:cs="Times New Roman"/>
          <w:sz w:val="20"/>
        </w:rPr>
        <w:t xml:space="preserve"> long term payment p</w:t>
      </w:r>
      <w:r>
        <w:rPr>
          <w:rFonts w:ascii="Times New Roman" w:eastAsia="Times New Roman" w:hAnsi="Times New Roman" w:cs="Times New Roman"/>
          <w:sz w:val="20"/>
        </w:rPr>
        <w:t>l</w:t>
      </w:r>
      <w:r>
        <w:rPr>
          <w:rFonts w:ascii="Times New Roman" w:eastAsia="Times New Roman" w:hAnsi="Times New Roman" w:cs="Times New Roman"/>
          <w:sz w:val="20"/>
        </w:rPr>
        <w:t>an</w:t>
      </w:r>
      <w:r>
        <w:rPr>
          <w:rFonts w:ascii="Times New Roman" w:eastAsia="Times New Roman" w:hAnsi="Times New Roman" w:cs="Times New Roman"/>
          <w:sz w:val="20"/>
        </w:rPr>
        <w:t>s</w:t>
      </w:r>
      <w:r>
        <w:rPr>
          <w:rFonts w:ascii="Times New Roman" w:eastAsia="Times New Roman" w:hAnsi="Times New Roman" w:cs="Times New Roman"/>
          <w:sz w:val="20"/>
        </w:rPr>
        <w:t xml:space="preserve"> with </w:t>
      </w:r>
      <w:r>
        <w:rPr>
          <w:rFonts w:ascii="Times New Roman" w:eastAsia="Times New Roman" w:hAnsi="Times New Roman" w:cs="Times New Roman"/>
          <w:sz w:val="20"/>
        </w:rPr>
        <w:t xml:space="preserve">a </w:t>
      </w:r>
      <w:r>
        <w:rPr>
          <w:rFonts w:ascii="Times New Roman" w:eastAsia="Times New Roman" w:hAnsi="Times New Roman" w:cs="Times New Roman"/>
          <w:sz w:val="20"/>
        </w:rPr>
        <w:t xml:space="preserve">vendor to pay for its computer equipment in </w:t>
      </w:r>
      <w:r>
        <w:rPr>
          <w:rFonts w:ascii="Times New Roman" w:eastAsia="Times New Roman" w:hAnsi="Times New Roman" w:cs="Times New Roman"/>
          <w:sz w:val="20"/>
        </w:rPr>
        <w:t>four</w:t>
      </w:r>
      <w:r>
        <w:rPr>
          <w:rFonts w:ascii="Times New Roman" w:eastAsia="Times New Roman" w:hAnsi="Times New Roman" w:cs="Times New Roman"/>
          <w:sz w:val="20"/>
        </w:rPr>
        <w:t xml:space="preserve"> annual payments</w:t>
      </w:r>
      <w:r>
        <w:rPr>
          <w:rFonts w:ascii="Times New Roman" w:eastAsia="Times New Roman" w:hAnsi="Times New Roman" w:cs="Times New Roman"/>
          <w:sz w:val="20"/>
        </w:rPr>
        <w:t xml:space="preserve"> between </w:t>
      </w:r>
      <w:r>
        <w:rPr>
          <w:rFonts w:ascii="Times New Roman" w:eastAsia="Times New Roman" w:hAnsi="Times New Roman" w:cs="Times New Roman"/>
          <w:sz w:val="20"/>
        </w:rPr>
        <w:t xml:space="preserve">October </w:t>
      </w:r>
      <w:r>
        <w:rPr>
          <w:rFonts w:ascii="Times New Roman" w:eastAsia="Times New Roman" w:hAnsi="Times New Roman" w:cs="Times New Roman"/>
          <w:sz w:val="20"/>
        </w:rPr>
        <w:t>2019</w:t>
      </w:r>
      <w:r>
        <w:rPr>
          <w:rFonts w:ascii="Times New Roman" w:eastAsia="Times New Roman" w:hAnsi="Times New Roman" w:cs="Times New Roman"/>
          <w:sz w:val="20"/>
        </w:rPr>
        <w:t xml:space="preserve"> and </w:t>
      </w:r>
      <w:r>
        <w:rPr>
          <w:rFonts w:ascii="Times New Roman" w:eastAsia="Times New Roman" w:hAnsi="Times New Roman" w:cs="Times New Roman"/>
          <w:sz w:val="20"/>
        </w:rPr>
        <w:t xml:space="preserve">February </w:t>
      </w:r>
      <w:r>
        <w:rPr>
          <w:rFonts w:ascii="Times New Roman" w:eastAsia="Times New Roman" w:hAnsi="Times New Roman" w:cs="Times New Roman"/>
          <w:sz w:val="20"/>
        </w:rPr>
        <w:t>2023</w:t>
      </w:r>
      <w:r>
        <w:rPr>
          <w:rFonts w:ascii="Times New Roman" w:eastAsia="Times New Roman" w:hAnsi="Times New Roman" w:cs="Times New Roman"/>
          <w:sz w:val="20"/>
        </w:rPr>
        <w:t xml:space="preserve">. The </w:t>
      </w:r>
      <w:r>
        <w:rPr>
          <w:rFonts w:ascii="Times New Roman" w:eastAsia="Times New Roman" w:hAnsi="Times New Roman" w:cs="Times New Roman"/>
          <w:sz w:val="20"/>
        </w:rPr>
        <w:t xml:space="preserve">Company used an imputed interest rate of </w:t>
      </w:r>
      <w:r>
        <w:rPr>
          <w:rFonts w:ascii="Times New Roman" w:eastAsia="Times New Roman" w:hAnsi="Times New Roman" w:cs="Times New Roman"/>
          <w:sz w:val="20"/>
        </w:rPr>
        <w:t>9.5%</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based on its</w:t>
      </w:r>
      <w:r>
        <w:rPr>
          <w:rFonts w:ascii="Times New Roman" w:eastAsia="Times New Roman" w:hAnsi="Times New Roman" w:cs="Times New Roman"/>
          <w:sz w:val="20"/>
        </w:rPr>
        <w:t xml:space="preserve"> incremental borrowing rate</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to d</w:t>
      </w:r>
      <w:r>
        <w:rPr>
          <w:rFonts w:ascii="Times New Roman" w:eastAsia="Times New Roman" w:hAnsi="Times New Roman" w:cs="Times New Roman"/>
          <w:sz w:val="20"/>
        </w:rPr>
        <w:t>etermine the present value of its financ</w:t>
      </w:r>
      <w:r>
        <w:rPr>
          <w:rFonts w:ascii="Times New Roman" w:eastAsia="Times New Roman" w:hAnsi="Times New Roman" w:cs="Times New Roman"/>
          <w:sz w:val="20"/>
        </w:rPr>
        <w:t xml:space="preserve">e obligation. </w:t>
      </w:r>
      <w:r>
        <w:rPr>
          <w:rFonts w:ascii="Times New Roman" w:eastAsia="Times New Roman" w:hAnsi="Times New Roman" w:cs="Times New Roman"/>
          <w:sz w:val="20"/>
        </w:rPr>
        <w:t xml:space="preserve">The </w:t>
      </w:r>
      <w:r>
        <w:rPr>
          <w:rFonts w:ascii="Times New Roman" w:eastAsia="Times New Roman" w:hAnsi="Times New Roman" w:cs="Times New Roman"/>
          <w:sz w:val="20"/>
        </w:rPr>
        <w:t xml:space="preserve">total </w:t>
      </w:r>
      <w:r>
        <w:rPr>
          <w:rFonts w:ascii="Times New Roman" w:eastAsia="Times New Roman" w:hAnsi="Times New Roman" w:cs="Times New Roman"/>
          <w:sz w:val="20"/>
        </w:rPr>
        <w:t>b</w:t>
      </w:r>
      <w:r>
        <w:rPr>
          <w:rFonts w:ascii="Times New Roman" w:eastAsia="Times New Roman" w:hAnsi="Times New Roman" w:cs="Times New Roman"/>
          <w:sz w:val="20"/>
        </w:rPr>
        <w:t xml:space="preserve">alance owed </w:t>
      </w:r>
      <w:r>
        <w:rPr>
          <w:rFonts w:ascii="Times New Roman" w:eastAsia="Times New Roman" w:hAnsi="Times New Roman" w:cs="Times New Roman"/>
          <w:sz w:val="20"/>
        </w:rPr>
        <w:t xml:space="preserve">was </w:t>
      </w:r>
      <w:r>
        <w:rPr>
          <w:rFonts w:ascii="Times New Roman" w:eastAsia="Times New Roman" w:hAnsi="Times New Roman" w:cs="Times New Roman"/>
          <w:sz w:val="20"/>
        </w:rPr>
        <w:t>$74,295</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sz w:val="20"/>
        </w:rPr>
        <w:t>$72,510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with </w:t>
      </w:r>
      <w:r>
        <w:rPr>
          <w:rFonts w:ascii="Times New Roman" w:eastAsia="Times New Roman" w:hAnsi="Times New Roman" w:cs="Times New Roman"/>
          <w:sz w:val="20"/>
        </w:rPr>
        <w:t xml:space="preserve">the short-term portion </w:t>
      </w:r>
      <w:r>
        <w:rPr>
          <w:rFonts w:ascii="Times New Roman" w:eastAsia="Times New Roman" w:hAnsi="Times New Roman" w:cs="Times New Roman"/>
          <w:sz w:val="20"/>
        </w:rPr>
        <w:t xml:space="preserve">of </w:t>
      </w:r>
      <w:r>
        <w:rPr>
          <w:rFonts w:ascii="Times New Roman" w:eastAsia="Times New Roman" w:hAnsi="Times New Roman" w:cs="Times New Roman"/>
          <w:sz w:val="20"/>
        </w:rPr>
        <w:t>$30,487</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sz w:val="20"/>
        </w:rPr>
        <w:t>$26,837</w:t>
      </w:r>
      <w:r>
        <w:rPr>
          <w:rFonts w:ascii="Times New Roman" w:eastAsia="Times New Roman" w:hAnsi="Times New Roman" w:cs="Times New Roman"/>
          <w:sz w:val="20"/>
        </w:rPr>
        <w:t xml:space="preserve"> </w:t>
      </w:r>
      <w:r>
        <w:rPr>
          <w:rFonts w:ascii="Times New Roman" w:eastAsia="Times New Roman" w:hAnsi="Times New Roman" w:cs="Times New Roman"/>
          <w:sz w:val="20"/>
        </w:rPr>
        <w:t>recorded under accrued expenses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 the consolidated balance sheets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Secured Credit Facility</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has a secured credit facility agreement (also referred to herein as “line of credit”) with Western Alliance Bank, the parent company of Bridge Bank, N.A. of San Jose, California, which it obtained on March 1, 2013 and expanded on April 13, 2015. Pursuant to the secured credit facility agreement, as amended, the Company may submit requests for funding up to </w:t>
      </w:r>
      <w:r>
        <w:rPr>
          <w:rFonts w:ascii="Times New Roman" w:eastAsia="Times New Roman" w:hAnsi="Times New Roman" w:cs="Times New Roman"/>
          <w:sz w:val="20"/>
        </w:rPr>
        <w:t>80%</w:t>
      </w:r>
      <w:r>
        <w:rPr>
          <w:rFonts w:ascii="Times New Roman" w:eastAsia="Times New Roman" w:hAnsi="Times New Roman" w:cs="Times New Roman"/>
          <w:sz w:val="20"/>
        </w:rPr>
        <w:t xml:space="preserve"> of its eligible accounts receivable up to a maximum credit limit of </w:t>
      </w:r>
      <w:r>
        <w:rPr>
          <w:rFonts w:ascii="Times New Roman" w:eastAsia="Times New Roman" w:hAnsi="Times New Roman" w:cs="Times New Roman"/>
          <w:sz w:val="20"/>
        </w:rPr>
        <w:t>$5 million</w:t>
      </w:r>
      <w:r>
        <w:rPr>
          <w:rFonts w:ascii="Times New Roman" w:eastAsia="Times New Roman" w:hAnsi="Times New Roman" w:cs="Times New Roman"/>
          <w:sz w:val="20"/>
        </w:rPr>
        <w:t xml:space="preserve">. This agreement is secured by the Company’s accounts receivable and substantially all of the Company’s other assets. The agreement automatically renews in April of each year and requires the Company to pay an annual facility fee of </w:t>
      </w:r>
      <w:r>
        <w:rPr>
          <w:rFonts w:ascii="Times New Roman" w:eastAsia="Times New Roman" w:hAnsi="Times New Roman" w:cs="Times New Roman"/>
          <w:sz w:val="20"/>
        </w:rPr>
        <w:t>$20,000</w:t>
      </w:r>
      <w:r>
        <w:rPr>
          <w:rFonts w:ascii="Times New Roman" w:eastAsia="Times New Roman" w:hAnsi="Times New Roman" w:cs="Times New Roman"/>
          <w:sz w:val="20"/>
        </w:rPr>
        <w:t xml:space="preserve"> (</w:t>
      </w:r>
      <w:r>
        <w:rPr>
          <w:rFonts w:ascii="Times New Roman" w:eastAsia="Times New Roman" w:hAnsi="Times New Roman" w:cs="Times New Roman"/>
          <w:sz w:val="20"/>
        </w:rPr>
        <w:t>0.4%</w:t>
      </w:r>
      <w:r>
        <w:rPr>
          <w:rFonts w:ascii="Times New Roman" w:eastAsia="Times New Roman" w:hAnsi="Times New Roman" w:cs="Times New Roman"/>
          <w:sz w:val="20"/>
        </w:rPr>
        <w:t xml:space="preserve"> of the credit limit) and an annual due diligence fee of </w:t>
      </w:r>
      <w:r>
        <w:rPr>
          <w:rFonts w:ascii="Times New Roman" w:eastAsia="Times New Roman" w:hAnsi="Times New Roman" w:cs="Times New Roman"/>
          <w:sz w:val="20"/>
        </w:rPr>
        <w:t>$1,000</w:t>
      </w:r>
      <w:r>
        <w:rPr>
          <w:rFonts w:ascii="Times New Roman" w:eastAsia="Times New Roman" w:hAnsi="Times New Roman" w:cs="Times New Roman"/>
          <w:sz w:val="20"/>
        </w:rPr>
        <w:t xml:space="preserve">. Interest accrues on the advances at the rate of </w:t>
      </w:r>
      <w:r>
        <w:rPr>
          <w:rFonts w:ascii="Times New Roman" w:eastAsia="Times New Roman" w:hAnsi="Times New Roman" w:cs="Times New Roman"/>
          <w:sz w:val="20"/>
        </w:rPr>
        <w:t>prime plus 1.5%</w:t>
      </w:r>
      <w:r>
        <w:rPr>
          <w:rFonts w:ascii="Times New Roman" w:eastAsia="Times New Roman" w:hAnsi="Times New Roman" w:cs="Times New Roman"/>
          <w:sz w:val="20"/>
        </w:rPr>
        <w:t xml:space="preserve"> per annum and the default rate of interest is </w:t>
      </w:r>
      <w:r>
        <w:rPr>
          <w:rFonts w:ascii="Times New Roman" w:eastAsia="Times New Roman" w:hAnsi="Times New Roman" w:cs="Times New Roman"/>
          <w:sz w:val="20"/>
        </w:rPr>
        <w:t>prime plus 7%</w:t>
      </w:r>
      <w:r>
        <w:rPr>
          <w:rFonts w:ascii="Times New Roman" w:eastAsia="Times New Roman" w:hAnsi="Times New Roman" w:cs="Times New Roman"/>
          <w:sz w:val="20"/>
        </w:rPr>
        <w:t xml:space="preserve">. </w:t>
      </w:r>
    </w:p>
    <w:p>
      <w:pPr>
        <w:keepNext w:val="0"/>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had </w:t>
      </w:r>
      <w:r>
        <w:rPr>
          <w:rFonts w:ascii="Times New Roman" w:eastAsia="Times New Roman" w:hAnsi="Times New Roman" w:cs="Times New Roman"/>
          <w:sz w:val="20"/>
        </w:rPr>
        <w:t>no amounts</w:t>
      </w:r>
      <w:r>
        <w:rPr>
          <w:rFonts w:ascii="Times New Roman" w:eastAsia="Times New Roman" w:hAnsi="Times New Roman" w:cs="Times New Roman"/>
          <w:sz w:val="20"/>
        </w:rPr>
        <w:t xml:space="preserve"> outstanding under this secured credit facility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Assuming that all of the Company’s trade accounts receivables were eligible for funding, the Company would have approximately </w:t>
      </w:r>
      <w:r>
        <w:rPr>
          <w:rFonts w:ascii="Times New Roman" w:eastAsia="Times New Roman" w:hAnsi="Times New Roman" w:cs="Times New Roman"/>
          <w:sz w:val="20"/>
        </w:rPr>
        <w:t>$4.1 million</w:t>
      </w:r>
      <w:r>
        <w:rPr>
          <w:rFonts w:ascii="Times New Roman" w:eastAsia="Times New Roman" w:hAnsi="Times New Roman" w:cs="Times New Roman"/>
          <w:sz w:val="20"/>
        </w:rPr>
        <w:t xml:space="preserve"> in available credit under the agreement as of </w:t>
      </w:r>
      <w:r>
        <w:rPr>
          <w:rFonts w:ascii="Times New Roman" w:eastAsia="Times New Roman" w:hAnsi="Times New Roman" w:cs="Times New Roman"/>
          <w:sz w:val="20"/>
        </w:rPr>
        <w:t>December 31, 2020</w:t>
      </w:r>
      <w:r>
        <w:rPr>
          <w:rFonts w:ascii="Times New Roman" w:eastAsia="Times New Roman" w:hAnsi="Times New Roman" w:cs="Times New Roman"/>
          <w:sz w:val="20"/>
        </w:rPr>
        <w:t>.</w:t>
      </w:r>
    </w:p>
    <w:p>
      <w:pPr>
        <w:keepNext w:val="0"/>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annual fees are capitalized in the Company’s consolidated balance sheet within other current assets and are amortized to interest expense over </w:t>
      </w:r>
      <w:r>
        <w:rPr>
          <w:rFonts w:ascii="Times New Roman" w:eastAsia="Times New Roman" w:hAnsi="Times New Roman" w:cs="Times New Roman"/>
          <w:sz w:val="20"/>
        </w:rPr>
        <w:t>one year</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 Company amortized </w:t>
      </w:r>
      <w:r>
        <w:rPr>
          <w:rFonts w:ascii="Times New Roman" w:eastAsia="Times New Roman" w:hAnsi="Times New Roman" w:cs="Times New Roman"/>
          <w:sz w:val="20"/>
        </w:rPr>
        <w:t>$21,000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$25,215</w:t>
      </w:r>
      <w:r>
        <w:rPr>
          <w:rFonts w:ascii="Times New Roman" w:eastAsia="Times New Roman" w:hAnsi="Times New Roman" w:cs="Times New Roman"/>
          <w:sz w:val="20"/>
        </w:rPr>
        <w:t xml:space="preserve">, respectively, of the secured credit facility costs through interest expense. The remaining value of the capitalized loan costs related to the secured credit facility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is </w:t>
      </w:r>
      <w:r>
        <w:rPr>
          <w:rFonts w:ascii="Times New Roman" w:eastAsia="Times New Roman" w:hAnsi="Times New Roman" w:cs="Times New Roman"/>
          <w:sz w:val="20"/>
        </w:rPr>
        <w:t>$7,000</w:t>
      </w:r>
      <w:r>
        <w:rPr>
          <w:rFonts w:ascii="Times New Roman" w:eastAsia="Times New Roman" w:hAnsi="Times New Roman" w:cs="Times New Roman"/>
          <w:sz w:val="20"/>
        </w:rPr>
        <w:t xml:space="preserve">; this amount will be amortized to interest expense over the next </w:t>
      </w:r>
      <w:r>
        <w:rPr>
          <w:rFonts w:ascii="Times New Roman" w:eastAsia="Times New Roman" w:hAnsi="Times New Roman" w:cs="Times New Roman"/>
          <w:sz w:val="20"/>
        </w:rPr>
        <w:t>four</w:t>
      </w:r>
      <w:r>
        <w:rPr>
          <w:rFonts w:ascii="Times New Roman" w:eastAsia="Times New Roman" w:hAnsi="Times New Roman" w:cs="Times New Roman"/>
          <w:sz w:val="20"/>
        </w:rPr>
        <w:t xml:space="preserve"> months.</w:t>
      </w:r>
    </w:p>
    <w:p>
      <w:pPr>
        <w:keepNext/>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720"/>
        <w:jc w:val="left"/>
        <w:outlineLvl w:val="9"/>
        <w:rPr>
          <w:rFonts w:ascii="Times New Roman" w:eastAsia="Times New Roman" w:hAnsi="Times New Roman" w:cs="Times New Roman"/>
          <w:sz w:val="20"/>
        </w:rPr>
      </w:pPr>
    </w:p>
    <w:p>
      <w:pPr>
        <w:keepNext/>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Interest expense on </w:t>
      </w:r>
      <w:r>
        <w:rPr>
          <w:rFonts w:ascii="Times New Roman" w:eastAsia="Times New Roman" w:hAnsi="Times New Roman" w:cs="Times New Roman"/>
          <w:sz w:val="20"/>
        </w:rPr>
        <w:t>financing arrangements</w:t>
      </w:r>
      <w:r>
        <w:rPr>
          <w:rFonts w:ascii="Times New Roman" w:eastAsia="Times New Roman" w:hAnsi="Times New Roman" w:cs="Times New Roman"/>
          <w:sz w:val="20"/>
        </w:rPr>
        <w:t xml:space="preserve"> recorded in the Company’s consolidated statements of operations</w:t>
      </w:r>
      <w:r>
        <w:rPr>
          <w:rFonts w:ascii="Times New Roman" w:eastAsia="Times New Roman" w:hAnsi="Times New Roman" w:cs="Times New Roman"/>
          <w:sz w:val="20"/>
        </w:rPr>
        <w:t xml:space="preserve"> was </w:t>
      </w:r>
      <w:r>
        <w:rPr>
          <w:rFonts w:ascii="Times New Roman" w:eastAsia="Times New Roman" w:hAnsi="Times New Roman" w:cs="Times New Roman"/>
          <w:sz w:val="20"/>
        </w:rPr>
        <w:t>$36,125</w:t>
      </w:r>
      <w:r>
        <w:rPr>
          <w:rFonts w:ascii="Times New Roman" w:eastAsia="Times New Roman" w:hAnsi="Times New Roman" w:cs="Times New Roman"/>
          <w:sz w:val="20"/>
        </w:rPr>
        <w:t xml:space="preserve"> and </w:t>
      </w:r>
      <w:r>
        <w:rPr>
          <w:rFonts w:ascii="Times New Roman" w:eastAsia="Times New Roman" w:hAnsi="Times New Roman" w:cs="Times New Roman"/>
          <w:sz w:val="20"/>
        </w:rPr>
        <w:t>$60,155</w:t>
      </w:r>
      <w:r>
        <w:rPr>
          <w:rFonts w:ascii="Times New Roman" w:eastAsia="Times New Roman" w:hAnsi="Times New Roman" w:cs="Times New Roman"/>
          <w:sz w:val="20"/>
        </w:rPr>
        <w:t xml:space="preserve"> </w:t>
      </w:r>
      <w:r>
        <w:rPr>
          <w:rFonts w:ascii="Times New Roman" w:eastAsia="Times New Roman" w:hAnsi="Times New Roman" w:cs="Times New Roman"/>
          <w:sz w:val="20"/>
        </w:rPr>
        <w:t>d</w:t>
      </w:r>
      <w:r>
        <w:rPr>
          <w:rFonts w:ascii="Times New Roman" w:eastAsia="Times New Roman" w:hAnsi="Times New Roman" w:cs="Times New Roman"/>
          <w:sz w:val="20"/>
        </w:rPr>
        <w:t xml:space="preserve">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w:t>
      </w:r>
      <w:r>
        <w:rPr>
          <w:rFonts w:ascii="Times New Roman" w:eastAsia="Times New Roman" w:hAnsi="Times New Roman" w:cs="Times New Roman"/>
          <w:sz w:val="20"/>
        </w:rPr>
        <w:t>future</w:t>
      </w:r>
      <w:r>
        <w:rPr>
          <w:rFonts w:ascii="Times New Roman" w:eastAsia="Times New Roman" w:hAnsi="Times New Roman" w:cs="Times New Roman"/>
          <w:sz w:val="20"/>
        </w:rPr>
        <w:t xml:space="preserve"> contractual </w:t>
      </w:r>
      <w:r>
        <w:rPr>
          <w:rFonts w:ascii="Times New Roman" w:eastAsia="Times New Roman" w:hAnsi="Times New Roman" w:cs="Times New Roman"/>
          <w:sz w:val="20"/>
        </w:rPr>
        <w:t>maturities of our debt obligations</w:t>
      </w:r>
      <w:r>
        <w:rPr>
          <w:rFonts w:ascii="Times New Roman" w:eastAsia="Times New Roman" w:hAnsi="Times New Roman" w:cs="Times New Roman"/>
          <w:sz w:val="20"/>
        </w:rPr>
        <w:t xml:space="preserve"> by year</w:t>
      </w:r>
      <w:r>
        <w:rPr>
          <w:rFonts w:ascii="Times New Roman" w:eastAsia="Times New Roman" w:hAnsi="Times New Roman" w:cs="Times New Roman"/>
          <w:sz w:val="20"/>
        </w:rPr>
        <w:t xml:space="preserve"> is set forth in the following schedule:</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460"/>
        <w:gridCol w:w="160"/>
        <w:gridCol w:w="1540"/>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2021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5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1,507,626 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2022</w:t>
            </w:r>
          </w:p>
        </w:tc>
        <w:tc>
          <w:tcPr>
            <w:tcW w:w="17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492,771 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2023</w:t>
            </w:r>
          </w:p>
        </w:tc>
        <w:tc>
          <w:tcPr>
            <w:tcW w:w="17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10,420 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846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225"/>
              <w:jc w:val="left"/>
            </w:pPr>
            <w:r>
              <w:rPr>
                <w:rFonts w:ascii="Times New Roman" w:eastAsia="Times New Roman" w:hAnsi="Times New Roman" w:cs="Times New Roman"/>
                <w:color w:val="000000"/>
                <w:sz w:val="20"/>
              </w:rPr>
              <w:t>Total</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5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2,010,817 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pageBreakBefore w:val="0"/>
        <w:widowControl w:val="0"/>
        <w:numPr>
          <w:ilvl w:val="0"/>
          <w:numId w:val="0"/>
        </w:numPr>
        <w:spacing w:before="10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6840"/>
          <w:tab w:val="left" w:pos="7200"/>
          <w:tab w:val="left" w:pos="7920"/>
          <w:tab w:val="left" w:pos="8640"/>
          <w:tab w:val="left" w:pos="9360"/>
          <w:tab w:val="left" w:pos="10080"/>
          <w:tab w:val="left" w:pos="10800"/>
          <w:tab w:val="left" w:pos="11520"/>
        </w:tabs>
        <w:spacing w:before="0" w:after="0" w:line="288" w:lineRule="auto"/>
        <w:ind w:left="0" w:right="0" w:firstLine="720"/>
        <w:jc w:val="both"/>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s>
        <w:spacing w:before="0" w:after="0" w:line="288" w:lineRule="auto"/>
        <w:ind w:left="0" w:right="0" w:firstLine="0"/>
        <w:jc w:val="left"/>
        <w:outlineLvl w:val="3"/>
        <w:rPr>
          <w:rFonts w:ascii="Times New Roman" w:eastAsia="Times New Roman" w:hAnsi="Times New Roman" w:cs="Times New Roman"/>
          <w:b/>
          <w:sz w:val="20"/>
        </w:rPr>
      </w:pPr>
      <w:bookmarkStart w:id="36" w:name="Section37"/>
      <w:bookmarkEnd w:id="36"/>
      <w:r>
        <w:rPr>
          <w:rFonts w:ascii="Times New Roman" w:eastAsia="Times New Roman" w:hAnsi="Times New Roman" w:cs="Times New Roman"/>
          <w:b/>
          <w:sz w:val="20"/>
        </w:rPr>
        <w:t>NOTE 7.</w:t>
      </w:r>
      <w:r>
        <w:rPr>
          <w:rFonts w:ascii="Times New Roman" w:eastAsia="Times New Roman" w:hAnsi="Times New Roman" w:cs="Times New Roman"/>
          <w:b/>
          <w:sz w:val="20"/>
        </w:rPr>
        <w:tab/>
      </w:r>
      <w:r>
        <w:rPr>
          <w:rFonts w:ascii="Times New Roman" w:eastAsia="Times New Roman" w:hAnsi="Times New Roman" w:cs="Times New Roman"/>
          <w:b/>
          <w:sz w:val="20"/>
        </w:rPr>
        <w:t>COMMITMENTS AND CONTINGENCIES</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Lease Commitments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Company’s corporate headquarters </w:t>
      </w:r>
      <w:r>
        <w:rPr>
          <w:rFonts w:ascii="Times New Roman" w:eastAsia="Times New Roman" w:hAnsi="Times New Roman" w:cs="Times New Roman"/>
          <w:sz w:val="20"/>
        </w:rPr>
        <w:t xml:space="preserve">were located at 480 N. Orlando Avenue, Suite 200 in Winter Park, Florida until its lease expired on April 30, 2020. Due to its current work from home policy enacted on March 16, 2020 as a result of </w:t>
      </w:r>
      <w:r>
        <w:rPr>
          <w:rFonts w:ascii="Times New Roman" w:eastAsia="Times New Roman" w:hAnsi="Times New Roman" w:cs="Times New Roman"/>
          <w:color w:val="1A1A1A"/>
          <w:sz w:val="20"/>
        </w:rPr>
        <w:t>the COVID-19 pandemic, t</w:t>
      </w:r>
      <w:r>
        <w:rPr>
          <w:rFonts w:ascii="Times New Roman" w:eastAsia="Times New Roman" w:hAnsi="Times New Roman" w:cs="Times New Roman"/>
          <w:sz w:val="20"/>
        </w:rPr>
        <w:t xml:space="preserve">he Company has not yet entered into any new lease agreement for its headquarters and does not intend to do so </w:t>
      </w:r>
      <w:r>
        <w:rPr>
          <w:rFonts w:ascii="Times New Roman" w:eastAsia="Times New Roman" w:hAnsi="Times New Roman" w:cs="Times New Roman"/>
          <w:sz w:val="20"/>
        </w:rPr>
        <w:t xml:space="preserve">until </w:t>
      </w:r>
      <w:r>
        <w:rPr>
          <w:rFonts w:ascii="Times New Roman" w:eastAsia="Times New Roman" w:hAnsi="Times New Roman" w:cs="Times New Roman"/>
          <w:sz w:val="20"/>
        </w:rPr>
        <w:t>advisable</w:t>
      </w:r>
      <w:r>
        <w:rPr>
          <w:rFonts w:ascii="Times New Roman" w:eastAsia="Times New Roman" w:hAnsi="Times New Roman" w:cs="Times New Roman"/>
          <w:color w:val="1A1A1A"/>
          <w:sz w:val="20"/>
        </w:rPr>
        <w:t xml:space="preserve">. </w:t>
      </w:r>
      <w:r>
        <w:rPr>
          <w:rFonts w:ascii="Times New Roman" w:eastAsia="Times New Roman" w:hAnsi="Times New Roman" w:cs="Times New Roman"/>
          <w:sz w:val="20"/>
        </w:rPr>
        <w:t xml:space="preserve">The Company also occupied flexible office space under monthly, quarterly or semi-annual membership contracts in Los Angeles, San Francisco, Denver, Chicago, and Toronto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r>
        <w:rPr>
          <w:rFonts w:ascii="Times New Roman" w:eastAsia="Times New Roman" w:hAnsi="Times New Roman" w:cs="Times New Roman"/>
          <w:sz w:val="20"/>
        </w:rPr>
        <w:t>T</w:t>
      </w:r>
      <w:r>
        <w:rPr>
          <w:rFonts w:ascii="Times New Roman" w:eastAsia="Times New Roman" w:hAnsi="Times New Roman" w:cs="Times New Roman"/>
          <w:sz w:val="20"/>
        </w:rPr>
        <w:t>hese</w:t>
      </w:r>
      <w:r>
        <w:rPr>
          <w:rFonts w:ascii="Times New Roman" w:eastAsia="Times New Roman" w:hAnsi="Times New Roman" w:cs="Times New Roman"/>
          <w:sz w:val="20"/>
        </w:rPr>
        <w:t xml:space="preserve"> contracts </w:t>
      </w:r>
      <w:r>
        <w:rPr>
          <w:rFonts w:ascii="Times New Roman" w:eastAsia="Times New Roman" w:hAnsi="Times New Roman" w:cs="Times New Roman"/>
          <w:sz w:val="20"/>
        </w:rPr>
        <w:t xml:space="preserve">were not renewed upon expiration of their terms </w:t>
      </w:r>
      <w:r>
        <w:rPr>
          <w:rFonts w:ascii="Times New Roman" w:eastAsia="Times New Roman" w:hAnsi="Times New Roman" w:cs="Times New Roman"/>
          <w:sz w:val="20"/>
        </w:rPr>
        <w:t>d</w:t>
      </w:r>
      <w:r>
        <w:rPr>
          <w:rFonts w:ascii="Times New Roman" w:eastAsia="Times New Roman" w:hAnsi="Times New Roman" w:cs="Times New Roman"/>
          <w:sz w:val="20"/>
        </w:rPr>
        <w:t xml:space="preserve">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Upon the January 1, 2019 adoption of ASU No. 2016-02, </w:t>
      </w:r>
      <w:r>
        <w:rPr>
          <w:rFonts w:ascii="Times New Roman" w:eastAsia="Times New Roman" w:hAnsi="Times New Roman" w:cs="Times New Roman"/>
          <w:i/>
          <w:sz w:val="20"/>
        </w:rPr>
        <w:t>Leases</w:t>
      </w:r>
      <w:r>
        <w:rPr>
          <w:rFonts w:ascii="Times New Roman" w:eastAsia="Times New Roman" w:hAnsi="Times New Roman" w:cs="Times New Roman"/>
          <w:sz w:val="20"/>
        </w:rPr>
        <w:t xml:space="preserve">, </w:t>
      </w:r>
      <w:r>
        <w:rPr>
          <w:rFonts w:ascii="Times New Roman" w:eastAsia="Times New Roman" w:hAnsi="Times New Roman" w:cs="Times New Roman"/>
          <w:sz w:val="20"/>
        </w:rPr>
        <w:t>the Company elected the short-term lease exemption policy, applying the requirements of ASU No. 2016-02 to only long-term (greater than 1 year) leases.</w:t>
      </w:r>
      <w:r>
        <w:rPr>
          <w:rFonts w:ascii="Times New Roman" w:eastAsia="Times New Roman" w:hAnsi="Times New Roman" w:cs="Times New Roman"/>
          <w:sz w:val="20"/>
        </w:rPr>
        <w:t xml:space="preserve"> </w:t>
      </w:r>
      <w:r>
        <w:rPr>
          <w:rFonts w:ascii="Times New Roman" w:eastAsia="Times New Roman" w:hAnsi="Times New Roman" w:cs="Times New Roman"/>
          <w:sz w:val="20"/>
        </w:rPr>
        <w:t>Upon adoption, t</w:t>
      </w:r>
      <w:r>
        <w:rPr>
          <w:rFonts w:ascii="Times New Roman" w:eastAsia="Times New Roman" w:hAnsi="Times New Roman" w:cs="Times New Roman"/>
          <w:sz w:val="20"/>
        </w:rPr>
        <w:t xml:space="preserve">he Company had </w:t>
      </w:r>
      <w:r>
        <w:rPr>
          <w:rFonts w:ascii="Times New Roman" w:eastAsia="Times New Roman" w:hAnsi="Times New Roman" w:cs="Times New Roman"/>
          <w:sz w:val="20"/>
        </w:rPr>
        <w:t>one</w:t>
      </w:r>
      <w:r>
        <w:rPr>
          <w:rFonts w:ascii="Times New Roman" w:eastAsia="Times New Roman" w:hAnsi="Times New Roman" w:cs="Times New Roman"/>
          <w:sz w:val="20"/>
        </w:rPr>
        <w:t xml:space="preserve"> material lease greater than 12 months in duration. This was the lease associated with its corporate headquarters in Winter Park, Florida. The adoption of this standard resulted in the Company recording a</w:t>
      </w:r>
      <w:r>
        <w:rPr>
          <w:rFonts w:ascii="Times New Roman" w:eastAsia="Times New Roman" w:hAnsi="Times New Roman" w:cs="Times New Roman"/>
          <w:sz w:val="20"/>
        </w:rPr>
        <w:t>n operating</w:t>
      </w:r>
      <w:r>
        <w:rPr>
          <w:rFonts w:ascii="Times New Roman" w:eastAsia="Times New Roman" w:hAnsi="Times New Roman" w:cs="Times New Roman"/>
          <w:sz w:val="20"/>
        </w:rPr>
        <w:t xml:space="preserve"> right-of-use asset of </w:t>
      </w:r>
      <w:r>
        <w:rPr>
          <w:rFonts w:ascii="Times New Roman" w:eastAsia="Times New Roman" w:hAnsi="Times New Roman" w:cs="Times New Roman"/>
          <w:sz w:val="20"/>
        </w:rPr>
        <w:t>$410,852</w:t>
      </w:r>
      <w:r>
        <w:rPr>
          <w:rFonts w:ascii="Times New Roman" w:eastAsia="Times New Roman" w:hAnsi="Times New Roman" w:cs="Times New Roman"/>
          <w:sz w:val="20"/>
        </w:rPr>
        <w:t xml:space="preserve"> and an associated </w:t>
      </w:r>
      <w:r>
        <w:rPr>
          <w:rFonts w:ascii="Times New Roman" w:eastAsia="Times New Roman" w:hAnsi="Times New Roman" w:cs="Times New Roman"/>
          <w:sz w:val="20"/>
        </w:rPr>
        <w:t>lease</w:t>
      </w:r>
      <w:r>
        <w:rPr>
          <w:rFonts w:ascii="Times New Roman" w:eastAsia="Times New Roman" w:hAnsi="Times New Roman" w:cs="Times New Roman"/>
          <w:sz w:val="20"/>
        </w:rPr>
        <w:t xml:space="preserve"> liability of </w:t>
      </w:r>
      <w:r>
        <w:rPr>
          <w:rFonts w:ascii="Times New Roman" w:eastAsia="Times New Roman" w:hAnsi="Times New Roman" w:cs="Times New Roman"/>
          <w:sz w:val="20"/>
        </w:rPr>
        <w:t>$399,892</w:t>
      </w:r>
      <w:r>
        <w:rPr>
          <w:rFonts w:ascii="Times New Roman" w:eastAsia="Times New Roman" w:hAnsi="Times New Roman" w:cs="Times New Roman"/>
          <w:sz w:val="20"/>
        </w:rPr>
        <w:t xml:space="preserve">. The operating lease </w:t>
      </w:r>
      <w:r>
        <w:rPr>
          <w:rFonts w:ascii="Times New Roman" w:eastAsia="Times New Roman" w:hAnsi="Times New Roman" w:cs="Times New Roman"/>
          <w:sz w:val="20"/>
        </w:rPr>
        <w:t xml:space="preserve">liability was determined based on the present value of the remaining minimum rental payments using the Company’s </w:t>
      </w:r>
      <w:r>
        <w:rPr>
          <w:rFonts w:ascii="Times New Roman" w:eastAsia="Times New Roman" w:hAnsi="Times New Roman" w:cs="Times New Roman"/>
          <w:sz w:val="20"/>
        </w:rPr>
        <w:t xml:space="preserve">incremental borrowing rate </w:t>
      </w:r>
      <w:r>
        <w:rPr>
          <w:rFonts w:ascii="Times New Roman" w:eastAsia="Times New Roman" w:hAnsi="Times New Roman" w:cs="Times New Roman"/>
          <w:sz w:val="20"/>
        </w:rPr>
        <w:t xml:space="preserve">of </w:t>
      </w:r>
      <w:r>
        <w:rPr>
          <w:rFonts w:ascii="Times New Roman" w:eastAsia="Times New Roman" w:hAnsi="Times New Roman" w:cs="Times New Roman"/>
          <w:sz w:val="20"/>
        </w:rPr>
        <w:t>9.5%</w:t>
      </w:r>
      <w:r>
        <w:rPr>
          <w:rFonts w:ascii="Times New Roman" w:eastAsia="Times New Roman" w:hAnsi="Times New Roman" w:cs="Times New Roman"/>
          <w:sz w:val="20"/>
        </w:rPr>
        <w:t xml:space="preserve"> and the operating lease right-of-use asset was determined based on the value of the lease liabilities, adjusted for a deferred rent balance, which was previously included in current liabilities.</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both"/>
        <w:outlineLvl w:val="9"/>
        <w:rPr>
          <w:rFonts w:ascii="Arial" w:eastAsia="Arial" w:hAnsi="Arial" w:cs="Arial"/>
          <w:sz w:val="24"/>
        </w:rPr>
      </w:pPr>
      <w:r>
        <w:rPr>
          <w:rFonts w:ascii="Times New Roman" w:eastAsia="Times New Roman" w:hAnsi="Times New Roman" w:cs="Times New Roman"/>
          <w:sz w:val="20"/>
        </w:rPr>
        <w:t xml:space="preserve">The </w:t>
      </w:r>
      <w:r>
        <w:rPr>
          <w:rFonts w:ascii="Times New Roman" w:eastAsia="Times New Roman" w:hAnsi="Times New Roman" w:cs="Times New Roman"/>
          <w:sz w:val="20"/>
        </w:rPr>
        <w:t>Company had a</w:t>
      </w:r>
      <w:r>
        <w:rPr>
          <w:rFonts w:ascii="Times New Roman" w:eastAsia="Times New Roman" w:hAnsi="Times New Roman" w:cs="Times New Roman"/>
          <w:sz w:val="20"/>
        </w:rPr>
        <w:t>n operating</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right-of-use asset </w:t>
      </w:r>
      <w:r>
        <w:rPr>
          <w:rFonts w:ascii="Times New Roman" w:eastAsia="Times New Roman" w:hAnsi="Times New Roman" w:cs="Times New Roman"/>
          <w:sz w:val="20"/>
        </w:rPr>
        <w:t xml:space="preserve">of </w:t>
      </w:r>
      <w:r>
        <w:rPr>
          <w:rFonts w:ascii="Times New Roman" w:eastAsia="Times New Roman" w:hAnsi="Times New Roman" w:cs="Times New Roman"/>
          <w:sz w:val="20"/>
        </w:rPr>
        <w:t>$107,831</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under </w:t>
      </w:r>
      <w:r>
        <w:rPr>
          <w:rFonts w:ascii="Times New Roman" w:eastAsia="Times New Roman" w:hAnsi="Times New Roman" w:cs="Times New Roman"/>
          <w:sz w:val="20"/>
        </w:rPr>
        <w:t>o</w:t>
      </w:r>
      <w:r>
        <w:rPr>
          <w:rFonts w:ascii="Times New Roman" w:eastAsia="Times New Roman" w:hAnsi="Times New Roman" w:cs="Times New Roman"/>
          <w:sz w:val="20"/>
        </w:rPr>
        <w:t>ther current asset</w:t>
      </w:r>
      <w:r>
        <w:rPr>
          <w:rFonts w:ascii="Times New Roman" w:eastAsia="Times New Roman" w:hAnsi="Times New Roman" w:cs="Times New Roman"/>
          <w:sz w:val="20"/>
        </w:rPr>
        <w:t>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sz w:val="20"/>
        </w:rPr>
        <w:t xml:space="preserve">a lease </w:t>
      </w:r>
      <w:r>
        <w:rPr>
          <w:rFonts w:ascii="Times New Roman" w:eastAsia="Times New Roman" w:hAnsi="Times New Roman" w:cs="Times New Roman"/>
          <w:sz w:val="20"/>
        </w:rPr>
        <w:t>liability</w:t>
      </w:r>
      <w:r>
        <w:rPr>
          <w:rFonts w:ascii="Times New Roman" w:eastAsia="Times New Roman" w:hAnsi="Times New Roman" w:cs="Times New Roman"/>
          <w:sz w:val="20"/>
        </w:rPr>
        <w:t xml:space="preserve"> of</w:t>
      </w:r>
      <w:r>
        <w:rPr>
          <w:rFonts w:ascii="Times New Roman" w:eastAsia="Times New Roman" w:hAnsi="Times New Roman" w:cs="Times New Roman"/>
          <w:sz w:val="20"/>
        </w:rPr>
        <w:t xml:space="preserve"> </w:t>
      </w:r>
      <w:r>
        <w:rPr>
          <w:rFonts w:ascii="Times New Roman" w:eastAsia="Times New Roman" w:hAnsi="Times New Roman" w:cs="Times New Roman"/>
          <w:sz w:val="20"/>
        </w:rPr>
        <w:t>$83,807</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 the </w:t>
      </w:r>
      <w:r>
        <w:rPr>
          <w:rFonts w:ascii="Times New Roman" w:eastAsia="Times New Roman" w:hAnsi="Times New Roman" w:cs="Times New Roman"/>
          <w:sz w:val="20"/>
        </w:rPr>
        <w:t xml:space="preserve">consolidated balance sheet as of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w:t>
      </w:r>
      <w:r>
        <w:rPr>
          <w:rFonts w:ascii="Times New Roman" w:eastAsia="Times New Roman" w:hAnsi="Times New Roman" w:cs="Times New Roman"/>
          <w:sz w:val="20"/>
        </w:rPr>
        <w:t>T</w:t>
      </w:r>
      <w:r>
        <w:rPr>
          <w:rFonts w:ascii="Times New Roman" w:eastAsia="Times New Roman" w:hAnsi="Times New Roman" w:cs="Times New Roman"/>
          <w:sz w:val="20"/>
        </w:rPr>
        <w:t>hese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were fully </w:t>
      </w:r>
      <w:r>
        <w:rPr>
          <w:rFonts w:ascii="Times New Roman" w:eastAsia="Times New Roman" w:hAnsi="Times New Roman" w:cs="Times New Roman"/>
          <w:sz w:val="20"/>
        </w:rPr>
        <w:t>recognized</w:t>
      </w:r>
      <w:r>
        <w:rPr>
          <w:rFonts w:ascii="Times New Roman" w:eastAsia="Times New Roman" w:hAnsi="Times New Roman" w:cs="Times New Roman"/>
          <w:sz w:val="20"/>
        </w:rPr>
        <w:t xml:space="preserve"> upon expiration of the lease in April 2020</w:t>
      </w:r>
      <w:r>
        <w:rPr>
          <w:rFonts w:ascii="Times New Roman" w:eastAsia="Times New Roman" w:hAnsi="Times New Roman" w:cs="Times New Roman"/>
          <w:color w:val="1A1A1A"/>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sz w:val="20"/>
        </w:rPr>
        <w:t>2019</w:t>
      </w:r>
      <w:r>
        <w:rPr>
          <w:rFonts w:ascii="Times New Roman" w:eastAsia="Times New Roman" w:hAnsi="Times New Roman" w:cs="Times New Roman"/>
          <w:sz w:val="20"/>
        </w:rPr>
        <w:t>, the Company recorded</w:t>
      </w:r>
      <w:r>
        <w:rPr>
          <w:rFonts w:ascii="Times New Roman" w:eastAsia="Times New Roman" w:hAnsi="Times New Roman" w:cs="Times New Roman"/>
          <w:sz w:val="20"/>
        </w:rPr>
        <w:t xml:space="preserve"> </w:t>
      </w:r>
      <w:r>
        <w:rPr>
          <w:rFonts w:ascii="Times New Roman" w:eastAsia="Times New Roman" w:hAnsi="Times New Roman" w:cs="Times New Roman"/>
          <w:sz w:val="20"/>
        </w:rPr>
        <w:t>$1,330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sz w:val="20"/>
        </w:rPr>
        <w:t>$24,462</w:t>
      </w:r>
      <w:r>
        <w:rPr>
          <w:rFonts w:ascii="Times New Roman" w:eastAsia="Times New Roman" w:hAnsi="Times New Roman" w:cs="Times New Roman"/>
          <w:sz w:val="20"/>
        </w:rPr>
        <w:t>, respectively</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accretion on its </w:t>
      </w:r>
      <w:r>
        <w:rPr>
          <w:rFonts w:ascii="Times New Roman" w:eastAsia="Times New Roman" w:hAnsi="Times New Roman" w:cs="Times New Roman"/>
          <w:sz w:val="20"/>
        </w:rPr>
        <w:t>lease</w:t>
      </w:r>
      <w:r>
        <w:rPr>
          <w:rFonts w:ascii="Times New Roman" w:eastAsia="Times New Roman" w:hAnsi="Times New Roman" w:cs="Times New Roman"/>
          <w:sz w:val="20"/>
        </w:rPr>
        <w:t xml:space="preserve"> liability through rent expense in general and administrative expenses. </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has </w:t>
      </w:r>
      <w:r>
        <w:rPr>
          <w:rFonts w:ascii="Times New Roman" w:eastAsia="Times New Roman" w:hAnsi="Times New Roman" w:cs="Times New Roman"/>
          <w:sz w:val="20"/>
        </w:rPr>
        <w:t>no</w:t>
      </w:r>
      <w:r>
        <w:rPr>
          <w:rFonts w:ascii="Times New Roman" w:eastAsia="Times New Roman" w:hAnsi="Times New Roman" w:cs="Times New Roman"/>
          <w:sz w:val="20"/>
        </w:rPr>
        <w:t xml:space="preserve"> obligations under finance leases as of </w:t>
      </w:r>
      <w:r>
        <w:rPr>
          <w:rFonts w:ascii="Times New Roman" w:eastAsia="Times New Roman" w:hAnsi="Times New Roman" w:cs="Times New Roman"/>
          <w:sz w:val="20"/>
        </w:rPr>
        <w:t>December 31, 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Total operating lease expense and other short-term lease expense recorded in general and administrative expense in the accompanying consolidated statements of operations was</w:t>
      </w:r>
      <w:r>
        <w:rPr>
          <w:rFonts w:ascii="Times New Roman" w:eastAsia="Times New Roman" w:hAnsi="Times New Roman" w:cs="Times New Roman"/>
          <w:sz w:val="20"/>
        </w:rPr>
        <w:t xml:space="preserve"> </w:t>
      </w:r>
      <w:r>
        <w:rPr>
          <w:rFonts w:ascii="Times New Roman" w:eastAsia="Times New Roman" w:hAnsi="Times New Roman" w:cs="Times New Roman"/>
          <w:sz w:val="20"/>
        </w:rPr>
        <w:t>$264,048</w:t>
      </w:r>
      <w:r>
        <w:rPr>
          <w:rFonts w:ascii="Times New Roman" w:eastAsia="Times New Roman" w:hAnsi="Times New Roman" w:cs="Times New Roman"/>
          <w:sz w:val="20"/>
        </w:rPr>
        <w:t xml:space="preserve"> and </w:t>
      </w:r>
      <w:r>
        <w:rPr>
          <w:rFonts w:ascii="Times New Roman" w:eastAsia="Times New Roman" w:hAnsi="Times New Roman" w:cs="Times New Roman"/>
          <w:sz w:val="20"/>
        </w:rPr>
        <w:t>$627,101</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Cash paid for the </w:t>
      </w:r>
      <w:r>
        <w:rPr>
          <w:rFonts w:ascii="Times New Roman" w:eastAsia="Times New Roman" w:hAnsi="Times New Roman" w:cs="Times New Roman"/>
          <w:sz w:val="20"/>
        </w:rPr>
        <w:t>one</w:t>
      </w:r>
      <w:r>
        <w:rPr>
          <w:rFonts w:ascii="Times New Roman" w:eastAsia="Times New Roman" w:hAnsi="Times New Roman" w:cs="Times New Roman"/>
          <w:sz w:val="20"/>
        </w:rPr>
        <w:t xml:space="preserve"> operating lease was </w:t>
      </w:r>
      <w:r>
        <w:rPr>
          <w:rFonts w:ascii="Times New Roman" w:eastAsia="Times New Roman" w:hAnsi="Times New Roman" w:cs="Times New Roman"/>
          <w:sz w:val="20"/>
        </w:rPr>
        <w:t>$113,516</w:t>
      </w:r>
      <w:r>
        <w:rPr>
          <w:rFonts w:ascii="Times New Roman" w:eastAsia="Times New Roman" w:hAnsi="Times New Roman" w:cs="Times New Roman"/>
          <w:sz w:val="20"/>
        </w:rPr>
        <w:t xml:space="preserve"> and </w:t>
      </w:r>
      <w:r>
        <w:rPr>
          <w:rFonts w:ascii="Times New Roman" w:eastAsia="Times New Roman" w:hAnsi="Times New Roman" w:cs="Times New Roman"/>
          <w:sz w:val="20"/>
        </w:rPr>
        <w:t>$340,548</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Retirement Plans</w:t>
      </w:r>
    </w:p>
    <w:p>
      <w:pPr>
        <w:keepNext w:val="0"/>
        <w:keepLines w:val="0"/>
        <w:pageBreakBefore w:val="0"/>
        <w:widowControl/>
        <w:numPr>
          <w:ilvl w:val="0"/>
          <w:numId w:val="0"/>
        </w:numPr>
        <w:spacing w:before="0" w:after="0" w:line="288" w:lineRule="auto"/>
        <w:ind w:left="0" w:right="0" w:firstLine="54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00" w:line="288" w:lineRule="auto"/>
        <w:ind w:left="0" w:right="0" w:firstLine="54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offers a 401(k) plan to all of its eligible employees. The Company matches participant contributions in an amount equal to </w:t>
      </w:r>
      <w:r>
        <w:rPr>
          <w:rFonts w:ascii="Times New Roman" w:eastAsia="Times New Roman" w:hAnsi="Times New Roman" w:cs="Times New Roman"/>
          <w:sz w:val="20"/>
        </w:rPr>
        <w:t>50%</w:t>
      </w:r>
      <w:r>
        <w:rPr>
          <w:rFonts w:ascii="Times New Roman" w:eastAsia="Times New Roman" w:hAnsi="Times New Roman" w:cs="Times New Roman"/>
          <w:sz w:val="20"/>
        </w:rPr>
        <w:t xml:space="preserve"> of each participant’s contribution up to </w:t>
      </w:r>
      <w:r>
        <w:rPr>
          <w:rFonts w:ascii="Times New Roman" w:eastAsia="Times New Roman" w:hAnsi="Times New Roman" w:cs="Times New Roman"/>
          <w:sz w:val="20"/>
        </w:rPr>
        <w:t>8%</w:t>
      </w:r>
      <w:r>
        <w:rPr>
          <w:rFonts w:ascii="Times New Roman" w:eastAsia="Times New Roman" w:hAnsi="Times New Roman" w:cs="Times New Roman"/>
          <w:sz w:val="20"/>
        </w:rPr>
        <w:t xml:space="preserve"> of the participant’s salary. The participants become vested in </w:t>
      </w:r>
      <w:r>
        <w:rPr>
          <w:rFonts w:ascii="Times New Roman" w:eastAsia="Times New Roman" w:hAnsi="Times New Roman" w:cs="Times New Roman"/>
          <w:sz w:val="20"/>
        </w:rPr>
        <w:t>20%</w:t>
      </w:r>
      <w:r>
        <w:rPr>
          <w:rFonts w:ascii="Times New Roman" w:eastAsia="Times New Roman" w:hAnsi="Times New Roman" w:cs="Times New Roman"/>
          <w:sz w:val="20"/>
        </w:rPr>
        <w:t xml:space="preserve"> annual increments after </w:t>
      </w:r>
      <w:r>
        <w:rPr>
          <w:rFonts w:ascii="Times New Roman" w:eastAsia="Times New Roman" w:hAnsi="Times New Roman" w:cs="Times New Roman"/>
          <w:sz w:val="20"/>
        </w:rPr>
        <w:t>two</w:t>
      </w:r>
      <w:r>
        <w:rPr>
          <w:rFonts w:ascii="Times New Roman" w:eastAsia="Times New Roman" w:hAnsi="Times New Roman" w:cs="Times New Roman"/>
          <w:sz w:val="20"/>
        </w:rPr>
        <w:t xml:space="preserve"> years of service. </w:t>
      </w:r>
      <w:r>
        <w:rPr>
          <w:rFonts w:ascii="Times New Roman" w:eastAsia="Times New Roman" w:hAnsi="Times New Roman" w:cs="Times New Roman"/>
          <w:sz w:val="20"/>
        </w:rPr>
        <w:t>Total</w:t>
      </w:r>
      <w:r>
        <w:rPr>
          <w:rFonts w:ascii="Times New Roman" w:eastAsia="Times New Roman" w:hAnsi="Times New Roman" w:cs="Times New Roman"/>
          <w:sz w:val="20"/>
        </w:rPr>
        <w:t xml:space="preserve"> expense for </w:t>
      </w:r>
      <w:r>
        <w:rPr>
          <w:rFonts w:ascii="Times New Roman" w:eastAsia="Times New Roman" w:hAnsi="Times New Roman" w:cs="Times New Roman"/>
          <w:sz w:val="20"/>
        </w:rPr>
        <w:t xml:space="preserve">employer </w:t>
      </w:r>
      <w:r>
        <w:rPr>
          <w:rFonts w:ascii="Times New Roman" w:eastAsia="Times New Roman" w:hAnsi="Times New Roman" w:cs="Times New Roman"/>
          <w:sz w:val="20"/>
        </w:rPr>
        <w:t xml:space="preserve">matching </w:t>
      </w:r>
      <w:r>
        <w:rPr>
          <w:rFonts w:ascii="Times New Roman" w:eastAsia="Times New Roman" w:hAnsi="Times New Roman" w:cs="Times New Roman"/>
          <w:sz w:val="20"/>
        </w:rPr>
        <w:t>contributions</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was recorded in the Company’s consolidated statements of operations as follows: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545"/>
        <w:gridCol w:w="160"/>
        <w:gridCol w:w="985"/>
        <w:gridCol w:w="100"/>
        <w:gridCol w:w="75"/>
        <w:gridCol w:w="160"/>
        <w:gridCol w:w="113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75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71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Twelve Months Ended</w:t>
            </w:r>
          </w:p>
        </w:tc>
      </w:tr>
      <w:tr>
        <w:tblPrEx>
          <w:tblW w:w="10465" w:type="dxa"/>
          <w:jc w:val="left"/>
          <w:tblInd w:w="0" w:type="dxa"/>
          <w:tblCellMar>
            <w:left w:w="108" w:type="dxa"/>
            <w:right w:w="108" w:type="dxa"/>
          </w:tblCellMar>
        </w:tblPrEx>
        <w:trPr>
          <w:cantSplit/>
          <w:trHeight w:hRule="exact" w:val="465"/>
          <w:jc w:val="left"/>
        </w:trPr>
        <w:tc>
          <w:tcPr>
            <w:tcW w:w="75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4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December 31,</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December 31,</w:t>
            </w:r>
            <w:r>
              <w:br/>
            </w:r>
            <w:r>
              <w:rPr>
                <w:rFonts w:ascii="Times New Roman" w:eastAsia="Times New Roman" w:hAnsi="Times New Roman" w:cs="Times New Roman"/>
                <w:color w:val="000000"/>
                <w:sz w:val="20"/>
              </w:rPr>
              <w:t>2019</w:t>
            </w:r>
          </w:p>
        </w:tc>
      </w:tr>
      <w:tr>
        <w:tblPrEx>
          <w:tblW w:w="10465" w:type="dxa"/>
          <w:jc w:val="left"/>
          <w:tblInd w:w="0" w:type="dxa"/>
          <w:tblCellMar>
            <w:left w:w="108" w:type="dxa"/>
            <w:right w:w="108" w:type="dxa"/>
          </w:tblCellMar>
        </w:tblPrEx>
        <w:trPr>
          <w:cantSplit/>
          <w:trHeight w:hRule="exact" w:val="285"/>
          <w:jc w:val="left"/>
        </w:trPr>
        <w:tc>
          <w:tcPr>
            <w:tcW w:w="754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Cost of revenue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9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27,990 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45,778 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754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Sales and marketing</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57,389 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60,457 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754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General and administrative</w:t>
            </w: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65,752 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53,346 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754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Total contribution expense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151,131 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159,581 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0" w:right="0" w:firstLine="0"/>
        <w:jc w:val="left"/>
        <w:outlineLvl w:val="9"/>
        <w:rPr>
          <w:rFonts w:ascii="Times New Roman" w:eastAsia="Times New Roman" w:hAnsi="Times New Roman" w:cs="Times New Roman"/>
          <w:b/>
          <w:sz w:val="20"/>
          <w:u w:val="single"/>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Litigation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 securities class action lawsuit, </w:t>
      </w:r>
      <w:r>
        <w:rPr>
          <w:rFonts w:ascii="Times New Roman" w:eastAsia="Times New Roman" w:hAnsi="Times New Roman" w:cs="Times New Roman"/>
          <w:i/>
          <w:sz w:val="20"/>
        </w:rPr>
        <w:t>Julian Perez, individually, and on behalf of all others similarly situated v. IZEA, Inc., et al</w:t>
      </w:r>
      <w:r>
        <w:rPr>
          <w:rFonts w:ascii="Times New Roman" w:eastAsia="Times New Roman" w:hAnsi="Times New Roman" w:cs="Times New Roman"/>
          <w:sz w:val="20"/>
        </w:rPr>
        <w:t xml:space="preserve">., case number 2:18-cv-02784-SVW-GJS was instituted April 4, 2018 in the U.S. District Court for the Central District of California against the Company and certain of its executive officers on behalf of certain purchasers of its common stock. The plaintiffs sought to recover damages for investors under federal securities laws. The Company estimated and accrued a potential loss of </w:t>
      </w:r>
      <w:r>
        <w:rPr>
          <w:rFonts w:ascii="Times New Roman" w:eastAsia="Times New Roman" w:hAnsi="Times New Roman" w:cs="Times New Roman"/>
          <w:sz w:val="20"/>
        </w:rPr>
        <w:t>$500,000</w:t>
      </w:r>
      <w:r>
        <w:rPr>
          <w:rFonts w:ascii="Times New Roman" w:eastAsia="Times New Roman" w:hAnsi="Times New Roman" w:cs="Times New Roman"/>
          <w:sz w:val="20"/>
        </w:rPr>
        <w:t xml:space="preserve"> relating to its potential liability arising from the </w:t>
      </w:r>
      <w:r>
        <w:rPr>
          <w:rFonts w:ascii="Times New Roman" w:eastAsia="Times New Roman" w:hAnsi="Times New Roman" w:cs="Times New Roman"/>
          <w:i/>
          <w:sz w:val="20"/>
        </w:rPr>
        <w:t>Perez</w:t>
      </w:r>
      <w:r>
        <w:rPr>
          <w:rFonts w:ascii="Times New Roman" w:eastAsia="Times New Roman" w:hAnsi="Times New Roman" w:cs="Times New Roman"/>
          <w:sz w:val="20"/>
        </w:rPr>
        <w:t> lawsuit and accrued for such amount in its financial statements for the year ended December 31, 2018.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On April 15, 2019, a stipulation of settlement was filed in the U.S. District Court for the Central District of California that contained settlement terms as agreed upon by the parties to the </w:t>
      </w:r>
      <w:r>
        <w:rPr>
          <w:rFonts w:ascii="Times New Roman" w:eastAsia="Times New Roman" w:hAnsi="Times New Roman" w:cs="Times New Roman"/>
          <w:i/>
          <w:sz w:val="20"/>
        </w:rPr>
        <w:t>Perez</w:t>
      </w:r>
      <w:r>
        <w:rPr>
          <w:rFonts w:ascii="Times New Roman" w:eastAsia="Times New Roman" w:hAnsi="Times New Roman" w:cs="Times New Roman"/>
          <w:sz w:val="20"/>
        </w:rPr>
        <w:t> class action lawsuit described above. The motion for preliminary approval of the settlement was granted on May 7, 2019. According to the terms of the settlement, as agreed upon by the parties, the Company’s insurer deposited </w:t>
      </w:r>
      <w:r>
        <w:rPr>
          <w:rFonts w:ascii="Times New Roman" w:eastAsia="Times New Roman" w:hAnsi="Times New Roman" w:cs="Times New Roman"/>
          <w:sz w:val="20"/>
        </w:rPr>
        <w:t>$800,000</w:t>
      </w:r>
      <w:r>
        <w:rPr>
          <w:rFonts w:ascii="Times New Roman" w:eastAsia="Times New Roman" w:hAnsi="Times New Roman" w:cs="Times New Roman"/>
          <w:sz w:val="20"/>
        </w:rPr>
        <w:t> into the settlement fund and the Company paid the remainder of the Company’s previously accrued insurance deductible of </w:t>
      </w:r>
      <w:r>
        <w:rPr>
          <w:rFonts w:ascii="Times New Roman" w:eastAsia="Times New Roman" w:hAnsi="Times New Roman" w:cs="Times New Roman"/>
          <w:sz w:val="20"/>
        </w:rPr>
        <w:t>$400,000</w:t>
      </w:r>
      <w:r>
        <w:rPr>
          <w:rFonts w:ascii="Times New Roman" w:eastAsia="Times New Roman" w:hAnsi="Times New Roman" w:cs="Times New Roman"/>
          <w:sz w:val="20"/>
        </w:rPr>
        <w:t> into escrow to be used as settlement funds, inclusive of lead plaintiff awards and lead counsel fees. The U.S. District Court for the Central District of California issued an order approving the settlement of the </w:t>
      </w:r>
      <w:r>
        <w:rPr>
          <w:rFonts w:ascii="Times New Roman" w:eastAsia="Times New Roman" w:hAnsi="Times New Roman" w:cs="Times New Roman"/>
          <w:i/>
          <w:sz w:val="20"/>
        </w:rPr>
        <w:t>Perez</w:t>
      </w:r>
      <w:r>
        <w:rPr>
          <w:rFonts w:ascii="Times New Roman" w:eastAsia="Times New Roman" w:hAnsi="Times New Roman" w:cs="Times New Roman"/>
          <w:sz w:val="20"/>
        </w:rPr>
        <w:t> class action lawsuit on September 26, 2019, which required that the lawsuit be dismissed with prejudice.</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July 3, 2018, a shareholder derivative lawsuit, </w:t>
      </w:r>
      <w:r>
        <w:rPr>
          <w:rFonts w:ascii="Times New Roman" w:eastAsia="Times New Roman" w:hAnsi="Times New Roman" w:cs="Times New Roman"/>
          <w:i/>
          <w:sz w:val="20"/>
        </w:rPr>
        <w:t>Korene Stuart v. Edward H. Murphy et al.</w:t>
      </w:r>
      <w:r>
        <w:rPr>
          <w:rFonts w:ascii="Times New Roman" w:eastAsia="Times New Roman" w:hAnsi="Times New Roman" w:cs="Times New Roman"/>
          <w:sz w:val="20"/>
        </w:rPr>
        <w:t xml:space="preserve">, case number A-18-777135-C was instituted in the Eighth Judicial District Court of the State of Nevada, Clark County against certain executive officers and members of the Board of Directors for IZEA. IZEA was named as a nominal defendant. The plaintiff sought to recover damages on behalf of the Company for purported breaches of the individual defendants’ fiduciary duties as directors and/or officers of IZEA, unjust enrichment, abuse of control, gross mismanagement, and waste of corporate assets in violation of state common law.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Additionally, on October 19, 2018, a shareholder derivative lawsuit, </w:t>
      </w:r>
      <w:r>
        <w:rPr>
          <w:rFonts w:ascii="Times New Roman" w:eastAsia="Times New Roman" w:hAnsi="Times New Roman" w:cs="Times New Roman"/>
          <w:i/>
          <w:sz w:val="20"/>
        </w:rPr>
        <w:t>Dennis E. Emond v. Edward H. Murphy et al.</w:t>
      </w:r>
      <w:r>
        <w:rPr>
          <w:rFonts w:ascii="Times New Roman" w:eastAsia="Times New Roman" w:hAnsi="Times New Roman" w:cs="Times New Roman"/>
          <w:sz w:val="20"/>
        </w:rPr>
        <w:t xml:space="preserve">, case number 2:18-cv-9040, was instituted in the U.S. District Court for the Central District of California against certain executive officers and members of the Board of Directors for IZEA. IZEA was named as a nominal defendant. An amended complaint was filed on October 31, 2018. The plaintiff sought to recover damages on behalf of the Company for purported breaches of the individual defendants’ fiduciary duties as directors and/or officers of IZEA, and gross mismanagement, and under federal securities laws.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March 6, 2019, a stipulation of settlement was filed in the United States District Court for the Central District of California that contained settlement terms as agreed upon by the parties to the </w:t>
      </w:r>
      <w:r>
        <w:rPr>
          <w:rFonts w:ascii="Times New Roman" w:eastAsia="Times New Roman" w:hAnsi="Times New Roman" w:cs="Times New Roman"/>
          <w:i/>
          <w:sz w:val="20"/>
        </w:rPr>
        <w:t>Stuart</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Emond</w:t>
      </w:r>
      <w:r>
        <w:rPr>
          <w:rFonts w:ascii="Times New Roman" w:eastAsia="Times New Roman" w:hAnsi="Times New Roman" w:cs="Times New Roman"/>
          <w:sz w:val="20"/>
        </w:rPr>
        <w:t xml:space="preserve"> shareholder derivative lawsuits described above (the “Settlement”). The Settlement terms agreed upon by the parties included that IZEA would direct its insurers to make a payment of </w:t>
      </w:r>
      <w:r>
        <w:rPr>
          <w:rFonts w:ascii="Times New Roman" w:eastAsia="Times New Roman" w:hAnsi="Times New Roman" w:cs="Times New Roman"/>
          <w:sz w:val="20"/>
        </w:rPr>
        <w:t>$300,000</w:t>
      </w:r>
      <w:r>
        <w:rPr>
          <w:rFonts w:ascii="Times New Roman" w:eastAsia="Times New Roman" w:hAnsi="Times New Roman" w:cs="Times New Roman"/>
          <w:sz w:val="20"/>
        </w:rPr>
        <w:t xml:space="preserve"> as a fee and service award to the plaintiffs and their counsel in the </w:t>
      </w:r>
      <w:r>
        <w:rPr>
          <w:rFonts w:ascii="Times New Roman" w:eastAsia="Times New Roman" w:hAnsi="Times New Roman" w:cs="Times New Roman"/>
          <w:i/>
          <w:sz w:val="20"/>
        </w:rPr>
        <w:t>Stuart</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Emond</w:t>
      </w:r>
      <w:r>
        <w:rPr>
          <w:rFonts w:ascii="Times New Roman" w:eastAsia="Times New Roman" w:hAnsi="Times New Roman" w:cs="Times New Roman"/>
          <w:sz w:val="20"/>
        </w:rPr>
        <w:t xml:space="preserve"> lawsuits and further that IZEA would enact certain corporate governance reforms. The motion for preliminary approval of the Settlement was granted on August 28, 2019 by the United States District Court for the Central District of California. The U.S. District Court for the Central District of California issued an order on January 13, 2020, which required that the </w:t>
      </w:r>
      <w:r>
        <w:rPr>
          <w:rFonts w:ascii="Times New Roman" w:eastAsia="Times New Roman" w:hAnsi="Times New Roman" w:cs="Times New Roman"/>
          <w:i/>
          <w:sz w:val="20"/>
        </w:rPr>
        <w:t>Emond </w:t>
      </w:r>
      <w:r>
        <w:rPr>
          <w:rFonts w:ascii="Times New Roman" w:eastAsia="Times New Roman" w:hAnsi="Times New Roman" w:cs="Times New Roman"/>
          <w:sz w:val="20"/>
        </w:rPr>
        <w:t>lawsuit be dismissed with prejudice. According to the terms of the Settlement, as agreed upon by the parties, following the approval of the Settlement by the U. S. District Court for the Central District of California and on or before February 26, 2020, the parties were required to seek an order from the Eighth Judicial District Court of the State of Nevada dismissing the </w:t>
      </w:r>
      <w:r>
        <w:rPr>
          <w:rFonts w:ascii="Times New Roman" w:eastAsia="Times New Roman" w:hAnsi="Times New Roman" w:cs="Times New Roman"/>
          <w:i/>
          <w:sz w:val="20"/>
        </w:rPr>
        <w:t>Stuart</w:t>
      </w:r>
      <w:r>
        <w:rPr>
          <w:rFonts w:ascii="Times New Roman" w:eastAsia="Times New Roman" w:hAnsi="Times New Roman" w:cs="Times New Roman"/>
          <w:sz w:val="20"/>
        </w:rPr>
        <w:t xml:space="preserve"> lawsuit with prejudice. On or about March 6, 2020, the Eighth Judicial District Court of the State of Nevada issued an order dismissing the </w:t>
      </w:r>
      <w:r>
        <w:rPr>
          <w:rFonts w:ascii="Times New Roman" w:eastAsia="Times New Roman" w:hAnsi="Times New Roman" w:cs="Times New Roman"/>
          <w:i/>
          <w:sz w:val="20"/>
        </w:rPr>
        <w:t>Stuart</w:t>
      </w:r>
      <w:r>
        <w:rPr>
          <w:rFonts w:ascii="Times New Roman" w:eastAsia="Times New Roman" w:hAnsi="Times New Roman" w:cs="Times New Roman"/>
          <w:sz w:val="20"/>
        </w:rPr>
        <w:t xml:space="preserve"> lawsuit with prejudice.</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From time to time, the Company may become involved in various other lawsuits and legal proceedings that arise in the ordinary course of its business. Litigation is, however, subject to inherent uncertainties, and an adverse result in these or other matters may arise from time to time that may harm the Company’s business. The Company is currently not aware of any legal proceedings or claims that it believes would or could have, individually or in the aggregate, a material adverse effect on the Company. Regardless of final outcomes, however, any such proceedings or claims may nonetheless impose a significant burden on management and employees and may come with costly defense costs or unfavorable preliminary interim rulings.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s>
        <w:spacing w:before="0" w:after="0" w:line="288" w:lineRule="auto"/>
        <w:ind w:left="0" w:right="0" w:firstLine="0"/>
        <w:jc w:val="left"/>
        <w:outlineLvl w:val="3"/>
        <w:rPr>
          <w:rFonts w:ascii="Times New Roman" w:eastAsia="Times New Roman" w:hAnsi="Times New Roman" w:cs="Times New Roman"/>
          <w:b/>
          <w:sz w:val="20"/>
        </w:rPr>
      </w:pPr>
      <w:bookmarkStart w:id="37" w:name="Section38"/>
      <w:bookmarkEnd w:id="37"/>
      <w:r>
        <w:rPr>
          <w:rFonts w:ascii="Times New Roman" w:eastAsia="Times New Roman" w:hAnsi="Times New Roman" w:cs="Times New Roman"/>
          <w:b/>
          <w:sz w:val="20"/>
        </w:rPr>
        <w:t>NOTE 8.</w:t>
      </w:r>
      <w:r>
        <w:rPr>
          <w:rFonts w:ascii="Times New Roman" w:eastAsia="Times New Roman" w:hAnsi="Times New Roman" w:cs="Times New Roman"/>
          <w:b/>
          <w:sz w:val="20"/>
        </w:rPr>
        <w:tab/>
      </w:r>
      <w:r>
        <w:rPr>
          <w:rFonts w:ascii="Times New Roman" w:eastAsia="Times New Roman" w:hAnsi="Times New Roman" w:cs="Times New Roman"/>
          <w:b/>
          <w:sz w:val="20"/>
        </w:rPr>
        <w:t>STOCKHOLDERS’ EQUITY</w:t>
      </w:r>
    </w:p>
    <w:p>
      <w:pPr>
        <w:keepNext/>
        <w:keepLines/>
        <w:pageBreakBefore w:val="0"/>
        <w:widowControl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Authorized Shares</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has </w:t>
      </w:r>
      <w:r>
        <w:rPr>
          <w:rFonts w:ascii="Times New Roman" w:eastAsia="Times New Roman" w:hAnsi="Times New Roman" w:cs="Times New Roman"/>
          <w:sz w:val="20"/>
        </w:rPr>
        <w:t>200,000,000</w:t>
      </w:r>
      <w:r>
        <w:rPr>
          <w:rFonts w:ascii="Times New Roman" w:eastAsia="Times New Roman" w:hAnsi="Times New Roman" w:cs="Times New Roman"/>
          <w:sz w:val="20"/>
        </w:rPr>
        <w:t xml:space="preserve"> authorized shares of common stock and </w:t>
      </w:r>
      <w:r>
        <w:rPr>
          <w:rFonts w:ascii="Times New Roman" w:eastAsia="Times New Roman" w:hAnsi="Times New Roman" w:cs="Times New Roman"/>
          <w:sz w:val="20"/>
        </w:rPr>
        <w:t>10,000,000</w:t>
      </w:r>
      <w:r>
        <w:rPr>
          <w:rFonts w:ascii="Times New Roman" w:eastAsia="Times New Roman" w:hAnsi="Times New Roman" w:cs="Times New Roman"/>
          <w:sz w:val="20"/>
        </w:rPr>
        <w:t xml:space="preserve"> authorized shares of preferred stock, each with a par value of </w:t>
      </w:r>
      <w:r>
        <w:rPr>
          <w:rFonts w:ascii="Times New Roman" w:eastAsia="Times New Roman" w:hAnsi="Times New Roman" w:cs="Times New Roman"/>
          <w:sz w:val="20"/>
        </w:rPr>
        <w:t>$0.0001</w:t>
      </w:r>
      <w:r>
        <w:rPr>
          <w:rFonts w:ascii="Times New Roman" w:eastAsia="Times New Roman" w:hAnsi="Times New Roman" w:cs="Times New Roman"/>
          <w:sz w:val="20"/>
        </w:rPr>
        <w:t xml:space="preserve"> per share.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u w:val="single"/>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Sale of Securities</w:t>
      </w:r>
    </w:p>
    <w:p>
      <w:pPr>
        <w:keepNext w:val="0"/>
        <w:keepLines w:val="0"/>
        <w:pageBreakBefore w:val="0"/>
        <w:widowControl/>
        <w:numPr>
          <w:ilvl w:val="0"/>
          <w:numId w:val="0"/>
        </w:numPr>
        <w:spacing w:before="0" w:after="0" w:line="276" w:lineRule="auto"/>
        <w:ind w:left="0" w:right="0" w:firstLine="0"/>
        <w:jc w:val="both"/>
        <w:outlineLvl w:val="9"/>
        <w:rPr>
          <w:rFonts w:ascii="Times New Roman" w:eastAsia="Times New Roman" w:hAnsi="Times New Roman" w:cs="Times New Roman"/>
          <w:b/>
          <w:i/>
          <w:sz w:val="24"/>
        </w:rPr>
      </w:pPr>
    </w:p>
    <w:p>
      <w:pPr>
        <w:keepNext w:val="0"/>
        <w:keepLines w:val="0"/>
        <w:pageBreakBefore w:val="0"/>
        <w:widowControl/>
        <w:numPr>
          <w:ilvl w:val="0"/>
          <w:numId w:val="0"/>
        </w:numPr>
        <w:spacing w:before="0" w:after="0" w:line="276"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May 10, 2019 Public Offering</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May 10, 2019, the Company closed on its underwritten registered public offering of </w:t>
      </w:r>
      <w:r>
        <w:rPr>
          <w:rFonts w:ascii="Times New Roman" w:eastAsia="Times New Roman" w:hAnsi="Times New Roman" w:cs="Times New Roman"/>
          <w:sz w:val="20"/>
        </w:rPr>
        <w:t>14,285,714</w:t>
      </w:r>
      <w:r>
        <w:rPr>
          <w:rFonts w:ascii="Times New Roman" w:eastAsia="Times New Roman" w:hAnsi="Times New Roman" w:cs="Times New Roman"/>
          <w:sz w:val="20"/>
        </w:rPr>
        <w:t xml:space="preserve"> shares of common stock at a public offering price of </w:t>
      </w:r>
      <w:r>
        <w:rPr>
          <w:rFonts w:ascii="Times New Roman" w:eastAsia="Times New Roman" w:hAnsi="Times New Roman" w:cs="Times New Roman"/>
          <w:sz w:val="20"/>
        </w:rPr>
        <w:t>$0.70</w:t>
      </w:r>
      <w:r>
        <w:rPr>
          <w:rFonts w:ascii="Times New Roman" w:eastAsia="Times New Roman" w:hAnsi="Times New Roman" w:cs="Times New Roman"/>
          <w:sz w:val="20"/>
        </w:rPr>
        <w:t xml:space="preserve"> per share, for total gross proceeds of approximately </w:t>
      </w:r>
      <w:r>
        <w:rPr>
          <w:rFonts w:ascii="Times New Roman" w:eastAsia="Times New Roman" w:hAnsi="Times New Roman" w:cs="Times New Roman"/>
          <w:sz w:val="20"/>
        </w:rPr>
        <w:t>$10 million</w:t>
      </w:r>
      <w:r>
        <w:rPr>
          <w:rFonts w:ascii="Times New Roman" w:eastAsia="Times New Roman" w:hAnsi="Times New Roman" w:cs="Times New Roman"/>
          <w:sz w:val="20"/>
        </w:rPr>
        <w:t xml:space="preserve">. The net proceeds to the Company were approximately </w:t>
      </w:r>
      <w:r>
        <w:rPr>
          <w:rFonts w:ascii="Times New Roman" w:eastAsia="Times New Roman" w:hAnsi="Times New Roman" w:cs="Times New Roman"/>
          <w:sz w:val="20"/>
        </w:rPr>
        <w:t>$9.2 million</w:t>
      </w:r>
      <w:r>
        <w:rPr>
          <w:rFonts w:ascii="Times New Roman" w:eastAsia="Times New Roman" w:hAnsi="Times New Roman" w:cs="Times New Roman"/>
          <w:sz w:val="20"/>
        </w:rPr>
        <w:t xml:space="preserve">. Mr. Edward Murphy, the Company’s Chief Executive Officer and a Company director, and Mr. Troy J. Vanke, the Company’s former Chief Financial Officer, participated in the public offering and purchased </w:t>
      </w:r>
      <w:r>
        <w:rPr>
          <w:rFonts w:ascii="Times New Roman" w:eastAsia="Times New Roman" w:hAnsi="Times New Roman" w:cs="Times New Roman"/>
          <w:sz w:val="20"/>
        </w:rPr>
        <w:t>21,428</w:t>
      </w:r>
      <w:r>
        <w:rPr>
          <w:rFonts w:ascii="Times New Roman" w:eastAsia="Times New Roman" w:hAnsi="Times New Roman" w:cs="Times New Roman"/>
          <w:sz w:val="20"/>
        </w:rPr>
        <w:t xml:space="preserve"> and </w:t>
      </w:r>
      <w:r>
        <w:rPr>
          <w:rFonts w:ascii="Times New Roman" w:eastAsia="Times New Roman" w:hAnsi="Times New Roman" w:cs="Times New Roman"/>
          <w:sz w:val="20"/>
        </w:rPr>
        <w:t>42,857</w:t>
      </w:r>
      <w:r>
        <w:rPr>
          <w:rFonts w:ascii="Times New Roman" w:eastAsia="Times New Roman" w:hAnsi="Times New Roman" w:cs="Times New Roman"/>
          <w:sz w:val="20"/>
        </w:rPr>
        <w:t xml:space="preserve"> shares of stock, respectively.</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This offering was made pursuant to a registration statement on Form S-1 (File No. 333-230688) filed with the U.S. Securities and Exchange Commission (the “SEC”) on April 2, 2019, which became effective on May 8, 2019.</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At the Market (ATM) Offering</w:t>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On June 4, 2020, the Company entered into an ATM Sales Agreement (the “</w:t>
      </w:r>
      <w:r>
        <w:rPr>
          <w:rFonts w:ascii="Times New Roman" w:eastAsia="Times New Roman" w:hAnsi="Times New Roman" w:cs="Times New Roman"/>
          <w:sz w:val="20"/>
        </w:rPr>
        <w:t xml:space="preserve">2020 </w:t>
      </w:r>
      <w:r>
        <w:rPr>
          <w:rFonts w:ascii="Times New Roman" w:eastAsia="Times New Roman" w:hAnsi="Times New Roman" w:cs="Times New Roman"/>
          <w:sz w:val="20"/>
        </w:rPr>
        <w:t xml:space="preserve">Sales Agreement”) with National Securities Corporation, as sales agent (“National Securities”), pursuant to which the Company may offer and sell, from time to time, through National Securities, shares of the Company's common stock, by any method deemed to be an “at the market offering” (the “ATM Offering”).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June 12, 2020, the Company entered into an amendment to the </w:t>
      </w:r>
      <w:r>
        <w:rPr>
          <w:rFonts w:ascii="Times New Roman" w:eastAsia="Times New Roman" w:hAnsi="Times New Roman" w:cs="Times New Roman"/>
          <w:sz w:val="20"/>
        </w:rPr>
        <w:t xml:space="preserve">2020 </w:t>
      </w:r>
      <w:r>
        <w:rPr>
          <w:rFonts w:ascii="Times New Roman" w:eastAsia="Times New Roman" w:hAnsi="Times New Roman" w:cs="Times New Roman"/>
          <w:sz w:val="20"/>
        </w:rPr>
        <w:t xml:space="preserve">Sales Agreement to increase the amount of common stock that may be offered and sold in the ATM Offering to </w:t>
      </w:r>
      <w:r>
        <w:rPr>
          <w:rFonts w:ascii="Times New Roman" w:eastAsia="Times New Roman" w:hAnsi="Times New Roman" w:cs="Times New Roman"/>
          <w:sz w:val="20"/>
        </w:rPr>
        <w:t>$40,000,000</w:t>
      </w:r>
      <w:r>
        <w:rPr>
          <w:rFonts w:ascii="Times New Roman" w:eastAsia="Times New Roman" w:hAnsi="Times New Roman" w:cs="Times New Roman"/>
          <w:sz w:val="20"/>
        </w:rPr>
        <w:t xml:space="preserve"> in the aggregate.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the Company had sold </w:t>
      </w:r>
      <w:r>
        <w:rPr>
          <w:rFonts w:ascii="Times New Roman" w:eastAsia="Times New Roman" w:hAnsi="Times New Roman" w:cs="Times New Roman"/>
          <w:sz w:val="20"/>
        </w:rPr>
        <w:t>14,819,740</w:t>
      </w:r>
      <w:r>
        <w:rPr>
          <w:rFonts w:ascii="Times New Roman" w:eastAsia="Times New Roman" w:hAnsi="Times New Roman" w:cs="Times New Roman"/>
          <w:sz w:val="20"/>
        </w:rPr>
        <w:t xml:space="preserve"> shares at an average price of </w:t>
      </w:r>
      <w:r>
        <w:rPr>
          <w:rFonts w:ascii="Times New Roman" w:eastAsia="Times New Roman" w:hAnsi="Times New Roman" w:cs="Times New Roman"/>
          <w:sz w:val="20"/>
        </w:rPr>
        <w:t>$1.92</w:t>
      </w:r>
      <w:r>
        <w:rPr>
          <w:rFonts w:ascii="Times New Roman" w:eastAsia="Times New Roman" w:hAnsi="Times New Roman" w:cs="Times New Roman"/>
          <w:sz w:val="20"/>
        </w:rPr>
        <w:t xml:space="preserve"> per share for total gross proceeds of </w:t>
      </w:r>
      <w:r>
        <w:rPr>
          <w:rFonts w:ascii="Times New Roman" w:eastAsia="Times New Roman" w:hAnsi="Times New Roman" w:cs="Times New Roman"/>
          <w:sz w:val="20"/>
        </w:rPr>
        <w:t>$28,455,096</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76" w:lineRule="auto"/>
        <w:ind w:left="0" w:right="0" w:firstLine="0"/>
        <w:jc w:val="left"/>
        <w:outlineLvl w:val="9"/>
        <w:rPr>
          <w:rFonts w:ascii="Arial" w:eastAsia="Arial" w:hAnsi="Arial" w:cs="Arial"/>
          <w:sz w:val="24"/>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b/>
          <w:sz w:val="20"/>
          <w:u w:val="single"/>
        </w:rPr>
        <w:t>Stock Issued for Acquisitions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TapInfluence</w:t>
      </w:r>
    </w:p>
    <w:p>
      <w:pPr>
        <w:keepNext w:val="0"/>
        <w:keepLines/>
        <w:pageBreakBefore w:val="0"/>
        <w:widowControl w:val="0"/>
        <w:numPr>
          <w:ilvl w:val="0"/>
          <w:numId w:val="0"/>
        </w:numPr>
        <w:spacing w:before="120" w:after="0" w:line="288" w:lineRule="auto"/>
        <w:ind w:left="0" w:right="0" w:firstLine="720"/>
        <w:jc w:val="both"/>
        <w:outlineLvl w:val="9"/>
        <w:rPr>
          <w:rFonts w:ascii="Times New Roman" w:eastAsia="Times New Roman" w:hAnsi="Times New Roman" w:cs="Times New Roman"/>
          <w:sz w:val="20"/>
          <w:vertAlign w:val="superscript"/>
        </w:rPr>
      </w:pPr>
      <w:r>
        <w:rPr>
          <w:rFonts w:ascii="Times New Roman" w:eastAsia="Times New Roman" w:hAnsi="Times New Roman" w:cs="Times New Roman"/>
          <w:sz w:val="20"/>
        </w:rPr>
        <w:t xml:space="preserve">On July 26, 2018, </w:t>
      </w:r>
      <w:r>
        <w:rPr>
          <w:rFonts w:ascii="Times New Roman" w:eastAsia="Times New Roman" w:hAnsi="Times New Roman" w:cs="Times New Roman"/>
          <w:sz w:val="20"/>
        </w:rPr>
        <w:t>the Company</w:t>
      </w:r>
      <w:r>
        <w:rPr>
          <w:rFonts w:ascii="Times New Roman" w:eastAsia="Times New Roman" w:hAnsi="Times New Roman" w:cs="Times New Roman"/>
          <w:sz w:val="20"/>
        </w:rPr>
        <w:t xml:space="preserve"> completed its merger with TapInfluence, Inc., pursuant to the terms of the Agreement and Plan of Merger, dated as of July 11, 2018, by and among </w:t>
      </w:r>
      <w:r>
        <w:rPr>
          <w:rFonts w:ascii="Times New Roman" w:eastAsia="Times New Roman" w:hAnsi="Times New Roman" w:cs="Times New Roman"/>
          <w:sz w:val="20"/>
        </w:rPr>
        <w:t>the Company</w:t>
      </w:r>
      <w:r>
        <w:rPr>
          <w:rFonts w:ascii="Times New Roman" w:eastAsia="Times New Roman" w:hAnsi="Times New Roman" w:cs="Times New Roman"/>
          <w:sz w:val="20"/>
        </w:rPr>
        <w:t xml:space="preserve">, IZEA Merger Sub, Inc., TapInfluence, certain stockholders of TapInfluence and the stockholders’ representative, as amended by Amendment No. 1 thereto, dated as of July 20, 2018 (the “Merger Agreement”). The merger was consummated, in part, to further consolidate the influencer marketing industry for </w:t>
      </w:r>
      <w:r>
        <w:rPr>
          <w:rFonts w:ascii="Times New Roman" w:eastAsia="Times New Roman" w:hAnsi="Times New Roman" w:cs="Times New Roman"/>
          <w:sz w:val="20"/>
        </w:rPr>
        <w:t>the Company</w:t>
      </w:r>
      <w:r>
        <w:rPr>
          <w:rFonts w:ascii="Times New Roman" w:eastAsia="Times New Roman" w:hAnsi="Times New Roman" w:cs="Times New Roman"/>
          <w:sz w:val="20"/>
        </w:rPr>
        <w:t xml:space="preserve">, and for </w:t>
      </w:r>
      <w:r>
        <w:rPr>
          <w:rFonts w:ascii="Times New Roman" w:eastAsia="Times New Roman" w:hAnsi="Times New Roman" w:cs="Times New Roman"/>
          <w:sz w:val="20"/>
        </w:rPr>
        <w:t>the Company</w:t>
      </w:r>
      <w:r>
        <w:rPr>
          <w:rFonts w:ascii="Times New Roman" w:eastAsia="Times New Roman" w:hAnsi="Times New Roman" w:cs="Times New Roman"/>
          <w:sz w:val="20"/>
        </w:rPr>
        <w:t xml:space="preserve"> to obtain benefits from the acquisition of the TapInfluence technology platform and existing customer base, particularly from TapInfluence’s self-service customers.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aggregate consideration paid at closing for the acquisition of TapInfluence consisted of a cash payment of </w:t>
      </w:r>
      <w:r>
        <w:rPr>
          <w:rFonts w:ascii="Times New Roman" w:eastAsia="Times New Roman" w:hAnsi="Times New Roman" w:cs="Times New Roman"/>
          <w:sz w:val="20"/>
        </w:rPr>
        <w:t>$1,500,000</w:t>
      </w:r>
      <w:r>
        <w:rPr>
          <w:rFonts w:ascii="Times New Roman" w:eastAsia="Times New Roman" w:hAnsi="Times New Roman" w:cs="Times New Roman"/>
          <w:sz w:val="20"/>
        </w:rPr>
        <w:t xml:space="preserve"> and the issuance of </w:t>
      </w:r>
      <w:r>
        <w:rPr>
          <w:rFonts w:ascii="Times New Roman" w:eastAsia="Times New Roman" w:hAnsi="Times New Roman" w:cs="Times New Roman"/>
          <w:sz w:val="20"/>
        </w:rPr>
        <w:t>1,150,000</w:t>
      </w:r>
      <w:r>
        <w:rPr>
          <w:rFonts w:ascii="Times New Roman" w:eastAsia="Times New Roman" w:hAnsi="Times New Roman" w:cs="Times New Roman"/>
          <w:sz w:val="20"/>
        </w:rPr>
        <w:t xml:space="preserve"> shares of </w:t>
      </w:r>
      <w:r>
        <w:rPr>
          <w:rFonts w:ascii="Times New Roman" w:eastAsia="Times New Roman" w:hAnsi="Times New Roman" w:cs="Times New Roman"/>
          <w:sz w:val="20"/>
        </w:rPr>
        <w:t>the Company</w:t>
      </w:r>
      <w:r>
        <w:rPr>
          <w:rFonts w:ascii="Times New Roman" w:eastAsia="Times New Roman" w:hAnsi="Times New Roman" w:cs="Times New Roman"/>
          <w:sz w:val="20"/>
        </w:rPr>
        <w:t>’</w:t>
      </w:r>
      <w:r>
        <w:rPr>
          <w:rFonts w:ascii="Times New Roman" w:eastAsia="Times New Roman" w:hAnsi="Times New Roman" w:cs="Times New Roman"/>
          <w:sz w:val="20"/>
        </w:rPr>
        <w:t>s</w:t>
      </w:r>
      <w:r>
        <w:rPr>
          <w:rFonts w:ascii="Times New Roman" w:eastAsia="Times New Roman" w:hAnsi="Times New Roman" w:cs="Times New Roman"/>
          <w:sz w:val="20"/>
        </w:rPr>
        <w:t xml:space="preserve"> common stock valued at </w:t>
      </w:r>
      <w:r>
        <w:rPr>
          <w:rFonts w:ascii="Times New Roman" w:eastAsia="Times New Roman" w:hAnsi="Times New Roman" w:cs="Times New Roman"/>
          <w:sz w:val="20"/>
        </w:rPr>
        <w:t>$1,759,500</w:t>
      </w:r>
      <w:r>
        <w:rPr>
          <w:rFonts w:ascii="Times New Roman" w:eastAsia="Times New Roman" w:hAnsi="Times New Roman" w:cs="Times New Roman"/>
          <w:sz w:val="20"/>
        </w:rPr>
        <w:t xml:space="preserve">, or </w:t>
      </w:r>
      <w:r>
        <w:rPr>
          <w:rFonts w:ascii="Times New Roman" w:eastAsia="Times New Roman" w:hAnsi="Times New Roman" w:cs="Times New Roman"/>
          <w:sz w:val="20"/>
        </w:rPr>
        <w:t>$1.53</w:t>
      </w:r>
      <w:r>
        <w:rPr>
          <w:rFonts w:ascii="Times New Roman" w:eastAsia="Times New Roman" w:hAnsi="Times New Roman" w:cs="Times New Roman"/>
          <w:sz w:val="20"/>
        </w:rPr>
        <w:t xml:space="preserve"> per share</w:t>
      </w:r>
      <w:r>
        <w:rPr>
          <w:rFonts w:ascii="Times New Roman" w:eastAsia="Times New Roman" w:hAnsi="Times New Roman" w:cs="Times New Roman"/>
          <w:sz w:val="20"/>
        </w:rPr>
        <w:t xml:space="preserve">. </w:t>
      </w:r>
      <w:r>
        <w:rPr>
          <w:rFonts w:ascii="Times New Roman" w:eastAsia="Times New Roman" w:hAnsi="Times New Roman" w:cs="Times New Roman"/>
          <w:sz w:val="20"/>
        </w:rPr>
        <w:t>Aggregate post-acquisition date consideration consist</w:t>
      </w:r>
      <w:r>
        <w:rPr>
          <w:rFonts w:ascii="Times New Roman" w:eastAsia="Times New Roman" w:hAnsi="Times New Roman" w:cs="Times New Roman"/>
          <w:sz w:val="20"/>
        </w:rPr>
        <w:t>ed</w:t>
      </w:r>
      <w:r>
        <w:rPr>
          <w:rFonts w:ascii="Times New Roman" w:eastAsia="Times New Roman" w:hAnsi="Times New Roman" w:cs="Times New Roman"/>
          <w:sz w:val="20"/>
        </w:rPr>
        <w:t xml:space="preserve"> of additional payments totaling </w:t>
      </w:r>
      <w:r>
        <w:rPr>
          <w:rFonts w:ascii="Times New Roman" w:eastAsia="Times New Roman" w:hAnsi="Times New Roman" w:cs="Times New Roman"/>
          <w:sz w:val="20"/>
        </w:rPr>
        <w:t>$4,500,000</w:t>
      </w:r>
      <w:r>
        <w:rPr>
          <w:rFonts w:ascii="Times New Roman" w:eastAsia="Times New Roman" w:hAnsi="Times New Roman" w:cs="Times New Roman"/>
          <w:sz w:val="20"/>
        </w:rPr>
        <w:t xml:space="preserve">, less </w:t>
      </w:r>
      <w:r>
        <w:rPr>
          <w:rFonts w:ascii="Times New Roman" w:eastAsia="Times New Roman" w:hAnsi="Times New Roman" w:cs="Times New Roman"/>
          <w:sz w:val="20"/>
        </w:rPr>
        <w:t>$115,417</w:t>
      </w:r>
      <w:r>
        <w:rPr>
          <w:rFonts w:ascii="Times New Roman" w:eastAsia="Times New Roman" w:hAnsi="Times New Roman" w:cs="Times New Roman"/>
          <w:sz w:val="20"/>
        </w:rPr>
        <w:t xml:space="preserve"> </w:t>
      </w:r>
      <w:r>
        <w:rPr>
          <w:rFonts w:ascii="Times New Roman" w:eastAsia="Times New Roman" w:hAnsi="Times New Roman" w:cs="Times New Roman"/>
          <w:sz w:val="20"/>
        </w:rPr>
        <w:t>related to the final working capital adjustment calculation.</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January 26, 2019, pursuant to </w:t>
      </w:r>
      <w:r>
        <w:rPr>
          <w:rFonts w:ascii="Times New Roman" w:eastAsia="Times New Roman" w:hAnsi="Times New Roman" w:cs="Times New Roman"/>
          <w:sz w:val="20"/>
        </w:rPr>
        <w:t>the</w:t>
      </w:r>
      <w:r>
        <w:rPr>
          <w:rFonts w:ascii="Times New Roman" w:eastAsia="Times New Roman" w:hAnsi="Times New Roman" w:cs="Times New Roman"/>
          <w:sz w:val="20"/>
        </w:rPr>
        <w:t xml:space="preserve"> Merger Agreement</w:t>
      </w:r>
      <w:r>
        <w:rPr>
          <w:rFonts w:ascii="Times New Roman" w:eastAsia="Times New Roman" w:hAnsi="Times New Roman" w:cs="Times New Roman"/>
          <w:sz w:val="20"/>
        </w:rPr>
        <w:t xml:space="preserve">, the Company issued </w:t>
      </w:r>
      <w:r>
        <w:rPr>
          <w:rFonts w:ascii="Times New Roman" w:eastAsia="Times New Roman" w:hAnsi="Times New Roman" w:cs="Times New Roman"/>
          <w:sz w:val="20"/>
        </w:rPr>
        <w:t>660,136</w:t>
      </w:r>
      <w:r>
        <w:rPr>
          <w:rFonts w:ascii="Times New Roman" w:eastAsia="Times New Roman" w:hAnsi="Times New Roman" w:cs="Times New Roman"/>
          <w:sz w:val="20"/>
        </w:rPr>
        <w:t xml:space="preserve"> shares of its common stock valued at </w:t>
      </w:r>
      <w:r>
        <w:rPr>
          <w:rFonts w:ascii="Times New Roman" w:eastAsia="Times New Roman" w:hAnsi="Times New Roman" w:cs="Times New Roman"/>
          <w:sz w:val="20"/>
        </w:rPr>
        <w:t>$884,583</w:t>
      </w:r>
      <w:r>
        <w:rPr>
          <w:rFonts w:ascii="Times New Roman" w:eastAsia="Times New Roman" w:hAnsi="Times New Roman" w:cs="Times New Roman"/>
          <w:sz w:val="20"/>
        </w:rPr>
        <w:t xml:space="preserve">, or </w:t>
      </w:r>
      <w:r>
        <w:rPr>
          <w:rFonts w:ascii="Times New Roman" w:eastAsia="Times New Roman" w:hAnsi="Times New Roman" w:cs="Times New Roman"/>
          <w:sz w:val="20"/>
        </w:rPr>
        <w:t>$1.34</w:t>
      </w:r>
      <w:r>
        <w:rPr>
          <w:rFonts w:ascii="Times New Roman" w:eastAsia="Times New Roman" w:hAnsi="Times New Roman" w:cs="Times New Roman"/>
          <w:sz w:val="20"/>
        </w:rPr>
        <w:t xml:space="preserve"> per share, using the 30-day Volume Weighted Average Price (“VWAP”) as reported by the Nasdaq Capital Market (“Nasdaq”) prior to the issuance date, to settle amounts due under its acquisition cost payable. The Company recorded a </w:t>
      </w:r>
      <w:r>
        <w:rPr>
          <w:rFonts w:ascii="Times New Roman" w:eastAsia="Times New Roman" w:hAnsi="Times New Roman" w:cs="Times New Roman"/>
          <w:sz w:val="20"/>
        </w:rPr>
        <w:t>$191,439</w:t>
      </w:r>
      <w:r>
        <w:rPr>
          <w:rFonts w:ascii="Times New Roman" w:eastAsia="Times New Roman" w:hAnsi="Times New Roman" w:cs="Times New Roman"/>
          <w:sz w:val="20"/>
        </w:rPr>
        <w:t xml:space="preserve"> loss on the settlement of this acquisition cost payable as a result of the difference between the actual closing market price of the common stock of </w:t>
      </w:r>
      <w:r>
        <w:rPr>
          <w:rFonts w:ascii="Times New Roman" w:eastAsia="Times New Roman" w:hAnsi="Times New Roman" w:cs="Times New Roman"/>
          <w:sz w:val="20"/>
        </w:rPr>
        <w:t>$1.63</w:t>
      </w:r>
      <w:r>
        <w:rPr>
          <w:rFonts w:ascii="Times New Roman" w:eastAsia="Times New Roman" w:hAnsi="Times New Roman" w:cs="Times New Roman"/>
          <w:sz w:val="20"/>
        </w:rPr>
        <w:t xml:space="preserve"> on the settlement date and the 30-day VWAP of </w:t>
      </w:r>
      <w:r>
        <w:rPr>
          <w:rFonts w:ascii="Times New Roman" w:eastAsia="Times New Roman" w:hAnsi="Times New Roman" w:cs="Times New Roman"/>
          <w:sz w:val="20"/>
        </w:rPr>
        <w:t>$1.34</w:t>
      </w:r>
      <w:r>
        <w:rPr>
          <w:rFonts w:ascii="Times New Roman" w:eastAsia="Times New Roman" w:hAnsi="Times New Roman" w:cs="Times New Roman"/>
          <w:sz w:val="20"/>
        </w:rPr>
        <w:t xml:space="preserve"> required by the Merger Agreement.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July 26, 2019, pursuant to the terms of the Merger Agreement with TapInfluence, the Company issued </w:t>
      </w:r>
      <w:r>
        <w:rPr>
          <w:rFonts w:ascii="Times New Roman" w:eastAsia="Times New Roman" w:hAnsi="Times New Roman" w:cs="Times New Roman"/>
          <w:sz w:val="20"/>
        </w:rPr>
        <w:t>6,908,251</w:t>
      </w:r>
      <w:r>
        <w:rPr>
          <w:rFonts w:ascii="Times New Roman" w:eastAsia="Times New Roman" w:hAnsi="Times New Roman" w:cs="Times New Roman"/>
          <w:sz w:val="20"/>
        </w:rPr>
        <w:t xml:space="preserve"> shares of its common stock valued at </w:t>
      </w:r>
      <w:r>
        <w:rPr>
          <w:rFonts w:ascii="Times New Roman" w:eastAsia="Times New Roman" w:hAnsi="Times New Roman" w:cs="Times New Roman"/>
          <w:sz w:val="20"/>
        </w:rPr>
        <w:t>$3,500,000</w:t>
      </w:r>
      <w:r>
        <w:rPr>
          <w:rFonts w:ascii="Times New Roman" w:eastAsia="Times New Roman" w:hAnsi="Times New Roman" w:cs="Times New Roman"/>
          <w:sz w:val="20"/>
        </w:rPr>
        <w:t xml:space="preserve">, or </w:t>
      </w:r>
      <w:r>
        <w:rPr>
          <w:rFonts w:ascii="Times New Roman" w:eastAsia="Times New Roman" w:hAnsi="Times New Roman" w:cs="Times New Roman"/>
          <w:sz w:val="20"/>
        </w:rPr>
        <w:t>$0.50664</w:t>
      </w:r>
      <w:r>
        <w:rPr>
          <w:rFonts w:ascii="Times New Roman" w:eastAsia="Times New Roman" w:hAnsi="Times New Roman" w:cs="Times New Roman"/>
          <w:sz w:val="20"/>
        </w:rPr>
        <w:t xml:space="preserve"> per share, using the 30-day VWAP as reported by Nasdaq prior to the issuance date</w:t>
      </w:r>
      <w:r>
        <w:rPr>
          <w:rFonts w:ascii="Times New Roman" w:eastAsia="Times New Roman" w:hAnsi="Times New Roman" w:cs="Times New Roman"/>
          <w:sz w:val="20"/>
        </w:rPr>
        <w:t>, to settle amounts due under its acquisition cost payable</w:t>
      </w:r>
      <w:r>
        <w:rPr>
          <w:rFonts w:ascii="Times New Roman" w:eastAsia="Times New Roman" w:hAnsi="Times New Roman" w:cs="Times New Roman"/>
          <w:sz w:val="20"/>
        </w:rPr>
        <w:t xml:space="preserve">. The Company recognized a gain of </w:t>
      </w:r>
      <w:r>
        <w:rPr>
          <w:rFonts w:ascii="Times New Roman" w:eastAsia="Times New Roman" w:hAnsi="Times New Roman" w:cs="Times New Roman"/>
          <w:sz w:val="20"/>
        </w:rPr>
        <w:t>$752,591</w:t>
      </w:r>
      <w:r>
        <w:rPr>
          <w:rFonts w:ascii="Times New Roman" w:eastAsia="Times New Roman" w:hAnsi="Times New Roman" w:cs="Times New Roman"/>
          <w:sz w:val="20"/>
        </w:rPr>
        <w:t xml:space="preserve"> on the settlement of this acquisition cost payable as a result of the difference between the actual closing market price of the common stock of </w:t>
      </w:r>
      <w:r>
        <w:rPr>
          <w:rFonts w:ascii="Times New Roman" w:eastAsia="Times New Roman" w:hAnsi="Times New Roman" w:cs="Times New Roman"/>
          <w:sz w:val="20"/>
        </w:rPr>
        <w:t>$0.3977</w:t>
      </w:r>
      <w:r>
        <w:rPr>
          <w:rFonts w:ascii="Times New Roman" w:eastAsia="Times New Roman" w:hAnsi="Times New Roman" w:cs="Times New Roman"/>
          <w:sz w:val="20"/>
        </w:rPr>
        <w:t xml:space="preserve"> on the settlement date and the 30-day VWAP of </w:t>
      </w:r>
      <w:r>
        <w:rPr>
          <w:rFonts w:ascii="Times New Roman" w:eastAsia="Times New Roman" w:hAnsi="Times New Roman" w:cs="Times New Roman"/>
          <w:sz w:val="20"/>
        </w:rPr>
        <w:t>$0.50664</w:t>
      </w:r>
      <w:r>
        <w:rPr>
          <w:rFonts w:ascii="Times New Roman" w:eastAsia="Times New Roman" w:hAnsi="Times New Roman" w:cs="Times New Roman"/>
          <w:sz w:val="20"/>
        </w:rPr>
        <w:t xml:space="preserve"> </w:t>
      </w:r>
      <w:r>
        <w:rPr>
          <w:rFonts w:ascii="Times New Roman" w:eastAsia="Times New Roman" w:hAnsi="Times New Roman" w:cs="Times New Roman"/>
          <w:sz w:val="20"/>
        </w:rPr>
        <w:t>required by the Merger Agreement</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ZenContent</w:t>
      </w: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On July 31, 2016, </w:t>
      </w:r>
      <w:r>
        <w:rPr>
          <w:rFonts w:ascii="Times New Roman" w:eastAsia="Times New Roman" w:hAnsi="Times New Roman" w:cs="Times New Roman"/>
          <w:sz w:val="20"/>
        </w:rPr>
        <w:t xml:space="preserve">the Company purchased all of the outstanding shares of capital stock of ZenContent pursuant to the terms of a Stock Purchase Agreement, by and among IZEA, ZenContent and the stockholders of ZenContent (the “ZenContent Stock Purchase Agreement”) for a maximum purchase price to be paid over </w:t>
      </w:r>
      <w:r>
        <w:rPr>
          <w:rFonts w:ascii="Times New Roman" w:eastAsia="Times New Roman" w:hAnsi="Times New Roman" w:cs="Times New Roman"/>
          <w:sz w:val="20"/>
        </w:rPr>
        <w:t>three</w:t>
      </w:r>
      <w:r>
        <w:rPr>
          <w:rFonts w:ascii="Times New Roman" w:eastAsia="Times New Roman" w:hAnsi="Times New Roman" w:cs="Times New Roman"/>
          <w:sz w:val="20"/>
        </w:rPr>
        <w:t xml:space="preserve"> years of </w:t>
      </w:r>
      <w:r>
        <w:rPr>
          <w:rFonts w:ascii="Times New Roman" w:eastAsia="Times New Roman" w:hAnsi="Times New Roman" w:cs="Times New Roman"/>
          <w:sz w:val="20"/>
        </w:rPr>
        <w:t>$4,500,000</w:t>
      </w:r>
      <w:r>
        <w:rPr>
          <w:rFonts w:ascii="Times New Roman" w:eastAsia="Times New Roman" w:hAnsi="Times New Roman" w:cs="Times New Roman"/>
          <w:sz w:val="20"/>
        </w:rPr>
        <w:t xml:space="preserve">. Upon closing, the Company paid a cash payment of </w:t>
      </w:r>
      <w:r>
        <w:rPr>
          <w:rFonts w:ascii="Times New Roman" w:eastAsia="Times New Roman" w:hAnsi="Times New Roman" w:cs="Times New Roman"/>
          <w:sz w:val="20"/>
        </w:rPr>
        <w:t>$400,000</w:t>
      </w:r>
      <w:r>
        <w:rPr>
          <w:rFonts w:ascii="Times New Roman" w:eastAsia="Times New Roman" w:hAnsi="Times New Roman" w:cs="Times New Roman"/>
          <w:sz w:val="20"/>
        </w:rPr>
        <w:t xml:space="preserve"> and issued </w:t>
      </w:r>
      <w:r>
        <w:rPr>
          <w:rFonts w:ascii="Times New Roman" w:eastAsia="Times New Roman" w:hAnsi="Times New Roman" w:cs="Times New Roman"/>
          <w:sz w:val="20"/>
        </w:rPr>
        <w:t>86,207</w:t>
      </w:r>
      <w:r>
        <w:rPr>
          <w:rFonts w:ascii="Times New Roman" w:eastAsia="Times New Roman" w:hAnsi="Times New Roman" w:cs="Times New Roman"/>
          <w:sz w:val="20"/>
        </w:rPr>
        <w:t xml:space="preserve"> shares of the Company’s common stock valued at </w:t>
      </w:r>
      <w:r>
        <w:rPr>
          <w:rFonts w:ascii="Times New Roman" w:eastAsia="Times New Roman" w:hAnsi="Times New Roman" w:cs="Times New Roman"/>
          <w:sz w:val="20"/>
        </w:rPr>
        <w:t>$600,000</w:t>
      </w:r>
      <w:r>
        <w:rPr>
          <w:rFonts w:ascii="Times New Roman" w:eastAsia="Times New Roman" w:hAnsi="Times New Roman" w:cs="Times New Roman"/>
          <w:sz w:val="20"/>
        </w:rPr>
        <w:t>. The ZenContent Stock Purchase Agreement also required (i)</w:t>
      </w:r>
      <w:r>
        <w:rPr>
          <w:rFonts w:ascii="Times New Roman" w:eastAsia="Times New Roman" w:hAnsi="Times New Roman" w:cs="Times New Roman"/>
          <w:sz w:val="20"/>
        </w:rPr>
        <w:t xml:space="preserve"> three</w:t>
      </w:r>
      <w:r>
        <w:rPr>
          <w:rFonts w:ascii="Times New Roman" w:eastAsia="Times New Roman" w:hAnsi="Times New Roman" w:cs="Times New Roman"/>
          <w:sz w:val="20"/>
        </w:rPr>
        <w:t xml:space="preserve"> equal annual installment payments totaling </w:t>
      </w:r>
      <w:r>
        <w:rPr>
          <w:rFonts w:ascii="Times New Roman" w:eastAsia="Times New Roman" w:hAnsi="Times New Roman" w:cs="Times New Roman"/>
          <w:sz w:val="20"/>
        </w:rPr>
        <w:t>$1,000,000</w:t>
      </w:r>
      <w:r>
        <w:rPr>
          <w:rFonts w:ascii="Times New Roman" w:eastAsia="Times New Roman" w:hAnsi="Times New Roman" w:cs="Times New Roman"/>
          <w:sz w:val="20"/>
        </w:rPr>
        <w:t xml:space="preserve">, subject to a working capital adjustment, commencing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following the closing and (ii) contingent performance payments of up to an aggregate of </w:t>
      </w:r>
      <w:r>
        <w:rPr>
          <w:rFonts w:ascii="Times New Roman" w:eastAsia="Times New Roman" w:hAnsi="Times New Roman" w:cs="Times New Roman"/>
          <w:sz w:val="20"/>
        </w:rPr>
        <w:t>$2,500,000</w:t>
      </w:r>
      <w:r>
        <w:rPr>
          <w:rFonts w:ascii="Times New Roman" w:eastAsia="Times New Roman" w:hAnsi="Times New Roman" w:cs="Times New Roman"/>
          <w:sz w:val="20"/>
        </w:rPr>
        <w:t xml:space="preserve"> over the three consecutive 12-month periods following the closing, based upon ZenContent achieving certain minimum revenue thresholds</w:t>
      </w:r>
      <w:r>
        <w:rPr>
          <w:rFonts w:ascii="Times New Roman" w:eastAsia="Times New Roman" w:hAnsi="Times New Roman" w:cs="Times New Roman"/>
          <w:sz w:val="20"/>
        </w:rPr>
        <w:t xml:space="preserve">. Of these payments, </w:t>
      </w:r>
      <w:r>
        <w:rPr>
          <w:rFonts w:ascii="Times New Roman" w:eastAsia="Times New Roman" w:hAnsi="Times New Roman" w:cs="Times New Roman"/>
          <w:sz w:val="20"/>
        </w:rPr>
        <w:t>33%</w:t>
      </w:r>
      <w:r>
        <w:rPr>
          <w:rFonts w:ascii="Times New Roman" w:eastAsia="Times New Roman" w:hAnsi="Times New Roman" w:cs="Times New Roman"/>
          <w:sz w:val="20"/>
        </w:rPr>
        <w:t xml:space="preserve"> of each such annual installment or contingent performance payment were to be in the form of cash and the remainder of such payment was to be in the form of either cash or additional shares of the Company’s common stock (determined at the Company’s option). </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July 31, 2019, the Company made the third and final annual installment payment under the ZenContent Stock Purchase Agreement, comprised of </w:t>
      </w:r>
      <w:r>
        <w:rPr>
          <w:rFonts w:ascii="Times New Roman" w:eastAsia="Times New Roman" w:hAnsi="Times New Roman" w:cs="Times New Roman"/>
          <w:sz w:val="20"/>
        </w:rPr>
        <w:t>$111,111</w:t>
      </w:r>
      <w:r>
        <w:rPr>
          <w:rFonts w:ascii="Times New Roman" w:eastAsia="Times New Roman" w:hAnsi="Times New Roman" w:cs="Times New Roman"/>
          <w:sz w:val="20"/>
        </w:rPr>
        <w:t xml:space="preserve"> in cash and </w:t>
      </w:r>
      <w:r>
        <w:rPr>
          <w:rFonts w:ascii="Times New Roman" w:eastAsia="Times New Roman" w:hAnsi="Times New Roman" w:cs="Times New Roman"/>
          <w:sz w:val="20"/>
        </w:rPr>
        <w:t>447,489</w:t>
      </w:r>
      <w:r>
        <w:rPr>
          <w:rFonts w:ascii="Times New Roman" w:eastAsia="Times New Roman" w:hAnsi="Times New Roman" w:cs="Times New Roman"/>
          <w:sz w:val="20"/>
        </w:rPr>
        <w:t xml:space="preserve"> shares of its common stock valued at </w:t>
      </w:r>
      <w:r>
        <w:rPr>
          <w:rFonts w:ascii="Times New Roman" w:eastAsia="Times New Roman" w:hAnsi="Times New Roman" w:cs="Times New Roman"/>
          <w:sz w:val="20"/>
        </w:rPr>
        <w:t>$222,223</w:t>
      </w:r>
      <w:r>
        <w:rPr>
          <w:rFonts w:ascii="Times New Roman" w:eastAsia="Times New Roman" w:hAnsi="Times New Roman" w:cs="Times New Roman"/>
          <w:sz w:val="20"/>
        </w:rPr>
        <w:t xml:space="preserve"> or </w:t>
      </w:r>
      <w:r>
        <w:rPr>
          <w:rFonts w:ascii="Times New Roman" w:eastAsia="Times New Roman" w:hAnsi="Times New Roman" w:cs="Times New Roman"/>
          <w:sz w:val="20"/>
        </w:rPr>
        <w:t>$0.4966</w:t>
      </w:r>
      <w:r>
        <w:rPr>
          <w:rFonts w:ascii="Times New Roman" w:eastAsia="Times New Roman" w:hAnsi="Times New Roman" w:cs="Times New Roman"/>
          <w:sz w:val="20"/>
        </w:rPr>
        <w:t xml:space="preserve"> per share, using the 30-day VWAP as reported by Nasdaq prior to the issuance date. The Company recognized a gain of </w:t>
      </w:r>
      <w:r>
        <w:rPr>
          <w:rFonts w:ascii="Times New Roman" w:eastAsia="Times New Roman" w:hAnsi="Times New Roman" w:cs="Times New Roman"/>
          <w:sz w:val="20"/>
        </w:rPr>
        <w:t>$41,258</w:t>
      </w:r>
      <w:r>
        <w:rPr>
          <w:rFonts w:ascii="Times New Roman" w:eastAsia="Times New Roman" w:hAnsi="Times New Roman" w:cs="Times New Roman"/>
          <w:sz w:val="20"/>
        </w:rPr>
        <w:t xml:space="preserve"> on the settlement of this acquisition cost payable as a result of the difference between the actual closing market price of the common stock of </w:t>
      </w:r>
      <w:r>
        <w:rPr>
          <w:rFonts w:ascii="Times New Roman" w:eastAsia="Times New Roman" w:hAnsi="Times New Roman" w:cs="Times New Roman"/>
          <w:sz w:val="20"/>
        </w:rPr>
        <w:t>$0.4044</w:t>
      </w:r>
      <w:r>
        <w:rPr>
          <w:rFonts w:ascii="Times New Roman" w:eastAsia="Times New Roman" w:hAnsi="Times New Roman" w:cs="Times New Roman"/>
          <w:sz w:val="20"/>
        </w:rPr>
        <w:t xml:space="preserve"> on the settlement date and the 30-day VWAP of </w:t>
      </w:r>
      <w:r>
        <w:rPr>
          <w:rFonts w:ascii="Times New Roman" w:eastAsia="Times New Roman" w:hAnsi="Times New Roman" w:cs="Times New Roman"/>
          <w:sz w:val="20"/>
        </w:rPr>
        <w:t>$0.4966</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required by the </w:t>
      </w:r>
      <w:r>
        <w:rPr>
          <w:rFonts w:ascii="Times New Roman" w:eastAsia="Times New Roman" w:hAnsi="Times New Roman" w:cs="Times New Roman"/>
          <w:sz w:val="20"/>
        </w:rPr>
        <w:t>ZenContent Stock Purchase</w:t>
      </w:r>
      <w:r>
        <w:rPr>
          <w:rFonts w:ascii="Times New Roman" w:eastAsia="Times New Roman" w:hAnsi="Times New Roman" w:cs="Times New Roman"/>
          <w:sz w:val="20"/>
        </w:rPr>
        <w:t xml:space="preserve"> Agreement</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Equity Incentive Plans</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In May 2011, the Company’s Board of Directors (the “Board”) adopted the 2011 Equity Incentive Plan of IZEA Worldwide, Inc. (</w:t>
      </w:r>
      <w:r>
        <w:rPr>
          <w:rFonts w:ascii="Times New Roman" w:eastAsia="Times New Roman" w:hAnsi="Times New Roman" w:cs="Times New Roman"/>
          <w:sz w:val="20"/>
        </w:rPr>
        <w:t xml:space="preserve">as amended, </w:t>
      </w:r>
      <w:r>
        <w:rPr>
          <w:rFonts w:ascii="Times New Roman" w:eastAsia="Times New Roman" w:hAnsi="Times New Roman" w:cs="Times New Roman"/>
          <w:sz w:val="20"/>
        </w:rPr>
        <w:t>the “May 2011 Plan”).</w:t>
      </w:r>
      <w:r>
        <w:rPr>
          <w:rFonts w:ascii="Times New Roman" w:eastAsia="Times New Roman" w:hAnsi="Times New Roman" w:cs="Times New Roman"/>
          <w:sz w:val="20"/>
        </w:rPr>
        <w:t xml:space="preserve"> The </w:t>
      </w:r>
      <w:r>
        <w:rPr>
          <w:rFonts w:ascii="Times New Roman" w:eastAsia="Times New Roman" w:hAnsi="Times New Roman" w:cs="Times New Roman"/>
          <w:sz w:val="20"/>
        </w:rPr>
        <w:t>stockholders approved an amendment and restatement of the</w:t>
      </w:r>
      <w:r>
        <w:rPr>
          <w:rFonts w:ascii="Times New Roman" w:eastAsia="Times New Roman" w:hAnsi="Times New Roman" w:cs="Times New Roman"/>
          <w:sz w:val="20"/>
        </w:rPr>
        <w:t xml:space="preserve"> Company</w:t>
      </w:r>
      <w:r>
        <w:rPr>
          <w:rFonts w:ascii="Times New Roman" w:eastAsia="Times New Roman" w:hAnsi="Times New Roman" w:cs="Times New Roman"/>
          <w:sz w:val="20"/>
        </w:rPr>
        <w:t>’</w:t>
      </w:r>
      <w:r>
        <w:rPr>
          <w:rFonts w:ascii="Times New Roman" w:eastAsia="Times New Roman" w:hAnsi="Times New Roman" w:cs="Times New Roman"/>
          <w:sz w:val="20"/>
        </w:rPr>
        <w:t>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May 2011 Plan </w:t>
      </w:r>
      <w:r>
        <w:rPr>
          <w:rFonts w:ascii="Times New Roman" w:eastAsia="Times New Roman" w:hAnsi="Times New Roman" w:cs="Times New Roman"/>
          <w:sz w:val="20"/>
        </w:rPr>
        <w:t>at its 2020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Annual Meeting of Stockholders held on </w:t>
      </w:r>
      <w:r>
        <w:rPr>
          <w:rFonts w:ascii="Times New Roman" w:eastAsia="Times New Roman" w:hAnsi="Times New Roman" w:cs="Times New Roman"/>
          <w:sz w:val="20"/>
        </w:rPr>
        <w:t>December 18</w:t>
      </w:r>
      <w:r>
        <w:rPr>
          <w:rFonts w:ascii="Times New Roman" w:eastAsia="Times New Roman" w:hAnsi="Times New Roman" w:cs="Times New Roman"/>
          <w:sz w:val="20"/>
        </w:rPr>
        <w:t>, 2020</w:t>
      </w:r>
      <w:r>
        <w:rPr>
          <w:rFonts w:ascii="Times New Roman" w:eastAsia="Times New Roman" w:hAnsi="Times New Roman" w:cs="Times New Roman"/>
          <w:sz w:val="20"/>
        </w:rPr>
        <w:t xml:space="preserve">, to </w:t>
      </w:r>
      <w:r>
        <w:rPr>
          <w:rFonts w:ascii="Times New Roman" w:eastAsia="Times New Roman" w:hAnsi="Times New Roman" w:cs="Times New Roman"/>
          <w:sz w:val="20"/>
        </w:rPr>
        <w:t>allow</w:t>
      </w:r>
      <w:r>
        <w:rPr>
          <w:rFonts w:ascii="Times New Roman" w:eastAsia="Times New Roman" w:hAnsi="Times New Roman" w:cs="Times New Roman"/>
          <w:sz w:val="20"/>
        </w:rPr>
        <w:t xml:space="preserve"> the Company to award restricted stock, restricted stock units and stock options covering up to </w:t>
      </w:r>
      <w:r>
        <w:rPr>
          <w:rFonts w:ascii="Times New Roman" w:eastAsia="Times New Roman" w:hAnsi="Times New Roman" w:cs="Times New Roman"/>
          <w:sz w:val="20"/>
        </w:rPr>
        <w:t>7,500,000</w:t>
      </w:r>
      <w:r>
        <w:rPr>
          <w:rFonts w:ascii="Times New Roman" w:eastAsia="Times New Roman" w:hAnsi="Times New Roman" w:cs="Times New Roman"/>
          <w:sz w:val="20"/>
        </w:rPr>
        <w:t xml:space="preserve"> shares of common stock as incentive compensation for its employees and consultants.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3,812,928</w:t>
      </w:r>
      <w:r>
        <w:rPr>
          <w:rFonts w:ascii="Times New Roman" w:eastAsia="Times New Roman" w:hAnsi="Times New Roman" w:cs="Times New Roman"/>
          <w:sz w:val="20"/>
        </w:rPr>
        <w:t xml:space="preserve"> remaining shares of common stock available for issuance pursuant to future grants under the May 2011 Plan. </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August 2011, the Company adopted the 2011 B Equity Incentive Plan (the “August 2011 Plan”) reserving </w:t>
      </w:r>
      <w:r>
        <w:rPr>
          <w:rFonts w:ascii="Times New Roman" w:eastAsia="Times New Roman" w:hAnsi="Times New Roman" w:cs="Times New Roman"/>
          <w:sz w:val="20"/>
        </w:rPr>
        <w:t>4,375</w:t>
      </w:r>
      <w:r>
        <w:rPr>
          <w:rFonts w:ascii="Times New Roman" w:eastAsia="Times New Roman" w:hAnsi="Times New Roman" w:cs="Times New Roman"/>
          <w:sz w:val="20"/>
        </w:rPr>
        <w:t xml:space="preserve"> shares of common stock for issuance under the August 2011 Plan.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4,375</w:t>
      </w:r>
      <w:r>
        <w:rPr>
          <w:rFonts w:ascii="Times New Roman" w:eastAsia="Times New Roman" w:hAnsi="Times New Roman" w:cs="Times New Roman"/>
          <w:sz w:val="20"/>
        </w:rPr>
        <w:t xml:space="preserve"> remaining shares of common stock available for future grants under the August 2011 Plan.</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Restricted Stock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Under both the May 2011 Plan and the August 2011 Plan (together, the “2011 Equity Incentive Plans”), the Board determines the terms and conditions of each restricted stock issuance, including any future vesting restrictions.</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issued </w:t>
      </w:r>
      <w:r>
        <w:rPr>
          <w:rFonts w:ascii="Times New Roman" w:eastAsia="Times New Roman" w:hAnsi="Times New Roman" w:cs="Times New Roman"/>
          <w:sz w:val="20"/>
        </w:rPr>
        <w:t>27,184</w:t>
      </w:r>
      <w:r>
        <w:rPr>
          <w:rFonts w:ascii="Times New Roman" w:eastAsia="Times New Roman" w:hAnsi="Times New Roman" w:cs="Times New Roman"/>
          <w:sz w:val="20"/>
        </w:rPr>
        <w:t xml:space="preserve"> shares of restricted stock on March 28, 2019 to Mr. Edward Murphy, its Chief Executive Officer, for amounts owed on his fourth quarter 2018 performance bonus. The stock was initially valued at </w:t>
      </w:r>
      <w:r>
        <w:rPr>
          <w:rFonts w:ascii="Times New Roman" w:eastAsia="Times New Roman" w:hAnsi="Times New Roman" w:cs="Times New Roman"/>
          <w:sz w:val="20"/>
        </w:rPr>
        <w:t>$36,427</w:t>
      </w:r>
      <w:r>
        <w:rPr>
          <w:rFonts w:ascii="Times New Roman" w:eastAsia="Times New Roman" w:hAnsi="Times New Roman" w:cs="Times New Roman"/>
          <w:sz w:val="20"/>
        </w:rPr>
        <w:t xml:space="preserve"> and vests in equal monthly installments over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from issuance. The Company issued </w:t>
      </w:r>
      <w:r>
        <w:rPr>
          <w:rFonts w:ascii="Times New Roman" w:eastAsia="Times New Roman" w:hAnsi="Times New Roman" w:cs="Times New Roman"/>
          <w:sz w:val="20"/>
        </w:rPr>
        <w:t>4,570</w:t>
      </w:r>
      <w:r>
        <w:rPr>
          <w:rFonts w:ascii="Times New Roman" w:eastAsia="Times New Roman" w:hAnsi="Times New Roman" w:cs="Times New Roman"/>
          <w:sz w:val="20"/>
        </w:rPr>
        <w:t xml:space="preserve"> shares of restricted stock on March 28, 2019 to Mr. Ryan Schram, its Chief Operating Officer, for amounts owed on his fourth quarter 2018 performance bonus. The stock was initially valued at </w:t>
      </w:r>
      <w:r>
        <w:rPr>
          <w:rFonts w:ascii="Times New Roman" w:eastAsia="Times New Roman" w:hAnsi="Times New Roman" w:cs="Times New Roman"/>
          <w:sz w:val="20"/>
        </w:rPr>
        <w:t>$6,124</w:t>
      </w:r>
      <w:r>
        <w:rPr>
          <w:rFonts w:ascii="Times New Roman" w:eastAsia="Times New Roman" w:hAnsi="Times New Roman" w:cs="Times New Roman"/>
          <w:sz w:val="20"/>
        </w:rPr>
        <w:t xml:space="preserve"> and vests in equal monthly installments over </w:t>
      </w:r>
      <w:r>
        <w:rPr>
          <w:rFonts w:ascii="Times New Roman" w:eastAsia="Times New Roman" w:hAnsi="Times New Roman" w:cs="Times New Roman"/>
          <w:sz w:val="20"/>
        </w:rPr>
        <w:t>48</w:t>
      </w:r>
      <w:r>
        <w:rPr>
          <w:rFonts w:ascii="Times New Roman" w:eastAsia="Times New Roman" w:hAnsi="Times New Roman" w:cs="Times New Roman"/>
          <w:sz w:val="20"/>
        </w:rPr>
        <w:t xml:space="preserve"> months from issuance.</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January 31, 2019, the Company issued its </w:t>
      </w:r>
      <w:r>
        <w:rPr>
          <w:rFonts w:ascii="Times New Roman" w:eastAsia="Times New Roman" w:hAnsi="Times New Roman" w:cs="Times New Roman"/>
          <w:sz w:val="20"/>
        </w:rPr>
        <w:t>six</w:t>
      </w:r>
      <w:r>
        <w:rPr>
          <w:rFonts w:ascii="Times New Roman" w:eastAsia="Times New Roman" w:hAnsi="Times New Roman" w:cs="Times New Roman"/>
          <w:sz w:val="20"/>
        </w:rPr>
        <w:t xml:space="preserve"> independent directors a total of </w:t>
      </w:r>
      <w:r>
        <w:rPr>
          <w:rFonts w:ascii="Times New Roman" w:eastAsia="Times New Roman" w:hAnsi="Times New Roman" w:cs="Times New Roman"/>
          <w:sz w:val="20"/>
        </w:rPr>
        <w:t>88,758</w:t>
      </w:r>
      <w:r>
        <w:rPr>
          <w:rFonts w:ascii="Times New Roman" w:eastAsia="Times New Roman" w:hAnsi="Times New Roman" w:cs="Times New Roman"/>
          <w:sz w:val="20"/>
        </w:rPr>
        <w:t xml:space="preserve"> shares of restricted common stock initially valued at </w:t>
      </w:r>
      <w:r>
        <w:rPr>
          <w:rFonts w:ascii="Times New Roman" w:eastAsia="Times New Roman" w:hAnsi="Times New Roman" w:cs="Times New Roman"/>
          <w:sz w:val="20"/>
        </w:rPr>
        <w:t>$150,000</w:t>
      </w:r>
      <w:r>
        <w:rPr>
          <w:rFonts w:ascii="Times New Roman" w:eastAsia="Times New Roman" w:hAnsi="Times New Roman" w:cs="Times New Roman"/>
          <w:sz w:val="20"/>
        </w:rPr>
        <w:t xml:space="preserve"> for their annual service as directors of the Company. The stock vested in equal monthly installments from January through December 2019. One director forfeited </w:t>
      </w:r>
      <w:r>
        <w:rPr>
          <w:rFonts w:ascii="Times New Roman" w:eastAsia="Times New Roman" w:hAnsi="Times New Roman" w:cs="Times New Roman"/>
          <w:sz w:val="20"/>
        </w:rPr>
        <w:t>4,932</w:t>
      </w:r>
      <w:r>
        <w:rPr>
          <w:rFonts w:ascii="Times New Roman" w:eastAsia="Times New Roman" w:hAnsi="Times New Roman" w:cs="Times New Roman"/>
          <w:sz w:val="20"/>
        </w:rPr>
        <w:t xml:space="preserve"> of these shares valued at </w:t>
      </w:r>
      <w:r>
        <w:rPr>
          <w:rFonts w:ascii="Times New Roman" w:eastAsia="Times New Roman" w:hAnsi="Times New Roman" w:cs="Times New Roman"/>
          <w:sz w:val="20"/>
        </w:rPr>
        <w:t>$8,335</w:t>
      </w:r>
      <w:r>
        <w:rPr>
          <w:rFonts w:ascii="Times New Roman" w:eastAsia="Times New Roman" w:hAnsi="Times New Roman" w:cs="Times New Roman"/>
          <w:sz w:val="20"/>
        </w:rPr>
        <w:t xml:space="preserve"> upon their resignation from the board of directors in September 2019.</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January 31, 2020, the Company issued its </w:t>
      </w:r>
      <w:r>
        <w:rPr>
          <w:rFonts w:ascii="Times New Roman" w:eastAsia="Times New Roman" w:hAnsi="Times New Roman" w:cs="Times New Roman"/>
          <w:sz w:val="20"/>
        </w:rPr>
        <w:t>five</w:t>
      </w:r>
      <w:r>
        <w:rPr>
          <w:rFonts w:ascii="Times New Roman" w:eastAsia="Times New Roman" w:hAnsi="Times New Roman" w:cs="Times New Roman"/>
          <w:sz w:val="20"/>
        </w:rPr>
        <w:t xml:space="preserve"> independent directors a total of </w:t>
      </w:r>
      <w:r>
        <w:rPr>
          <w:rFonts w:ascii="Times New Roman" w:eastAsia="Times New Roman" w:hAnsi="Times New Roman" w:cs="Times New Roman"/>
          <w:sz w:val="20"/>
        </w:rPr>
        <w:t>390,625</w:t>
      </w:r>
      <w:r>
        <w:rPr>
          <w:rFonts w:ascii="Times New Roman" w:eastAsia="Times New Roman" w:hAnsi="Times New Roman" w:cs="Times New Roman"/>
          <w:sz w:val="20"/>
        </w:rPr>
        <w:t xml:space="preserve"> shares of restricted common stock initially valued at </w:t>
      </w:r>
      <w:r>
        <w:rPr>
          <w:rFonts w:ascii="Times New Roman" w:eastAsia="Times New Roman" w:hAnsi="Times New Roman" w:cs="Times New Roman"/>
          <w:sz w:val="20"/>
        </w:rPr>
        <w:t>$125,000</w:t>
      </w:r>
      <w:r>
        <w:rPr>
          <w:rFonts w:ascii="Times New Roman" w:eastAsia="Times New Roman" w:hAnsi="Times New Roman" w:cs="Times New Roman"/>
          <w:sz w:val="20"/>
        </w:rPr>
        <w:t xml:space="preserve"> for their annual service as directors of the Company. The stock vests in equal monthly installments from January through December 2020.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following table contains summarized information about restricted stock issued during the </w:t>
      </w:r>
      <w:r>
        <w:rPr>
          <w:rFonts w:ascii="Times New Roman" w:eastAsia="Times New Roman" w:hAnsi="Times New Roman" w:cs="Times New Roman"/>
          <w:sz w:val="20"/>
        </w:rPr>
        <w:t>year</w:t>
      </w:r>
      <w:r>
        <w:rPr>
          <w:rFonts w:ascii="Times New Roman" w:eastAsia="Times New Roman" w:hAnsi="Times New Roman" w:cs="Times New Roman"/>
          <w:sz w:val="20"/>
        </w:rPr>
        <w:t>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and </w:t>
      </w:r>
      <w:r>
        <w:rPr>
          <w:rFonts w:ascii="Times New Roman" w:eastAsia="Times New Roman" w:hAnsi="Times New Roman" w:cs="Times New Roman"/>
          <w:sz w:val="20"/>
        </w:rPr>
        <w:t>December 31, 2020</w:t>
      </w:r>
      <w:r>
        <w:rPr>
          <w:rFonts w:ascii="Times New Roman" w:eastAsia="Times New Roman" w:hAnsi="Times New Roman" w:cs="Times New Roman"/>
          <w:sz w:val="20"/>
        </w:rPr>
        <w:t>:</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55"/>
        <w:gridCol w:w="1535"/>
        <w:gridCol w:w="100"/>
        <w:gridCol w:w="160"/>
        <w:gridCol w:w="1375"/>
        <w:gridCol w:w="100"/>
        <w:gridCol w:w="1635"/>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05"/>
        </w:trPr>
        <w:tc>
          <w:tcPr>
            <w:tcW w:w="53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i/>
                <w:color w:val="000000"/>
                <w:sz w:val="20"/>
              </w:rPr>
              <w:t>Restricted Stock</w:t>
            </w:r>
          </w:p>
        </w:tc>
        <w:tc>
          <w:tcPr>
            <w:tcW w:w="163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Common Shares</w:t>
            </w: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20"/>
              </w:rPr>
              <w:t>Weighted Average</w:t>
            </w:r>
          </w:p>
          <w:p>
            <w:pPr>
              <w:spacing w:line="240" w:lineRule="auto"/>
              <w:ind w:left="0" w:right="0"/>
              <w:jc w:val="center"/>
            </w:pPr>
            <w:r>
              <w:rPr>
                <w:rFonts w:ascii="Times New Roman" w:eastAsia="Times New Roman" w:hAnsi="Times New Roman" w:cs="Times New Roman"/>
                <w:color w:val="000000"/>
                <w:sz w:val="20"/>
              </w:rPr>
              <w:t>Grant Date</w:t>
            </w:r>
          </w:p>
          <w:p>
            <w:pPr>
              <w:spacing w:after="30" w:line="240" w:lineRule="auto"/>
              <w:ind w:left="0" w:right="0"/>
              <w:jc w:val="center"/>
            </w:pPr>
            <w:r>
              <w:rPr>
                <w:rFonts w:ascii="Times New Roman" w:eastAsia="Times New Roman" w:hAnsi="Times New Roman" w:cs="Times New Roman"/>
                <w:color w:val="000000"/>
                <w:sz w:val="20"/>
              </w:rPr>
              <w:t>Fair Value</w:t>
            </w:r>
          </w:p>
        </w:tc>
        <w:tc>
          <w:tcPr>
            <w:tcW w:w="16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20"/>
              </w:rPr>
              <w:t>Weighted Average</w:t>
            </w:r>
          </w:p>
          <w:p>
            <w:pPr>
              <w:spacing w:line="240" w:lineRule="auto"/>
              <w:ind w:left="0" w:right="0"/>
              <w:jc w:val="center"/>
            </w:pPr>
            <w:r>
              <w:rPr>
                <w:rFonts w:ascii="Times New Roman" w:eastAsia="Times New Roman" w:hAnsi="Times New Roman" w:cs="Times New Roman"/>
                <w:color w:val="000000"/>
                <w:sz w:val="20"/>
              </w:rPr>
              <w:t>Remaining Years</w:t>
            </w:r>
          </w:p>
          <w:p>
            <w:pPr>
              <w:spacing w:after="30" w:line="240" w:lineRule="auto"/>
              <w:ind w:left="0" w:right="0"/>
              <w:jc w:val="center"/>
            </w:pPr>
            <w:r>
              <w:rPr>
                <w:rFonts w:ascii="Times New Roman" w:eastAsia="Times New Roman" w:hAnsi="Times New Roman" w:cs="Times New Roman"/>
                <w:color w:val="000000"/>
                <w:sz w:val="20"/>
              </w:rPr>
              <w:t>to Vest</w:t>
            </w:r>
          </w:p>
        </w:tc>
      </w:tr>
      <w:tr>
        <w:tblPrEx>
          <w:tblW w:w="10465" w:type="dxa"/>
          <w:tblInd w:w="0" w:type="dxa"/>
          <w:tblCellMar>
            <w:left w:w="108" w:type="dxa"/>
            <w:right w:w="108" w:type="dxa"/>
          </w:tblCellMar>
        </w:tblPrEx>
        <w:trPr>
          <w:cantSplit/>
          <w:trHeight w:hRule="exact" w:val="300"/>
        </w:trPr>
        <w:tc>
          <w:tcPr>
            <w:tcW w:w="535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Nonvested at December 31, 2018</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57,984 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3.70 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1.4</w:t>
            </w: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120,512 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(139,157)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(8,057)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3.18 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Nonvested at December 31, 2019</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31,282 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1.9</w:t>
            </w: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390,625 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(408,241)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35" w:type="dxa"/>
            <w:gridSpan w:val="3"/>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55" w:after="30" w:line="240" w:lineRule="auto"/>
              <w:ind w:left="0"/>
              <w:jc w:val="left"/>
            </w:pPr>
            <w:r>
              <w:rPr>
                <w:rFonts w:ascii="Times New Roman" w:eastAsia="Times New Roman" w:hAnsi="Times New Roman" w:cs="Times New Roman"/>
                <w:color w:val="000000"/>
                <w:sz w:val="20"/>
              </w:rPr>
              <w:t>Nonvested at December 31, 2020</w:t>
            </w:r>
          </w:p>
        </w:tc>
        <w:tc>
          <w:tcPr>
            <w:tcW w:w="153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13,666 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2.28 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163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40" w:lineRule="auto"/>
              <w:ind w:right="0"/>
              <w:jc w:val="right"/>
            </w:pPr>
            <w:r>
              <w:rPr>
                <w:rFonts w:ascii="Times New Roman" w:eastAsia="Times New Roman" w:hAnsi="Times New Roman" w:cs="Times New Roman"/>
                <w:color w:val="000000"/>
                <w:sz w:val="20"/>
              </w:rPr>
              <w:t>1.4</w:t>
            </w:r>
          </w:p>
        </w:tc>
      </w:tr>
    </w:tbl>
    <w:p>
      <w:pPr>
        <w:keepNext w:val="0"/>
        <w:keepLines/>
        <w:pageBreakBefore w:val="0"/>
        <w:widowControl w:val="0"/>
        <w:numPr>
          <w:ilvl w:val="0"/>
          <w:numId w:val="0"/>
        </w:numPr>
        <w:spacing w:before="10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Although restricted stock is issued upon the grant of an award, the Company excludes restricted stock from the computations within the financial statements of total shares outstanding and </w:t>
      </w:r>
      <w:r>
        <w:rPr>
          <w:rFonts w:ascii="Times New Roman" w:eastAsia="Times New Roman" w:hAnsi="Times New Roman" w:cs="Times New Roman"/>
          <w:sz w:val="20"/>
        </w:rPr>
        <w:t xml:space="preserve">basic </w:t>
      </w:r>
      <w:r>
        <w:rPr>
          <w:rFonts w:ascii="Times New Roman" w:eastAsia="Times New Roman" w:hAnsi="Times New Roman" w:cs="Times New Roman"/>
          <w:sz w:val="20"/>
        </w:rPr>
        <w:t xml:space="preserve">earnings per share until such time as the restricted stock vests.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Expense recognized on restricted stock issued to non-employees for services was </w:t>
      </w:r>
      <w:r>
        <w:rPr>
          <w:rFonts w:ascii="Times New Roman" w:eastAsia="Times New Roman" w:hAnsi="Times New Roman" w:cs="Times New Roman"/>
          <w:sz w:val="20"/>
        </w:rPr>
        <w:t>$125,000</w:t>
      </w:r>
      <w:r>
        <w:rPr>
          <w:rFonts w:ascii="Times New Roman" w:eastAsia="Times New Roman" w:hAnsi="Times New Roman" w:cs="Times New Roman"/>
          <w:sz w:val="20"/>
        </w:rPr>
        <w:t xml:space="preserve"> and </w:t>
      </w:r>
      <w:r>
        <w:rPr>
          <w:rFonts w:ascii="Times New Roman" w:eastAsia="Times New Roman" w:hAnsi="Times New Roman" w:cs="Times New Roman"/>
          <w:sz w:val="20"/>
        </w:rPr>
        <w:t>$141,665</w:t>
      </w:r>
      <w:r>
        <w:rPr>
          <w:rFonts w:ascii="Times New Roman" w:eastAsia="Times New Roman" w:hAnsi="Times New Roman" w:cs="Times New Roman"/>
          <w:sz w:val="20"/>
        </w:rPr>
        <w:t xml:space="preserve"> during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Expense recognized on restricted stock issued to employees was </w:t>
      </w:r>
      <w:r>
        <w:rPr>
          <w:rFonts w:ascii="Times New Roman" w:eastAsia="Times New Roman" w:hAnsi="Times New Roman" w:cs="Times New Roman"/>
          <w:sz w:val="20"/>
        </w:rPr>
        <w:t>$33,677</w:t>
      </w:r>
      <w:r>
        <w:rPr>
          <w:rFonts w:ascii="Times New Roman" w:eastAsia="Times New Roman" w:hAnsi="Times New Roman" w:cs="Times New Roman"/>
          <w:sz w:val="20"/>
        </w:rPr>
        <w:t xml:space="preserve"> and </w:t>
      </w:r>
      <w:r>
        <w:rPr>
          <w:rFonts w:ascii="Times New Roman" w:eastAsia="Times New Roman" w:hAnsi="Times New Roman" w:cs="Times New Roman"/>
          <w:sz w:val="20"/>
        </w:rPr>
        <w:t>$169,534</w:t>
      </w:r>
      <w:r>
        <w:rPr>
          <w:rFonts w:ascii="Times New Roman" w:eastAsia="Times New Roman" w:hAnsi="Times New Roman" w:cs="Times New Roman"/>
          <w:sz w:val="20"/>
        </w:rPr>
        <w:t xml:space="preserve"> d</w:t>
      </w:r>
      <w:r>
        <w:rPr>
          <w:rFonts w:ascii="Times New Roman" w:eastAsia="Times New Roman" w:hAnsi="Times New Roman" w:cs="Times New Roman"/>
          <w:sz w:val="20"/>
        </w:rPr>
        <w:t xml:space="preserve">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the fair value of the Company’s common stock was approximately </w:t>
      </w:r>
      <w:r>
        <w:rPr>
          <w:rFonts w:ascii="Times New Roman" w:eastAsia="Times New Roman" w:hAnsi="Times New Roman" w:cs="Times New Roman"/>
          <w:sz w:val="20"/>
        </w:rPr>
        <w:t>$1.82</w:t>
      </w:r>
      <w:r>
        <w:rPr>
          <w:rFonts w:ascii="Times New Roman" w:eastAsia="Times New Roman" w:hAnsi="Times New Roman" w:cs="Times New Roman"/>
          <w:sz w:val="20"/>
        </w:rPr>
        <w:t xml:space="preserve"> per share and the intrinsic value on the non-vested restricted stock was </w:t>
      </w:r>
      <w:r>
        <w:rPr>
          <w:rFonts w:ascii="Times New Roman" w:eastAsia="Times New Roman" w:hAnsi="Times New Roman" w:cs="Times New Roman"/>
          <w:sz w:val="20"/>
        </w:rPr>
        <w:t>$24,872</w:t>
      </w:r>
      <w:r>
        <w:rPr>
          <w:rFonts w:ascii="Times New Roman" w:eastAsia="Times New Roman" w:hAnsi="Times New Roman" w:cs="Times New Roman"/>
          <w:sz w:val="20"/>
        </w:rPr>
        <w:t xml:space="preserve">. Future compensation expense related to issued, but non-vested, restricted stock awards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is </w:t>
      </w:r>
      <w:r>
        <w:rPr>
          <w:rFonts w:ascii="Times New Roman" w:eastAsia="Times New Roman" w:hAnsi="Times New Roman" w:cs="Times New Roman"/>
          <w:sz w:val="20"/>
        </w:rPr>
        <w:t>$31,202</w:t>
      </w:r>
      <w:r>
        <w:rPr>
          <w:rFonts w:ascii="Times New Roman" w:eastAsia="Times New Roman" w:hAnsi="Times New Roman" w:cs="Times New Roman"/>
          <w:sz w:val="20"/>
        </w:rPr>
        <w:t xml:space="preserve">. This value is estimated to be recognized over the weighted-average vesting period of approximately </w:t>
      </w:r>
      <w:r>
        <w:rPr>
          <w:rFonts w:ascii="Times New Roman" w:eastAsia="Times New Roman" w:hAnsi="Times New Roman" w:cs="Times New Roman"/>
          <w:sz w:val="20"/>
        </w:rPr>
        <w:t>five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months.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Restricted Stock Units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Board determines the terms and conditions of each restricted stock unit award issued under the May 2011 Plan.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shd w:val="clear" w:color="auto" w:fill="FFFF0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shd w:val="clear" w:color="auto" w:fill="FFFF00"/>
        </w:rPr>
      </w:pPr>
      <w:r>
        <w:rPr>
          <w:rFonts w:ascii="Times New Roman" w:eastAsia="Times New Roman" w:hAnsi="Times New Roman" w:cs="Times New Roman"/>
          <w:sz w:val="20"/>
        </w:rPr>
        <w:t xml:space="preserve">The Company issued </w:t>
      </w:r>
      <w:r>
        <w:rPr>
          <w:rFonts w:ascii="Times New Roman" w:eastAsia="Times New Roman" w:hAnsi="Times New Roman" w:cs="Times New Roman"/>
          <w:sz w:val="20"/>
        </w:rPr>
        <w:t>131,235</w:t>
      </w:r>
      <w:r>
        <w:rPr>
          <w:rFonts w:ascii="Times New Roman" w:eastAsia="Times New Roman" w:hAnsi="Times New Roman" w:cs="Times New Roman"/>
          <w:sz w:val="20"/>
        </w:rPr>
        <w:t xml:space="preserve"> restricted stock units on May 17, 2019 to Mr. Murphy under the terms of his amended employment agreement. The restricted stock units were initially valued at </w:t>
      </w:r>
      <w:r>
        <w:rPr>
          <w:rFonts w:ascii="Times New Roman" w:eastAsia="Times New Roman" w:hAnsi="Times New Roman" w:cs="Times New Roman"/>
          <w:sz w:val="20"/>
        </w:rPr>
        <w:t>$76,510</w:t>
      </w:r>
      <w:r>
        <w:rPr>
          <w:rFonts w:ascii="Times New Roman" w:eastAsia="Times New Roman" w:hAnsi="Times New Roman" w:cs="Times New Roman"/>
          <w:sz w:val="20"/>
        </w:rPr>
        <w:t xml:space="preserve"> and vest in equal monthly installments over </w:t>
      </w:r>
      <w:r>
        <w:rPr>
          <w:rFonts w:ascii="Times New Roman" w:eastAsia="Times New Roman" w:hAnsi="Times New Roman" w:cs="Times New Roman"/>
          <w:sz w:val="20"/>
        </w:rPr>
        <w:t>36</w:t>
      </w:r>
      <w:r>
        <w:rPr>
          <w:rFonts w:ascii="Times New Roman" w:eastAsia="Times New Roman" w:hAnsi="Times New Roman" w:cs="Times New Roman"/>
          <w:sz w:val="20"/>
        </w:rPr>
        <w:t xml:space="preserve"> months from issuance. The Company issued </w:t>
      </w:r>
      <w:r>
        <w:rPr>
          <w:rFonts w:ascii="Times New Roman" w:eastAsia="Times New Roman" w:hAnsi="Times New Roman" w:cs="Times New Roman"/>
          <w:sz w:val="20"/>
        </w:rPr>
        <w:t>258,312</w:t>
      </w:r>
      <w:r>
        <w:rPr>
          <w:rFonts w:ascii="Times New Roman" w:eastAsia="Times New Roman" w:hAnsi="Times New Roman" w:cs="Times New Roman"/>
          <w:sz w:val="20"/>
        </w:rPr>
        <w:t xml:space="preserve"> restricted stock units on August 29, 2019 to Mr. Murphy under the terms of his amended employment agreement. The restricted stock units were initially valued at </w:t>
      </w:r>
      <w:r>
        <w:rPr>
          <w:rFonts w:ascii="Times New Roman" w:eastAsia="Times New Roman" w:hAnsi="Times New Roman" w:cs="Times New Roman"/>
          <w:sz w:val="20"/>
        </w:rPr>
        <w:t>$82,660</w:t>
      </w:r>
      <w:r>
        <w:rPr>
          <w:rFonts w:ascii="Times New Roman" w:eastAsia="Times New Roman" w:hAnsi="Times New Roman" w:cs="Times New Roman"/>
          <w:sz w:val="20"/>
        </w:rPr>
        <w:t xml:space="preserve"> and vest in equal monthly installments over </w:t>
      </w:r>
      <w:r>
        <w:rPr>
          <w:rFonts w:ascii="Times New Roman" w:eastAsia="Times New Roman" w:hAnsi="Times New Roman" w:cs="Times New Roman"/>
          <w:sz w:val="20"/>
        </w:rPr>
        <w:t>48</w:t>
      </w:r>
      <w:r>
        <w:rPr>
          <w:rFonts w:ascii="Times New Roman" w:eastAsia="Times New Roman" w:hAnsi="Times New Roman" w:cs="Times New Roman"/>
          <w:sz w:val="20"/>
        </w:rPr>
        <w:t xml:space="preserve"> months from issuance.</w:t>
      </w:r>
    </w:p>
    <w:p>
      <w:pPr>
        <w:keepNext w:val="0"/>
        <w:keepLines w:val="0"/>
        <w:pageBreakBefore w:val="0"/>
        <w:widowControl/>
        <w:numPr>
          <w:ilvl w:val="0"/>
          <w:numId w:val="0"/>
        </w:numPr>
        <w:spacing w:before="0" w:after="0" w:line="276" w:lineRule="auto"/>
        <w:ind w:left="0" w:right="0" w:firstLine="720"/>
        <w:jc w:val="left"/>
        <w:outlineLvl w:val="9"/>
        <w:rPr>
          <w:rFonts w:ascii="Arial" w:eastAsia="Arial" w:hAnsi="Arial" w:cs="Arial"/>
          <w:sz w:val="24"/>
        </w:rPr>
      </w:pPr>
    </w:p>
    <w:p>
      <w:pPr>
        <w:keepNext w:val="0"/>
        <w:keepLines w:val="0"/>
        <w:pageBreakBefore w:val="0"/>
        <w:widowControl/>
        <w:numPr>
          <w:ilvl w:val="0"/>
          <w:numId w:val="0"/>
        </w:numPr>
        <w:spacing w:before="0" w:after="0" w:line="276"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issued </w:t>
      </w:r>
      <w:r>
        <w:rPr>
          <w:rFonts w:ascii="Times New Roman" w:eastAsia="Times New Roman" w:hAnsi="Times New Roman" w:cs="Times New Roman"/>
          <w:sz w:val="20"/>
        </w:rPr>
        <w:t>890</w:t>
      </w:r>
      <w:r>
        <w:rPr>
          <w:rFonts w:ascii="Times New Roman" w:eastAsia="Times New Roman" w:hAnsi="Times New Roman" w:cs="Times New Roman"/>
          <w:sz w:val="20"/>
        </w:rPr>
        <w:t xml:space="preserve"> restricted stock units on May 14, 2019 to Mr. Troy Vanke, the Company’s then Chief Financial Officer, under the terms of his employment agreement. The restricted stock units were initially valued at </w:t>
      </w:r>
      <w:r>
        <w:rPr>
          <w:rFonts w:ascii="Times New Roman" w:eastAsia="Times New Roman" w:hAnsi="Times New Roman" w:cs="Times New Roman"/>
          <w:sz w:val="20"/>
        </w:rPr>
        <w:t>$578</w:t>
      </w:r>
      <w:r>
        <w:rPr>
          <w:rFonts w:ascii="Times New Roman" w:eastAsia="Times New Roman" w:hAnsi="Times New Roman" w:cs="Times New Roman"/>
          <w:sz w:val="20"/>
        </w:rPr>
        <w:t xml:space="preserve"> and vest in equal monthly installments over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from issuance. Upon his departure in August 2019, </w:t>
      </w:r>
      <w:r>
        <w:rPr>
          <w:rFonts w:ascii="Times New Roman" w:eastAsia="Times New Roman" w:hAnsi="Times New Roman" w:cs="Times New Roman"/>
          <w:sz w:val="20"/>
        </w:rPr>
        <w:t>667</w:t>
      </w:r>
      <w:r>
        <w:rPr>
          <w:rFonts w:ascii="Times New Roman" w:eastAsia="Times New Roman" w:hAnsi="Times New Roman" w:cs="Times New Roman"/>
          <w:sz w:val="20"/>
        </w:rPr>
        <w:t xml:space="preserve"> of these shares were forfeited.</w:t>
      </w:r>
    </w:p>
    <w:p>
      <w:pPr>
        <w:keepNext w:val="0"/>
        <w:keepLines w:val="0"/>
        <w:pageBreakBefore w:val="0"/>
        <w:widowControl/>
        <w:numPr>
          <w:ilvl w:val="0"/>
          <w:numId w:val="0"/>
        </w:numPr>
        <w:spacing w:before="0" w:after="0" w:line="276"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issued </w:t>
      </w:r>
      <w:r>
        <w:rPr>
          <w:rFonts w:ascii="Times New Roman" w:eastAsia="Times New Roman" w:hAnsi="Times New Roman" w:cs="Times New Roman"/>
          <w:sz w:val="20"/>
        </w:rPr>
        <w:t>84,994</w:t>
      </w:r>
      <w:r>
        <w:rPr>
          <w:rFonts w:ascii="Times New Roman" w:eastAsia="Times New Roman" w:hAnsi="Times New Roman" w:cs="Times New Roman"/>
          <w:sz w:val="20"/>
        </w:rPr>
        <w:t xml:space="preserve"> restricted stock units on January 3, 2020 to Mr. Schram under the terms of his employment agreement. The restricted stock units were initially valued at </w:t>
      </w:r>
      <w:r>
        <w:rPr>
          <w:rFonts w:ascii="Times New Roman" w:eastAsia="Times New Roman" w:hAnsi="Times New Roman" w:cs="Times New Roman"/>
          <w:sz w:val="20"/>
        </w:rPr>
        <w:t>$23,739</w:t>
      </w:r>
      <w:r>
        <w:rPr>
          <w:rFonts w:ascii="Times New Roman" w:eastAsia="Times New Roman" w:hAnsi="Times New Roman" w:cs="Times New Roman"/>
          <w:sz w:val="20"/>
        </w:rPr>
        <w:t xml:space="preserve"> and vest in equal monthly installments over </w:t>
      </w:r>
      <w:r>
        <w:rPr>
          <w:rFonts w:ascii="Times New Roman" w:eastAsia="Times New Roman" w:hAnsi="Times New Roman" w:cs="Times New Roman"/>
          <w:sz w:val="20"/>
        </w:rPr>
        <w:t>48</w:t>
      </w:r>
      <w:r>
        <w:rPr>
          <w:rFonts w:ascii="Times New Roman" w:eastAsia="Times New Roman" w:hAnsi="Times New Roman" w:cs="Times New Roman"/>
          <w:sz w:val="20"/>
        </w:rPr>
        <w:t xml:space="preserve"> months from issuance. The Company also issued </w:t>
      </w:r>
      <w:r>
        <w:rPr>
          <w:rFonts w:ascii="Times New Roman" w:eastAsia="Times New Roman" w:hAnsi="Times New Roman" w:cs="Times New Roman"/>
          <w:sz w:val="20"/>
        </w:rPr>
        <w:t>100,000</w:t>
      </w:r>
      <w:r>
        <w:rPr>
          <w:rFonts w:ascii="Times New Roman" w:eastAsia="Times New Roman" w:hAnsi="Times New Roman" w:cs="Times New Roman"/>
          <w:sz w:val="20"/>
        </w:rPr>
        <w:t xml:space="preserve"> restricted stock units on January 3, 2020 to Mr. Schram as additional incentive compensation. The restricted stock units were initially valued at </w:t>
      </w:r>
      <w:r>
        <w:rPr>
          <w:rFonts w:ascii="Times New Roman" w:eastAsia="Times New Roman" w:hAnsi="Times New Roman" w:cs="Times New Roman"/>
          <w:sz w:val="20"/>
        </w:rPr>
        <w:t>$27,930</w:t>
      </w:r>
      <w:r>
        <w:rPr>
          <w:rFonts w:ascii="Times New Roman" w:eastAsia="Times New Roman" w:hAnsi="Times New Roman" w:cs="Times New Roman"/>
          <w:sz w:val="20"/>
        </w:rPr>
        <w:t xml:space="preserve"> and vest in a lump sum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from issuance.</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the Company issued a total of </w:t>
      </w:r>
      <w:r>
        <w:rPr>
          <w:rFonts w:ascii="Times New Roman" w:eastAsia="Times New Roman" w:hAnsi="Times New Roman" w:cs="Times New Roman"/>
          <w:sz w:val="20"/>
        </w:rPr>
        <w:t>583,322</w:t>
      </w:r>
      <w:r>
        <w:rPr>
          <w:rFonts w:ascii="Times New Roman" w:eastAsia="Times New Roman" w:hAnsi="Times New Roman" w:cs="Times New Roman"/>
          <w:sz w:val="20"/>
        </w:rPr>
        <w:t xml:space="preserve"> restricted stock units initially valued at </w:t>
      </w:r>
      <w:r>
        <w:rPr>
          <w:rFonts w:ascii="Times New Roman" w:eastAsia="Times New Roman" w:hAnsi="Times New Roman" w:cs="Times New Roman"/>
          <w:sz w:val="20"/>
        </w:rPr>
        <w:t>$215,936</w:t>
      </w:r>
      <w:r>
        <w:rPr>
          <w:rFonts w:ascii="Times New Roman" w:eastAsia="Times New Roman" w:hAnsi="Times New Roman" w:cs="Times New Roman"/>
          <w:sz w:val="20"/>
        </w:rPr>
        <w:t xml:space="preserve"> to non-executive employees as additional incentive compensation. The restricted stock units vest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from issuance.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t</w:t>
      </w:r>
      <w:r>
        <w:rPr>
          <w:rFonts w:ascii="Times New Roman" w:eastAsia="Times New Roman" w:hAnsi="Times New Roman" w:cs="Times New Roman"/>
          <w:sz w:val="20"/>
        </w:rPr>
        <w:t xml:space="preserve">he Company issued Mr. Murphy </w:t>
      </w:r>
      <w:r>
        <w:rPr>
          <w:rFonts w:ascii="Times New Roman" w:eastAsia="Times New Roman" w:hAnsi="Times New Roman" w:cs="Times New Roman"/>
          <w:sz w:val="20"/>
        </w:rPr>
        <w:t>123,228</w:t>
      </w:r>
      <w:r>
        <w:rPr>
          <w:rFonts w:ascii="Times New Roman" w:eastAsia="Times New Roman" w:hAnsi="Times New Roman" w:cs="Times New Roman"/>
          <w:sz w:val="20"/>
        </w:rPr>
        <w:t xml:space="preserve"> restricted stock units  valued at</w:t>
      </w:r>
      <w:r>
        <w:rPr>
          <w:rFonts w:ascii="Times New Roman" w:eastAsia="Times New Roman" w:hAnsi="Times New Roman" w:cs="Times New Roman"/>
          <w:sz w:val="20"/>
        </w:rPr>
        <w:t xml:space="preserve"> </w:t>
      </w:r>
      <w:r>
        <w:rPr>
          <w:rFonts w:ascii="Times New Roman" w:eastAsia="Times New Roman" w:hAnsi="Times New Roman" w:cs="Times New Roman"/>
          <w:sz w:val="20"/>
        </w:rPr>
        <w:t>$61,790</w:t>
      </w:r>
      <w:r>
        <w:rPr>
          <w:rFonts w:ascii="Times New Roman" w:eastAsia="Times New Roman" w:hAnsi="Times New Roman" w:cs="Times New Roman"/>
          <w:sz w:val="20"/>
        </w:rPr>
        <w:t xml:space="preserve"> for bonuses owed under the terms of his amended employment agreement. The restricted stock units vest in equal monthly installments over </w:t>
      </w:r>
      <w:r>
        <w:rPr>
          <w:rFonts w:ascii="Times New Roman" w:eastAsia="Times New Roman" w:hAnsi="Times New Roman" w:cs="Times New Roman"/>
          <w:sz w:val="20"/>
        </w:rPr>
        <w:t>36</w:t>
      </w:r>
      <w:r>
        <w:rPr>
          <w:rFonts w:ascii="Times New Roman" w:eastAsia="Times New Roman" w:hAnsi="Times New Roman" w:cs="Times New Roman"/>
          <w:sz w:val="20"/>
        </w:rPr>
        <w:t xml:space="preserve"> months from issuance.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the Company issued Mr. Schram </w:t>
      </w:r>
      <w:r>
        <w:rPr>
          <w:rFonts w:ascii="Times New Roman" w:eastAsia="Times New Roman" w:hAnsi="Times New Roman" w:cs="Times New Roman"/>
          <w:sz w:val="20"/>
        </w:rPr>
        <w:t>41,824</w:t>
      </w:r>
      <w:r>
        <w:rPr>
          <w:rFonts w:ascii="Times New Roman" w:eastAsia="Times New Roman" w:hAnsi="Times New Roman" w:cs="Times New Roman"/>
          <w:sz w:val="20"/>
        </w:rPr>
        <w:t xml:space="preserve"> restricted stock units initially valued at </w:t>
      </w:r>
      <w:r>
        <w:rPr>
          <w:rFonts w:ascii="Times New Roman" w:eastAsia="Times New Roman" w:hAnsi="Times New Roman" w:cs="Times New Roman"/>
          <w:sz w:val="20"/>
        </w:rPr>
        <w:t>$14,052</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for bonuses owed </w:t>
      </w:r>
      <w:r>
        <w:rPr>
          <w:rFonts w:ascii="Times New Roman" w:eastAsia="Times New Roman" w:hAnsi="Times New Roman" w:cs="Times New Roman"/>
          <w:sz w:val="20"/>
        </w:rPr>
        <w:t xml:space="preserve">under the terms of his employment agreement. The restricted stock units vest in equal monthly installments over </w:t>
      </w:r>
      <w:r>
        <w:rPr>
          <w:rFonts w:ascii="Times New Roman" w:eastAsia="Times New Roman" w:hAnsi="Times New Roman" w:cs="Times New Roman"/>
          <w:sz w:val="20"/>
        </w:rPr>
        <w:t>48</w:t>
      </w:r>
      <w:r>
        <w:rPr>
          <w:rFonts w:ascii="Times New Roman" w:eastAsia="Times New Roman" w:hAnsi="Times New Roman" w:cs="Times New Roman"/>
          <w:sz w:val="20"/>
        </w:rPr>
        <w:t xml:space="preserve"> months from issuance. </w:t>
      </w:r>
    </w:p>
    <w:p>
      <w:pPr>
        <w:keepNext w:val="0"/>
        <w:keepLines w:val="0"/>
        <w:pageBreakBefore w:val="0"/>
        <w:widowControl/>
        <w:numPr>
          <w:ilvl w:val="0"/>
          <w:numId w:val="0"/>
        </w:numPr>
        <w:spacing w:before="0" w:after="0" w:line="276" w:lineRule="auto"/>
        <w:ind w:left="0" w:right="0" w:firstLine="720"/>
        <w:jc w:val="left"/>
        <w:outlineLvl w:val="9"/>
        <w:rPr>
          <w:rFonts w:ascii="Arial" w:eastAsia="Arial" w:hAnsi="Arial" w:cs="Arial"/>
          <w:sz w:val="24"/>
        </w:rPr>
      </w:pPr>
      <w:r>
        <w:rPr>
          <w:rFonts w:ascii="Times New Roman" w:eastAsia="Times New Roman" w:hAnsi="Times New Roman" w:cs="Times New Roman"/>
          <w:sz w:val="20"/>
        </w:rPr>
        <w:tab/>
      </w:r>
    </w:p>
    <w:p>
      <w:pPr>
        <w:keepNext/>
        <w:keepLines/>
        <w:pageBreakBefore w:val="0"/>
        <w:widowControl w:val="0"/>
        <w:numPr>
          <w:ilvl w:val="0"/>
          <w:numId w:val="0"/>
        </w:numPr>
        <w:spacing w:before="0" w:after="10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 contains summarized information about restricted stock units during the year</w:t>
      </w:r>
      <w:r>
        <w:rPr>
          <w:rFonts w:ascii="Times New Roman" w:eastAsia="Times New Roman" w:hAnsi="Times New Roman" w:cs="Times New Roman"/>
          <w:sz w:val="20"/>
        </w:rPr>
        <w:t>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and </w:t>
      </w:r>
      <w:r>
        <w:rPr>
          <w:rFonts w:ascii="Times New Roman" w:eastAsia="Times New Roman" w:hAnsi="Times New Roman" w:cs="Times New Roman"/>
          <w:sz w:val="20"/>
        </w:rPr>
        <w:t>December 31, 2020</w:t>
      </w:r>
      <w:r>
        <w:rPr>
          <w:rFonts w:ascii="Times New Roman" w:eastAsia="Times New Roman" w:hAnsi="Times New Roman" w:cs="Times New Roman"/>
          <w:sz w:val="20"/>
        </w:rPr>
        <w:t>:</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55"/>
        <w:gridCol w:w="1535"/>
        <w:gridCol w:w="100"/>
        <w:gridCol w:w="160"/>
        <w:gridCol w:w="1375"/>
        <w:gridCol w:w="100"/>
        <w:gridCol w:w="1635"/>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05"/>
        </w:trPr>
        <w:tc>
          <w:tcPr>
            <w:tcW w:w="535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i/>
                <w:color w:val="000000"/>
                <w:sz w:val="20"/>
              </w:rPr>
              <w:t>Restricted Stock Units</w:t>
            </w:r>
          </w:p>
        </w:tc>
        <w:tc>
          <w:tcPr>
            <w:tcW w:w="163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Common Shares</w:t>
            </w: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20"/>
              </w:rPr>
              <w:t>Weighted Average</w:t>
            </w:r>
          </w:p>
          <w:p>
            <w:pPr>
              <w:spacing w:line="240" w:lineRule="auto"/>
              <w:ind w:left="0" w:right="0"/>
              <w:jc w:val="center"/>
            </w:pPr>
            <w:r>
              <w:rPr>
                <w:rFonts w:ascii="Times New Roman" w:eastAsia="Times New Roman" w:hAnsi="Times New Roman" w:cs="Times New Roman"/>
                <w:color w:val="000000"/>
                <w:sz w:val="20"/>
              </w:rPr>
              <w:t>Grant Date</w:t>
            </w:r>
          </w:p>
          <w:p>
            <w:pPr>
              <w:spacing w:after="30" w:line="240" w:lineRule="auto"/>
              <w:ind w:left="0" w:right="0"/>
              <w:jc w:val="center"/>
            </w:pPr>
            <w:r>
              <w:rPr>
                <w:rFonts w:ascii="Times New Roman" w:eastAsia="Times New Roman" w:hAnsi="Times New Roman" w:cs="Times New Roman"/>
                <w:color w:val="000000"/>
                <w:sz w:val="20"/>
              </w:rPr>
              <w:t>Fair Value</w:t>
            </w:r>
          </w:p>
        </w:tc>
        <w:tc>
          <w:tcPr>
            <w:tcW w:w="16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20"/>
              </w:rPr>
              <w:t>Weighted Average</w:t>
            </w:r>
          </w:p>
          <w:p>
            <w:pPr>
              <w:spacing w:line="240" w:lineRule="auto"/>
              <w:ind w:left="0" w:right="0"/>
              <w:jc w:val="center"/>
            </w:pPr>
            <w:r>
              <w:rPr>
                <w:rFonts w:ascii="Times New Roman" w:eastAsia="Times New Roman" w:hAnsi="Times New Roman" w:cs="Times New Roman"/>
                <w:color w:val="000000"/>
                <w:sz w:val="20"/>
              </w:rPr>
              <w:t>Remaining Years</w:t>
            </w:r>
          </w:p>
          <w:p>
            <w:pPr>
              <w:spacing w:after="30" w:line="240" w:lineRule="auto"/>
              <w:ind w:left="0" w:right="0"/>
              <w:jc w:val="center"/>
            </w:pPr>
            <w:r>
              <w:rPr>
                <w:rFonts w:ascii="Times New Roman" w:eastAsia="Times New Roman" w:hAnsi="Times New Roman" w:cs="Times New Roman"/>
                <w:color w:val="000000"/>
                <w:sz w:val="20"/>
              </w:rPr>
              <w:t>to Vest</w:t>
            </w:r>
          </w:p>
        </w:tc>
      </w:tr>
      <w:tr>
        <w:tblPrEx>
          <w:tblW w:w="10465" w:type="dxa"/>
          <w:tblInd w:w="0" w:type="dxa"/>
          <w:tblCellMar>
            <w:left w:w="108" w:type="dxa"/>
            <w:right w:w="108" w:type="dxa"/>
          </w:tblCellMar>
        </w:tblPrEx>
        <w:trPr>
          <w:cantSplit/>
          <w:trHeight w:hRule="exact" w:val="300"/>
        </w:trPr>
        <w:tc>
          <w:tcPr>
            <w:tcW w:w="535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Nonvested at December 31, 2018</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1.04 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1.0</w:t>
            </w: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410,437 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(149,290)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(54,335)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Nonvested at December 31, 2019</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366,812 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0.42 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3.2</w:t>
            </w: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930,145 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(172,441)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(154,167)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0.30 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63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35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55" w:after="30" w:line="240" w:lineRule="auto"/>
              <w:ind w:left="0"/>
              <w:jc w:val="left"/>
            </w:pPr>
            <w:r>
              <w:rPr>
                <w:rFonts w:ascii="Times New Roman" w:eastAsia="Times New Roman" w:hAnsi="Times New Roman" w:cs="Times New Roman"/>
                <w:color w:val="000000"/>
                <w:sz w:val="20"/>
              </w:rPr>
              <w:t>Nonvested at December 31, 2020</w:t>
            </w:r>
          </w:p>
        </w:tc>
        <w:tc>
          <w:tcPr>
            <w:tcW w:w="153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970,349 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0.39 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163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40" w:lineRule="auto"/>
              <w:ind w:right="0"/>
              <w:jc w:val="right"/>
            </w:pPr>
            <w:r>
              <w:rPr>
                <w:rFonts w:ascii="Times New Roman" w:eastAsia="Times New Roman" w:hAnsi="Times New Roman" w:cs="Times New Roman"/>
                <w:color w:val="000000"/>
                <w:sz w:val="20"/>
              </w:rPr>
              <w:t>1.2</w:t>
            </w:r>
          </w:p>
        </w:tc>
      </w:tr>
    </w:tbl>
    <w:p>
      <w:pPr>
        <w:keepNext w:val="0"/>
        <w:keepLines w:val="0"/>
        <w:pageBreakBefore w:val="0"/>
        <w:widowControl/>
        <w:numPr>
          <w:ilvl w:val="0"/>
          <w:numId w:val="0"/>
        </w:numPr>
        <w:spacing w:before="100" w:after="0" w:line="288" w:lineRule="auto"/>
        <w:ind w:left="0" w:right="0" w:firstLine="0"/>
        <w:jc w:val="both"/>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Expense recognized on restricted stock units issued to employees </w:t>
      </w:r>
      <w:r>
        <w:rPr>
          <w:rFonts w:ascii="Times New Roman" w:eastAsia="Times New Roman" w:hAnsi="Times New Roman" w:cs="Times New Roman"/>
          <w:sz w:val="20"/>
        </w:rPr>
        <w:t xml:space="preserve">was </w:t>
      </w:r>
      <w:r>
        <w:rPr>
          <w:rFonts w:ascii="Times New Roman" w:eastAsia="Times New Roman" w:hAnsi="Times New Roman" w:cs="Times New Roman"/>
          <w:sz w:val="20"/>
        </w:rPr>
        <w:t>$214,528</w:t>
      </w:r>
      <w:r>
        <w:rPr>
          <w:rFonts w:ascii="Times New Roman" w:eastAsia="Times New Roman" w:hAnsi="Times New Roman" w:cs="Times New Roman"/>
          <w:sz w:val="20"/>
        </w:rPr>
        <w:t xml:space="preserve"> and </w:t>
      </w:r>
      <w:r>
        <w:rPr>
          <w:rFonts w:ascii="Times New Roman" w:eastAsia="Times New Roman" w:hAnsi="Times New Roman" w:cs="Times New Roman"/>
          <w:sz w:val="20"/>
        </w:rPr>
        <w:t>$117,794</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On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the fair value of the Company’s common stock was approximately </w:t>
      </w:r>
      <w:r>
        <w:rPr>
          <w:rFonts w:ascii="Times New Roman" w:eastAsia="Times New Roman" w:hAnsi="Times New Roman" w:cs="Times New Roman"/>
          <w:sz w:val="20"/>
        </w:rPr>
        <w:t>$1.82</w:t>
      </w:r>
      <w:r>
        <w:rPr>
          <w:rFonts w:ascii="Times New Roman" w:eastAsia="Times New Roman" w:hAnsi="Times New Roman" w:cs="Times New Roman"/>
          <w:sz w:val="20"/>
        </w:rPr>
        <w:t xml:space="preserve"> per share and the intrinsic value on the non-vested restricted units was </w:t>
      </w:r>
      <w:r>
        <w:rPr>
          <w:rFonts w:ascii="Times New Roman" w:eastAsia="Times New Roman" w:hAnsi="Times New Roman" w:cs="Times New Roman"/>
          <w:sz w:val="20"/>
        </w:rPr>
        <w:t>$1,766,035</w:t>
      </w:r>
      <w:r>
        <w:rPr>
          <w:rFonts w:ascii="Times New Roman" w:eastAsia="Times New Roman" w:hAnsi="Times New Roman" w:cs="Times New Roman"/>
          <w:sz w:val="20"/>
        </w:rPr>
        <w:t xml:space="preserve">. Future compensation related to the non-vested restricted stock units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is </w:t>
      </w:r>
      <w:r>
        <w:rPr>
          <w:rFonts w:ascii="Times New Roman" w:eastAsia="Times New Roman" w:hAnsi="Times New Roman" w:cs="Times New Roman"/>
          <w:sz w:val="20"/>
        </w:rPr>
        <w:t>$235,016</w:t>
      </w:r>
      <w:r>
        <w:rPr>
          <w:rFonts w:ascii="Times New Roman" w:eastAsia="Times New Roman" w:hAnsi="Times New Roman" w:cs="Times New Roman"/>
          <w:sz w:val="20"/>
        </w:rPr>
        <w:t xml:space="preserve"> and it is estimated to be recognized over the weighted-average vesting period of approximately </w:t>
      </w:r>
      <w:r>
        <w:rPr>
          <w:rFonts w:ascii="Times New Roman" w:eastAsia="Times New Roman" w:hAnsi="Times New Roman" w:cs="Times New Roman"/>
          <w:sz w:val="20"/>
        </w:rPr>
        <w:t>1.2 years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i/>
          <w:sz w:val="20"/>
        </w:rPr>
      </w:pPr>
    </w:p>
    <w:p>
      <w:pPr>
        <w:keepNext/>
        <w:keepLines/>
        <w:pageBreakBefore w:val="0"/>
        <w:widowControl w:val="0"/>
        <w:numPr>
          <w:ilvl w:val="0"/>
          <w:numId w:val="0"/>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Stock Options </w:t>
      </w: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Under the 2011 Equity Incentive Plans, the Board determines the exercise price to be paid for the stock option shares, the period within which each stock option may be exercised, and the terms and conditions of each stock option. The exercise price of incentive and non-qualified stock options may not be less than </w:t>
      </w:r>
      <w:r>
        <w:rPr>
          <w:rFonts w:ascii="Times New Roman" w:eastAsia="Times New Roman" w:hAnsi="Times New Roman" w:cs="Times New Roman"/>
          <w:sz w:val="20"/>
        </w:rPr>
        <w:t>100%</w:t>
      </w:r>
      <w:r>
        <w:rPr>
          <w:rFonts w:ascii="Times New Roman" w:eastAsia="Times New Roman" w:hAnsi="Times New Roman" w:cs="Times New Roman"/>
          <w:sz w:val="20"/>
        </w:rPr>
        <w:t xml:space="preserve"> of the fair market value per share of the Company’s common stock on the grant date. If an individual owns stock representing more than </w:t>
      </w:r>
      <w:r>
        <w:rPr>
          <w:rFonts w:ascii="Times New Roman" w:eastAsia="Times New Roman" w:hAnsi="Times New Roman" w:cs="Times New Roman"/>
          <w:sz w:val="20"/>
        </w:rPr>
        <w:t>10%</w:t>
      </w:r>
      <w:r>
        <w:rPr>
          <w:rFonts w:ascii="Times New Roman" w:eastAsia="Times New Roman" w:hAnsi="Times New Roman" w:cs="Times New Roman"/>
          <w:sz w:val="20"/>
        </w:rPr>
        <w:t xml:space="preserve"> of the outstanding shares, the exercise price of each share of an incentive stock option must be equal to or exceed </w:t>
      </w:r>
      <w:r>
        <w:rPr>
          <w:rFonts w:ascii="Times New Roman" w:eastAsia="Times New Roman" w:hAnsi="Times New Roman" w:cs="Times New Roman"/>
          <w:sz w:val="20"/>
        </w:rPr>
        <w:t>110%</w:t>
      </w:r>
      <w:r>
        <w:rPr>
          <w:rFonts w:ascii="Times New Roman" w:eastAsia="Times New Roman" w:hAnsi="Times New Roman" w:cs="Times New Roman"/>
          <w:sz w:val="20"/>
        </w:rPr>
        <w:t xml:space="preserve"> of fair market value. Unless otherwise determined by the Board at the time of grant, the exercise price is set at the fair market value of the Company’s common stock on the grant date (or the last trading day prior to the grant date, if it is awarded on a non-trading day). Additionally, the term is set at </w:t>
      </w:r>
      <w:r>
        <w:rPr>
          <w:rFonts w:ascii="Times New Roman" w:eastAsia="Times New Roman" w:hAnsi="Times New Roman" w:cs="Times New Roman"/>
          <w:sz w:val="20"/>
        </w:rPr>
        <w:t>ten</w:t>
      </w:r>
      <w:r>
        <w:rPr>
          <w:rFonts w:ascii="Times New Roman" w:eastAsia="Times New Roman" w:hAnsi="Times New Roman" w:cs="Times New Roman"/>
          <w:sz w:val="20"/>
        </w:rPr>
        <w:t xml:space="preserve"> years and the option typically vests on a straight-line basis over the requisite service period as follows: </w:t>
      </w:r>
      <w:r>
        <w:rPr>
          <w:rFonts w:ascii="Times New Roman" w:eastAsia="Times New Roman" w:hAnsi="Times New Roman" w:cs="Times New Roman"/>
          <w:sz w:val="20"/>
        </w:rPr>
        <w:t>25%</w:t>
      </w:r>
      <w:r>
        <w:rPr>
          <w:rFonts w:ascii="Times New Roman" w:eastAsia="Times New Roman" w:hAnsi="Times New Roman" w:cs="Times New Roman"/>
          <w:sz w:val="20"/>
        </w:rPr>
        <w:t xml:space="preserve">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from the date of grant with the remaining vesting monthly in equal increments over the following </w:t>
      </w:r>
      <w:r>
        <w:rPr>
          <w:rFonts w:ascii="Times New Roman" w:eastAsia="Times New Roman" w:hAnsi="Times New Roman" w:cs="Times New Roman"/>
          <w:sz w:val="20"/>
        </w:rPr>
        <w:t>three</w:t>
      </w:r>
      <w:r>
        <w:rPr>
          <w:rFonts w:ascii="Times New Roman" w:eastAsia="Times New Roman" w:hAnsi="Times New Roman" w:cs="Times New Roman"/>
          <w:sz w:val="20"/>
        </w:rPr>
        <w:t xml:space="preserve"> years. The Company issues new shares for any stock awards or options exercised under its 2011 Equity Incentive Plans. </w:t>
      </w: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keepLines w:val="0"/>
        <w:pageBreakBefore w:val="0"/>
        <w:widowControl/>
        <w:numPr>
          <w:ilvl w:val="0"/>
          <w:numId w:val="0"/>
        </w:numPr>
        <w:spacing w:before="0" w:after="10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A summary of option activity under the 2011 Equity Incentive Plans during the year</w:t>
      </w:r>
      <w:r>
        <w:rPr>
          <w:rFonts w:ascii="Times New Roman" w:eastAsia="Times New Roman" w:hAnsi="Times New Roman" w:cs="Times New Roman"/>
          <w:sz w:val="20"/>
        </w:rPr>
        <w:t>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is presented below: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05"/>
        <w:gridCol w:w="1535"/>
        <w:gridCol w:w="100"/>
        <w:gridCol w:w="75"/>
        <w:gridCol w:w="160"/>
        <w:gridCol w:w="1375"/>
        <w:gridCol w:w="100"/>
        <w:gridCol w:w="75"/>
        <w:gridCol w:w="163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05"/>
          <w:jc w:val="left"/>
        </w:trPr>
        <w:tc>
          <w:tcPr>
            <w:tcW w:w="52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i/>
                <w:color w:val="000000"/>
                <w:sz w:val="20"/>
              </w:rPr>
              <w:t>Options Outstanding</w:t>
            </w:r>
          </w:p>
        </w:tc>
        <w:tc>
          <w:tcPr>
            <w:tcW w:w="163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Common Shares</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20"/>
              </w:rPr>
              <w:t>Weighted Average</w:t>
            </w:r>
          </w:p>
          <w:p>
            <w:pPr>
              <w:spacing w:after="30" w:line="240" w:lineRule="auto"/>
              <w:ind w:left="0" w:right="0"/>
              <w:jc w:val="center"/>
            </w:pPr>
            <w:r>
              <w:rPr>
                <w:rFonts w:ascii="Times New Roman" w:eastAsia="Times New Roman" w:hAnsi="Times New Roman" w:cs="Times New Roman"/>
                <w:color w:val="000000"/>
                <w:sz w:val="20"/>
              </w:rPr>
              <w:t>Exercise Price</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20"/>
              </w:rPr>
              <w:t>Weighted Average</w:t>
            </w:r>
          </w:p>
          <w:p>
            <w:pPr>
              <w:spacing w:line="240" w:lineRule="auto"/>
              <w:ind w:left="0" w:right="0"/>
              <w:jc w:val="center"/>
            </w:pPr>
            <w:r>
              <w:rPr>
                <w:rFonts w:ascii="Times New Roman" w:eastAsia="Times New Roman" w:hAnsi="Times New Roman" w:cs="Times New Roman"/>
                <w:color w:val="000000"/>
                <w:sz w:val="20"/>
              </w:rPr>
              <w:t>Remaining Life</w:t>
            </w:r>
          </w:p>
          <w:p>
            <w:pPr>
              <w:spacing w:after="30" w:line="240" w:lineRule="auto"/>
              <w:ind w:left="0" w:right="0"/>
              <w:jc w:val="center"/>
            </w:pPr>
            <w:r>
              <w:rPr>
                <w:rFonts w:ascii="Times New Roman" w:eastAsia="Times New Roman" w:hAnsi="Times New Roman" w:cs="Times New Roman"/>
                <w:color w:val="000000"/>
                <w:sz w:val="20"/>
              </w:rPr>
              <w:t>(Years)</w:t>
            </w:r>
          </w:p>
        </w:tc>
      </w:tr>
      <w:tr>
        <w:tblPrEx>
          <w:tblW w:w="10465" w:type="dxa"/>
          <w:jc w:val="left"/>
          <w:tblInd w:w="0" w:type="dxa"/>
          <w:tblCellMar>
            <w:left w:w="108" w:type="dxa"/>
            <w:right w:w="108" w:type="dxa"/>
          </w:tblCellMar>
        </w:tblPrEx>
        <w:trPr>
          <w:cantSplit/>
          <w:trHeight w:hRule="exact" w:val="300"/>
          <w:jc w:val="left"/>
        </w:trPr>
        <w:tc>
          <w:tcPr>
            <w:tcW w:w="52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Outstanding at December 31, 2018</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1,040,477 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5.23 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6.5</w:t>
            </w: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586,552 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Expired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(147,313)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(121,879)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2.70 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Outstanding at December 31, 2019</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1,357,837 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3.24 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7.2</w:t>
            </w: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411,350 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Exercised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(369)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Expired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(56,012)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5.08 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single" w:sz="8" w:space="0" w:color="000000"/>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Outstanding at December 31, 2020</w:t>
            </w:r>
          </w:p>
        </w:tc>
        <w:tc>
          <w:tcPr>
            <w:tcW w:w="153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1,712,806 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2.56 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6.9</w:t>
            </w:r>
          </w:p>
        </w:tc>
      </w:tr>
      <w:tr>
        <w:tblPrEx>
          <w:tblW w:w="10465" w:type="dxa"/>
          <w:jc w:val="left"/>
          <w:tblInd w:w="0" w:type="dxa"/>
          <w:tblCellMar>
            <w:left w:w="108" w:type="dxa"/>
            <w:right w:w="108" w:type="dxa"/>
          </w:tblCellMar>
        </w:tblPrEx>
        <w:trPr>
          <w:cantSplit/>
          <w:trHeight w:hRule="exact" w:val="180"/>
          <w:jc w:val="left"/>
        </w:trPr>
        <w:tc>
          <w:tcPr>
            <w:tcW w:w="52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5205"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Exercisable at December 31, 2020</w:t>
            </w:r>
          </w:p>
        </w:tc>
        <w:tc>
          <w:tcPr>
            <w:tcW w:w="1535"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997,320 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3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3.84 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35"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pPr>
              <w:pageBreakBefore w:val="0"/>
              <w:spacing w:before="75" w:after="30" w:line="240" w:lineRule="auto"/>
              <w:ind w:right="0"/>
              <w:jc w:val="right"/>
            </w:pPr>
            <w:r>
              <w:rPr>
                <w:rFonts w:ascii="Times New Roman" w:eastAsia="Times New Roman" w:hAnsi="Times New Roman" w:cs="Times New Roman"/>
                <w:color w:val="000000"/>
                <w:sz w:val="20"/>
              </w:rPr>
              <w:t>5.7</w:t>
            </w:r>
          </w:p>
        </w:tc>
      </w:tr>
    </w:tbl>
    <w:p>
      <w:pPr>
        <w:keepNext w:val="0"/>
        <w:keepLines w:val="0"/>
        <w:pageBreakBefore w:val="0"/>
        <w:widowControl/>
        <w:numPr>
          <w:ilvl w:val="0"/>
          <w:numId w:val="0"/>
        </w:numPr>
        <w:spacing w:before="10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r>
        <w:rPr>
          <w:rFonts w:ascii="Times New Roman" w:eastAsia="Times New Roman" w:hAnsi="Times New Roman" w:cs="Times New Roman"/>
          <w:sz w:val="20"/>
        </w:rPr>
        <w:t>369</w:t>
      </w:r>
      <w:r>
        <w:rPr>
          <w:rFonts w:ascii="Times New Roman" w:eastAsia="Times New Roman" w:hAnsi="Times New Roman" w:cs="Times New Roman"/>
          <w:sz w:val="20"/>
        </w:rPr>
        <w:t xml:space="preserve"> options were exercised for gross proceeds of </w:t>
      </w:r>
      <w:r>
        <w:rPr>
          <w:rFonts w:ascii="Times New Roman" w:eastAsia="Times New Roman" w:hAnsi="Times New Roman" w:cs="Times New Roman"/>
          <w:sz w:val="20"/>
        </w:rPr>
        <w:t>$369</w:t>
      </w:r>
      <w:r>
        <w:rPr>
          <w:rFonts w:ascii="Times New Roman" w:eastAsia="Times New Roman" w:hAnsi="Times New Roman" w:cs="Times New Roman"/>
          <w:sz w:val="20"/>
        </w:rPr>
        <w:t xml:space="preserve">. The intrinsic value on exercised options was </w:t>
      </w:r>
      <w:r>
        <w:rPr>
          <w:rFonts w:ascii="Times New Roman" w:eastAsia="Times New Roman" w:hAnsi="Times New Roman" w:cs="Times New Roman"/>
          <w:sz w:val="20"/>
        </w:rPr>
        <w:t>$265</w:t>
      </w:r>
      <w:r>
        <w:rPr>
          <w:rFonts w:ascii="Times New Roman" w:eastAsia="Times New Roman" w:hAnsi="Times New Roman" w:cs="Times New Roman"/>
          <w:sz w:val="20"/>
        </w:rPr>
        <w:t xml:space="preserve">. There were </w:t>
      </w:r>
      <w:r>
        <w:rPr>
          <w:rFonts w:ascii="Times New Roman" w:eastAsia="Times New Roman" w:hAnsi="Times New Roman" w:cs="Times New Roman"/>
          <w:sz w:val="20"/>
        </w:rPr>
        <w:t>no</w:t>
      </w:r>
      <w:r>
        <w:rPr>
          <w:rFonts w:ascii="Times New Roman" w:eastAsia="Times New Roman" w:hAnsi="Times New Roman" w:cs="Times New Roman"/>
          <w:sz w:val="20"/>
        </w:rPr>
        <w:t xml:space="preserve"> options exercised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The fair value of the Company's common stock on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was approximately </w:t>
      </w:r>
      <w:r>
        <w:rPr>
          <w:rFonts w:ascii="Times New Roman" w:eastAsia="Times New Roman" w:hAnsi="Times New Roman" w:cs="Times New Roman"/>
          <w:sz w:val="20"/>
        </w:rPr>
        <w:t>$1.82</w:t>
      </w:r>
      <w:r>
        <w:rPr>
          <w:rFonts w:ascii="Times New Roman" w:eastAsia="Times New Roman" w:hAnsi="Times New Roman" w:cs="Times New Roman"/>
          <w:sz w:val="20"/>
        </w:rPr>
        <w:t xml:space="preserve"> per share and the intrinsic value on outstanding options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$1,127,194</w:t>
      </w:r>
      <w:r>
        <w:rPr>
          <w:rFonts w:ascii="Times New Roman" w:eastAsia="Times New Roman" w:hAnsi="Times New Roman" w:cs="Times New Roman"/>
          <w:sz w:val="20"/>
        </w:rPr>
        <w:t xml:space="preserve">. The intrinsic value on exercisable options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$364,866</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A summary of the nonvested stock option activity under the 2011 Equity Incentive Plans during the year</w:t>
      </w:r>
      <w:r>
        <w:rPr>
          <w:rFonts w:ascii="Times New Roman" w:eastAsia="Times New Roman" w:hAnsi="Times New Roman" w:cs="Times New Roman"/>
          <w:sz w:val="20"/>
        </w:rPr>
        <w:t>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and </w:t>
      </w:r>
      <w:r>
        <w:rPr>
          <w:rFonts w:ascii="Times New Roman" w:eastAsia="Times New Roman" w:hAnsi="Times New Roman" w:cs="Times New Roman"/>
          <w:sz w:val="20"/>
        </w:rPr>
        <w:t>December 31, 2020</w:t>
      </w:r>
      <w:r>
        <w:rPr>
          <w:rFonts w:ascii="Times New Roman" w:eastAsia="Times New Roman" w:hAnsi="Times New Roman" w:cs="Times New Roman"/>
          <w:sz w:val="20"/>
        </w:rPr>
        <w:t>, is presented below:</w:t>
      </w:r>
    </w:p>
    <w:tbl>
      <w:tblPr>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05"/>
        <w:gridCol w:w="1535"/>
        <w:gridCol w:w="100"/>
        <w:gridCol w:w="75"/>
        <w:gridCol w:w="160"/>
        <w:gridCol w:w="1375"/>
        <w:gridCol w:w="100"/>
        <w:gridCol w:w="75"/>
        <w:gridCol w:w="1635"/>
      </w:tblGrid>
      <w:tr>
        <w:tblPrEx>
          <w:tblW w:w="104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05"/>
        </w:trPr>
        <w:tc>
          <w:tcPr>
            <w:tcW w:w="520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i/>
                <w:color w:val="000000"/>
                <w:sz w:val="20"/>
              </w:rPr>
              <w:t>Nonvested Options</w:t>
            </w:r>
          </w:p>
        </w:tc>
        <w:tc>
          <w:tcPr>
            <w:tcW w:w="163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Common Shares</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20"/>
              </w:rPr>
              <w:t>Weighted Average</w:t>
            </w:r>
          </w:p>
          <w:p>
            <w:pPr>
              <w:spacing w:line="240" w:lineRule="auto"/>
              <w:ind w:left="0" w:right="0"/>
              <w:jc w:val="center"/>
            </w:pPr>
            <w:r>
              <w:rPr>
                <w:rFonts w:ascii="Times New Roman" w:eastAsia="Times New Roman" w:hAnsi="Times New Roman" w:cs="Times New Roman"/>
                <w:color w:val="000000"/>
                <w:sz w:val="20"/>
              </w:rPr>
              <w:t>Grant Date</w:t>
            </w:r>
          </w:p>
          <w:p>
            <w:pPr>
              <w:spacing w:after="30" w:line="240" w:lineRule="auto"/>
              <w:ind w:left="0" w:right="0"/>
              <w:jc w:val="center"/>
            </w:pPr>
            <w:r>
              <w:rPr>
                <w:rFonts w:ascii="Times New Roman" w:eastAsia="Times New Roman" w:hAnsi="Times New Roman" w:cs="Times New Roman"/>
                <w:color w:val="000000"/>
                <w:sz w:val="20"/>
              </w:rPr>
              <w:t>Fair Value</w:t>
            </w:r>
          </w:p>
        </w:tc>
        <w:tc>
          <w:tcPr>
            <w:tcW w:w="75"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6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20"/>
              </w:rPr>
              <w:t>Weighted Average</w:t>
            </w:r>
          </w:p>
          <w:p>
            <w:pPr>
              <w:spacing w:line="240" w:lineRule="auto"/>
              <w:ind w:left="0" w:right="0"/>
              <w:jc w:val="center"/>
            </w:pPr>
            <w:r>
              <w:rPr>
                <w:rFonts w:ascii="Times New Roman" w:eastAsia="Times New Roman" w:hAnsi="Times New Roman" w:cs="Times New Roman"/>
                <w:color w:val="000000"/>
                <w:sz w:val="20"/>
              </w:rPr>
              <w:t>Remaining Years</w:t>
            </w:r>
          </w:p>
          <w:p>
            <w:pPr>
              <w:spacing w:after="30" w:line="240" w:lineRule="auto"/>
              <w:ind w:left="0" w:right="0"/>
              <w:jc w:val="center"/>
            </w:pPr>
            <w:r>
              <w:rPr>
                <w:rFonts w:ascii="Times New Roman" w:eastAsia="Times New Roman" w:hAnsi="Times New Roman" w:cs="Times New Roman"/>
                <w:color w:val="000000"/>
                <w:sz w:val="20"/>
              </w:rPr>
              <w:t>to Vest</w:t>
            </w:r>
          </w:p>
        </w:tc>
      </w:tr>
      <w:tr>
        <w:tblPrEx>
          <w:tblW w:w="10465" w:type="dxa"/>
          <w:tblInd w:w="0" w:type="dxa"/>
          <w:tblCellMar>
            <w:left w:w="108" w:type="dxa"/>
            <w:right w:w="108" w:type="dxa"/>
          </w:tblCellMar>
        </w:tblPrEx>
        <w:trPr>
          <w:cantSplit/>
          <w:trHeight w:hRule="exact" w:val="300"/>
        </w:trPr>
        <w:tc>
          <w:tcPr>
            <w:tcW w:w="52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Nonvested at December 31, 2018</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300,510 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0.80 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2.4</w:t>
            </w:r>
          </w:p>
        </w:tc>
      </w:tr>
      <w:tr>
        <w:tblPrEx>
          <w:tblW w:w="10465" w:type="dxa"/>
          <w:tblInd w:w="0" w:type="dxa"/>
          <w:tblCellMar>
            <w:left w:w="108" w:type="dxa"/>
            <w:right w:w="108" w:type="dxa"/>
          </w:tblCellMar>
        </w:tblPrEx>
        <w:trPr>
          <w:cantSplit/>
          <w:trHeight w:hRule="exact" w:val="240"/>
        </w:trPr>
        <w:tc>
          <w:tcPr>
            <w:tcW w:w="52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586,552 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240"/>
        </w:trPr>
        <w:tc>
          <w:tcPr>
            <w:tcW w:w="52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(197,202)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240"/>
        </w:trPr>
        <w:tc>
          <w:tcPr>
            <w:tcW w:w="520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(89,081)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0.80 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2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Nonvested at December 31, 2019</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600,779 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0.64 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right="0"/>
              <w:jc w:val="right"/>
            </w:pPr>
            <w:r>
              <w:rPr>
                <w:rFonts w:ascii="Times New Roman" w:eastAsia="Times New Roman" w:hAnsi="Times New Roman" w:cs="Times New Roman"/>
                <w:color w:val="000000"/>
                <w:sz w:val="20"/>
              </w:rPr>
              <w:t>3.0</w:t>
            </w:r>
          </w:p>
        </w:tc>
      </w:tr>
      <w:tr>
        <w:tblPrEx>
          <w:tblW w:w="10465" w:type="dxa"/>
          <w:tblInd w:w="0" w:type="dxa"/>
          <w:tblCellMar>
            <w:left w:w="108" w:type="dxa"/>
            <w:right w:w="108" w:type="dxa"/>
          </w:tblCellMar>
        </w:tblPrEx>
        <w:trPr>
          <w:cantSplit/>
          <w:trHeight w:hRule="exact" w:val="240"/>
        </w:trPr>
        <w:tc>
          <w:tcPr>
            <w:tcW w:w="52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411,350 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240"/>
        </w:trPr>
        <w:tc>
          <w:tcPr>
            <w:tcW w:w="52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(283,766)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240"/>
        </w:trPr>
        <w:tc>
          <w:tcPr>
            <w:tcW w:w="520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(12,877)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0.88 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35" w:type="dxa"/>
            <w:tcBorders>
              <w:top w:val="nil"/>
              <w:left w:val="nil"/>
              <w:bottom w:val="single" w:sz="8" w:space="0" w:color="000000"/>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tblInd w:w="0" w:type="dxa"/>
          <w:tblCellMar>
            <w:left w:w="108" w:type="dxa"/>
            <w:right w:w="108" w:type="dxa"/>
          </w:tblCellMar>
        </w:tblPrEx>
        <w:trPr>
          <w:cantSplit/>
          <w:trHeight w:hRule="exact" w:val="300"/>
        </w:trPr>
        <w:tc>
          <w:tcPr>
            <w:tcW w:w="520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40" w:lineRule="auto"/>
              <w:ind w:left="0"/>
              <w:jc w:val="left"/>
            </w:pPr>
            <w:r>
              <w:rPr>
                <w:rFonts w:ascii="Times New Roman" w:eastAsia="Times New Roman" w:hAnsi="Times New Roman" w:cs="Times New Roman"/>
                <w:color w:val="000000"/>
                <w:sz w:val="20"/>
              </w:rPr>
              <w:t>Nonvested at December 31, 2020</w:t>
            </w:r>
          </w:p>
        </w:tc>
        <w:tc>
          <w:tcPr>
            <w:tcW w:w="153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715,486 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0.56 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3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40" w:lineRule="auto"/>
              <w:ind w:right="0"/>
              <w:jc w:val="right"/>
            </w:pPr>
            <w:r>
              <w:rPr>
                <w:rFonts w:ascii="Times New Roman" w:eastAsia="Times New Roman" w:hAnsi="Times New Roman" w:cs="Times New Roman"/>
                <w:color w:val="000000"/>
                <w:sz w:val="20"/>
              </w:rPr>
              <w:t>2.5</w:t>
            </w:r>
          </w:p>
        </w:tc>
      </w:tr>
    </w:tbl>
    <w:p>
      <w:pPr>
        <w:keepNext w:val="0"/>
        <w:keepLines w:val="0"/>
        <w:pageBreakBefore w:val="0"/>
        <w:widowControl/>
        <w:numPr>
          <w:ilvl w:val="0"/>
          <w:numId w:val="0"/>
        </w:numPr>
        <w:spacing w:before="10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There were outstanding options to purchase </w:t>
      </w:r>
      <w:r>
        <w:rPr>
          <w:rFonts w:ascii="Times New Roman" w:eastAsia="Times New Roman" w:hAnsi="Times New Roman" w:cs="Times New Roman"/>
          <w:sz w:val="20"/>
        </w:rPr>
        <w:t>1,712,806</w:t>
      </w:r>
      <w:r>
        <w:rPr>
          <w:rFonts w:ascii="Times New Roman" w:eastAsia="Times New Roman" w:hAnsi="Times New Roman" w:cs="Times New Roman"/>
          <w:sz w:val="20"/>
        </w:rPr>
        <w:t xml:space="preserve"> shares</w:t>
      </w:r>
      <w:r>
        <w:rPr>
          <w:rFonts w:ascii="Times New Roman" w:eastAsia="Times New Roman" w:hAnsi="Times New Roman" w:cs="Times New Roman"/>
          <w:color w:val="FF0000"/>
          <w:sz w:val="20"/>
        </w:rPr>
        <w:t xml:space="preserve"> </w:t>
      </w:r>
      <w:r>
        <w:rPr>
          <w:rFonts w:ascii="Times New Roman" w:eastAsia="Times New Roman" w:hAnsi="Times New Roman" w:cs="Times New Roman"/>
          <w:sz w:val="20"/>
        </w:rPr>
        <w:t xml:space="preserve">with a weighted average exercise price of </w:t>
      </w:r>
      <w:r>
        <w:rPr>
          <w:rFonts w:ascii="Times New Roman" w:eastAsia="Times New Roman" w:hAnsi="Times New Roman" w:cs="Times New Roman"/>
          <w:sz w:val="20"/>
        </w:rPr>
        <w:t>$2.56</w:t>
      </w:r>
      <w:r>
        <w:rPr>
          <w:rFonts w:ascii="Times New Roman" w:eastAsia="Times New Roman" w:hAnsi="Times New Roman" w:cs="Times New Roman"/>
          <w:sz w:val="20"/>
        </w:rPr>
        <w:t xml:space="preserve"> per share, of which options to purchase </w:t>
      </w:r>
      <w:r>
        <w:rPr>
          <w:rFonts w:ascii="Times New Roman" w:eastAsia="Times New Roman" w:hAnsi="Times New Roman" w:cs="Times New Roman"/>
          <w:sz w:val="20"/>
        </w:rPr>
        <w:t>997,320</w:t>
      </w:r>
      <w:r>
        <w:rPr>
          <w:rFonts w:ascii="Times New Roman" w:eastAsia="Times New Roman" w:hAnsi="Times New Roman" w:cs="Times New Roman"/>
          <w:sz w:val="20"/>
        </w:rPr>
        <w:t xml:space="preserve"> shares were exercisable with a weighted average exercise price of </w:t>
      </w:r>
      <w:r>
        <w:rPr>
          <w:rFonts w:ascii="Times New Roman" w:eastAsia="Times New Roman" w:hAnsi="Times New Roman" w:cs="Times New Roman"/>
          <w:sz w:val="20"/>
        </w:rPr>
        <w:t>$3.84</w:t>
      </w:r>
      <w:r>
        <w:rPr>
          <w:rFonts w:ascii="Times New Roman" w:eastAsia="Times New Roman" w:hAnsi="Times New Roman" w:cs="Times New Roman"/>
          <w:sz w:val="20"/>
        </w:rPr>
        <w:t xml:space="preserve"> per share as of </w:t>
      </w:r>
      <w:r>
        <w:rPr>
          <w:rFonts w:ascii="Times New Roman" w:eastAsia="Times New Roman" w:hAnsi="Times New Roman" w:cs="Times New Roman"/>
          <w:sz w:val="20"/>
        </w:rPr>
        <w:t>December 31, 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Expense recognized on stock options issued to employees 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was </w:t>
      </w:r>
      <w:r>
        <w:rPr>
          <w:rFonts w:ascii="Times New Roman" w:eastAsia="Times New Roman" w:hAnsi="Times New Roman" w:cs="Times New Roman"/>
          <w:sz w:val="20"/>
        </w:rPr>
        <w:t>$225,083</w:t>
      </w:r>
      <w:r>
        <w:rPr>
          <w:rFonts w:ascii="Times New Roman" w:eastAsia="Times New Roman" w:hAnsi="Times New Roman" w:cs="Times New Roman"/>
          <w:sz w:val="20"/>
        </w:rPr>
        <w:t xml:space="preserve"> and </w:t>
      </w:r>
      <w:r>
        <w:rPr>
          <w:rFonts w:ascii="Times New Roman" w:eastAsia="Times New Roman" w:hAnsi="Times New Roman" w:cs="Times New Roman"/>
          <w:sz w:val="20"/>
        </w:rPr>
        <w:t>$339,942</w:t>
      </w:r>
      <w:r>
        <w:rPr>
          <w:rFonts w:ascii="Times New Roman" w:eastAsia="Times New Roman" w:hAnsi="Times New Roman" w:cs="Times New Roman"/>
          <w:sz w:val="20"/>
        </w:rPr>
        <w:t xml:space="preserve">, respectively. Future compensation related to non-vested awards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is </w:t>
      </w:r>
      <w:r>
        <w:rPr>
          <w:rFonts w:ascii="Times New Roman" w:eastAsia="Times New Roman" w:hAnsi="Times New Roman" w:cs="Times New Roman"/>
          <w:sz w:val="20"/>
        </w:rPr>
        <w:t>$361,498</w:t>
      </w:r>
      <w:r>
        <w:rPr>
          <w:rFonts w:ascii="Times New Roman" w:eastAsia="Times New Roman" w:hAnsi="Times New Roman" w:cs="Times New Roman"/>
          <w:sz w:val="20"/>
        </w:rPr>
        <w:t>,</w:t>
      </w:r>
      <w:r>
        <w:rPr>
          <w:rFonts w:ascii="Times New Roman" w:eastAsia="Times New Roman" w:hAnsi="Times New Roman" w:cs="Times New Roman"/>
          <w:sz w:val="20"/>
        </w:rPr>
        <w:t xml:space="preserve"> and it is estimated to be recognized over the weighted-average vesting period of approximately </w:t>
      </w:r>
      <w:r>
        <w:rPr>
          <w:rFonts w:ascii="Times New Roman" w:eastAsia="Times New Roman" w:hAnsi="Times New Roman" w:cs="Times New Roman"/>
          <w:sz w:val="20"/>
        </w:rPr>
        <w:t>2.5 years</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10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 shows the number of stock options granted under the Company’s 2011 Equity Incentive Plans and the assumptions used to determine the fair value of those options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using </w:t>
      </w:r>
      <w:r>
        <w:rPr>
          <w:rFonts w:ascii="Times New Roman" w:eastAsia="Times New Roman" w:hAnsi="Times New Roman" w:cs="Times New Roman"/>
          <w:sz w:val="20"/>
        </w:rPr>
        <w:t>a Black-Scholes option-pricing model</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80"/>
        <w:gridCol w:w="75"/>
        <w:gridCol w:w="1065"/>
        <w:gridCol w:w="75"/>
        <w:gridCol w:w="1065"/>
        <w:gridCol w:w="75"/>
        <w:gridCol w:w="1065"/>
        <w:gridCol w:w="75"/>
        <w:gridCol w:w="1065"/>
        <w:gridCol w:w="75"/>
        <w:gridCol w:w="1065"/>
        <w:gridCol w:w="75"/>
        <w:gridCol w:w="965"/>
        <w:gridCol w:w="100"/>
        <w:gridCol w:w="75"/>
        <w:gridCol w:w="1065"/>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25"/>
          <w:jc w:val="left"/>
        </w:trPr>
        <w:tc>
          <w:tcPr>
            <w:tcW w:w="228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Period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18"/>
              </w:rPr>
              <w:t>Total Stock</w:t>
            </w:r>
          </w:p>
          <w:p>
            <w:pPr>
              <w:spacing w:line="240" w:lineRule="auto"/>
              <w:ind w:left="0" w:right="0"/>
              <w:jc w:val="center"/>
            </w:pPr>
            <w:r>
              <w:rPr>
                <w:rFonts w:ascii="Times New Roman" w:eastAsia="Times New Roman" w:hAnsi="Times New Roman" w:cs="Times New Roman"/>
                <w:color w:val="000000"/>
                <w:sz w:val="18"/>
              </w:rPr>
              <w:t>Options</w:t>
            </w:r>
          </w:p>
          <w:p>
            <w:pPr>
              <w:spacing w:after="30" w:line="240" w:lineRule="auto"/>
              <w:ind w:left="0" w:right="0"/>
              <w:jc w:val="center"/>
            </w:pPr>
            <w:r>
              <w:rPr>
                <w:rFonts w:ascii="Times New Roman" w:eastAsia="Times New Roman" w:hAnsi="Times New Roman" w:cs="Times New Roman"/>
                <w:color w:val="000000"/>
                <w:sz w:val="18"/>
              </w:rPr>
              <w:t>Granted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Weighted-Average Exercise Price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Weighted-Average Expected Term</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Weighted-Average Volatility</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Weighted-Average Risk-Free Interest Rate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Expected Dividends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18"/>
              </w:rPr>
              <w:t>Weighted-Average</w:t>
            </w:r>
          </w:p>
          <w:p>
            <w:pPr>
              <w:spacing w:line="240" w:lineRule="auto"/>
              <w:ind w:left="0" w:right="0"/>
              <w:jc w:val="center"/>
            </w:pPr>
            <w:r>
              <w:rPr>
                <w:rFonts w:ascii="Times New Roman" w:eastAsia="Times New Roman" w:hAnsi="Times New Roman" w:cs="Times New Roman"/>
                <w:color w:val="000000"/>
                <w:sz w:val="18"/>
              </w:rPr>
              <w:t>Grant Date</w:t>
            </w:r>
          </w:p>
          <w:p>
            <w:pPr>
              <w:spacing w:after="30" w:line="240" w:lineRule="auto"/>
              <w:ind w:left="0" w:right="0"/>
              <w:jc w:val="center"/>
            </w:pPr>
            <w:r>
              <w:rPr>
                <w:rFonts w:ascii="Times New Roman" w:eastAsia="Times New Roman" w:hAnsi="Times New Roman" w:cs="Times New Roman"/>
                <w:color w:val="000000"/>
                <w:sz w:val="18"/>
              </w:rPr>
              <w:t>Fair Value</w:t>
            </w:r>
          </w:p>
        </w:tc>
      </w:tr>
      <w:tr>
        <w:tblPrEx>
          <w:tblW w:w="10465" w:type="dxa"/>
          <w:jc w:val="left"/>
          <w:tblInd w:w="0" w:type="dxa"/>
          <w:tblCellMar>
            <w:left w:w="108" w:type="dxa"/>
            <w:right w:w="108" w:type="dxa"/>
          </w:tblCellMar>
        </w:tblPrEx>
        <w:trPr>
          <w:cantSplit/>
          <w:trHeight w:hRule="exact" w:val="285"/>
          <w:jc w:val="left"/>
        </w:trPr>
        <w:tc>
          <w:tcPr>
            <w:tcW w:w="2280"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40" w:lineRule="auto"/>
              <w:ind w:left="0" w:right="0"/>
              <w:jc w:val="center"/>
            </w:pPr>
            <w:r>
              <w:rPr>
                <w:rFonts w:ascii="Times New Roman" w:eastAsia="Times New Roman" w:hAnsi="Times New Roman" w:cs="Times New Roman"/>
                <w:color w:val="000000"/>
                <w:sz w:val="20"/>
              </w:rPr>
              <w:t>December 31, 2019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586,552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$0.67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6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64.38%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1.92%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6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6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$0.40</w:t>
            </w:r>
          </w:p>
        </w:tc>
      </w:tr>
      <w:tr>
        <w:tblPrEx>
          <w:tblW w:w="10465" w:type="dxa"/>
          <w:jc w:val="left"/>
          <w:tblInd w:w="0" w:type="dxa"/>
          <w:tblCellMar>
            <w:left w:w="108" w:type="dxa"/>
            <w:right w:w="108" w:type="dxa"/>
          </w:tblCellMar>
        </w:tblPrEx>
        <w:trPr>
          <w:cantSplit/>
          <w:trHeight w:hRule="exact" w:val="285"/>
          <w:jc w:val="left"/>
        </w:trPr>
        <w:tc>
          <w:tcPr>
            <w:tcW w:w="228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right="0"/>
              <w:jc w:val="center"/>
            </w:pPr>
            <w:r>
              <w:rPr>
                <w:rFonts w:ascii="Times New Roman" w:eastAsia="Times New Roman" w:hAnsi="Times New Roman" w:cs="Times New Roman"/>
                <w:color w:val="000000"/>
                <w:sz w:val="20"/>
              </w:rPr>
              <w:t>December 31, 2020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411,350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$0.69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6 years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108.58%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0.46%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6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$0.56</w:t>
            </w:r>
          </w:p>
        </w:tc>
      </w:tr>
    </w:tbl>
    <w:p>
      <w:pPr>
        <w:keepNext w:val="0"/>
        <w:keepLines w:val="0"/>
        <w:pageBreakBefore w:val="0"/>
        <w:widowControl/>
        <w:numPr>
          <w:ilvl w:val="0"/>
          <w:numId w:val="0"/>
        </w:numPr>
        <w:spacing w:before="10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Employee Stock Purchase Plan</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amended and restated IZEA Worldwide, Inc. 2014 Employee Stock Purchase Plan (the “ESPP”), provides for the issuance of up to </w:t>
      </w:r>
      <w:r>
        <w:rPr>
          <w:rFonts w:ascii="Times New Roman" w:eastAsia="Times New Roman" w:hAnsi="Times New Roman" w:cs="Times New Roman"/>
          <w:sz w:val="20"/>
        </w:rPr>
        <w:t>500,000</w:t>
      </w:r>
      <w:r>
        <w:rPr>
          <w:rFonts w:ascii="Times New Roman" w:eastAsia="Times New Roman" w:hAnsi="Times New Roman" w:cs="Times New Roman"/>
          <w:sz w:val="20"/>
        </w:rPr>
        <w:t xml:space="preserve"> shares of the Company’s common stock to employees regularly employed by the Company for </w:t>
      </w:r>
      <w:r>
        <w:rPr>
          <w:rFonts w:ascii="Times New Roman" w:eastAsia="Times New Roman" w:hAnsi="Times New Roman" w:cs="Times New Roman"/>
          <w:sz w:val="20"/>
        </w:rPr>
        <w:t>90</w:t>
      </w:r>
      <w:r>
        <w:rPr>
          <w:rFonts w:ascii="Times New Roman" w:eastAsia="Times New Roman" w:hAnsi="Times New Roman" w:cs="Times New Roman"/>
          <w:sz w:val="20"/>
        </w:rPr>
        <w:t xml:space="preserve"> days or more on a full-time or part-time basis (</w:t>
      </w:r>
      <w:r>
        <w:rPr>
          <w:rFonts w:ascii="Times New Roman" w:eastAsia="Times New Roman" w:hAnsi="Times New Roman" w:cs="Times New Roman"/>
          <w:sz w:val="20"/>
        </w:rPr>
        <w:t>20</w:t>
      </w:r>
      <w:r>
        <w:rPr>
          <w:rFonts w:ascii="Times New Roman" w:eastAsia="Times New Roman" w:hAnsi="Times New Roman" w:cs="Times New Roman"/>
          <w:sz w:val="20"/>
        </w:rPr>
        <w:t xml:space="preserve"> hours or more per week on a regular schedule). The ESPP operates in successive </w:t>
      </w:r>
      <w:r>
        <w:rPr>
          <w:rFonts w:ascii="Times New Roman" w:eastAsia="Times New Roman" w:hAnsi="Times New Roman" w:cs="Times New Roman"/>
          <w:sz w:val="20"/>
        </w:rPr>
        <w:t>six</w:t>
      </w:r>
      <w:r>
        <w:rPr>
          <w:rFonts w:ascii="Times New Roman" w:eastAsia="Times New Roman" w:hAnsi="Times New Roman" w:cs="Times New Roman"/>
          <w:sz w:val="20"/>
        </w:rPr>
        <w:t xml:space="preserve"> months offering periods commencing at the beginning of each fiscal year half. Each eligible employee who elects to participate may purchase up to </w:t>
      </w:r>
      <w:r>
        <w:rPr>
          <w:rFonts w:ascii="Times New Roman" w:eastAsia="Times New Roman" w:hAnsi="Times New Roman" w:cs="Times New Roman"/>
          <w:sz w:val="20"/>
        </w:rPr>
        <w:t>10%</w:t>
      </w:r>
      <w:r>
        <w:rPr>
          <w:rFonts w:ascii="Times New Roman" w:eastAsia="Times New Roman" w:hAnsi="Times New Roman" w:cs="Times New Roman"/>
          <w:sz w:val="20"/>
        </w:rPr>
        <w:t xml:space="preserve"> of their annual compensation in common stock not to exceed </w:t>
      </w:r>
      <w:r>
        <w:rPr>
          <w:rFonts w:ascii="Times New Roman" w:eastAsia="Times New Roman" w:hAnsi="Times New Roman" w:cs="Times New Roman"/>
          <w:sz w:val="20"/>
        </w:rPr>
        <w:t>$21,250</w:t>
      </w:r>
      <w:r>
        <w:rPr>
          <w:rFonts w:ascii="Times New Roman" w:eastAsia="Times New Roman" w:hAnsi="Times New Roman" w:cs="Times New Roman"/>
          <w:sz w:val="20"/>
        </w:rPr>
        <w:t xml:space="preserve"> annually or </w:t>
      </w:r>
      <w:r>
        <w:rPr>
          <w:rFonts w:ascii="Times New Roman" w:eastAsia="Times New Roman" w:hAnsi="Times New Roman" w:cs="Times New Roman"/>
          <w:sz w:val="20"/>
        </w:rPr>
        <w:t>2,000</w:t>
      </w:r>
      <w:r>
        <w:rPr>
          <w:rFonts w:ascii="Times New Roman" w:eastAsia="Times New Roman" w:hAnsi="Times New Roman" w:cs="Times New Roman"/>
          <w:sz w:val="20"/>
        </w:rPr>
        <w:t xml:space="preserve"> shares per offering period. The purchase price will be the lower of (i) </w:t>
      </w:r>
      <w:r>
        <w:rPr>
          <w:rFonts w:ascii="Times New Roman" w:eastAsia="Times New Roman" w:hAnsi="Times New Roman" w:cs="Times New Roman"/>
          <w:sz w:val="20"/>
        </w:rPr>
        <w:t>85%</w:t>
      </w:r>
      <w:r>
        <w:rPr>
          <w:rFonts w:ascii="Times New Roman" w:eastAsia="Times New Roman" w:hAnsi="Times New Roman" w:cs="Times New Roman"/>
          <w:sz w:val="20"/>
        </w:rPr>
        <w:t xml:space="preserve"> of the fair market value of a share of common stock on the first day of the offering period or (ii) </w:t>
      </w:r>
      <w:r>
        <w:rPr>
          <w:rFonts w:ascii="Times New Roman" w:eastAsia="Times New Roman" w:hAnsi="Times New Roman" w:cs="Times New Roman"/>
          <w:sz w:val="20"/>
        </w:rPr>
        <w:t>85%</w:t>
      </w:r>
      <w:r>
        <w:rPr>
          <w:rFonts w:ascii="Times New Roman" w:eastAsia="Times New Roman" w:hAnsi="Times New Roman" w:cs="Times New Roman"/>
          <w:sz w:val="20"/>
        </w:rPr>
        <w:t xml:space="preserve"> of the fair market value of a share of common stock on the last day of the offering period. The ESPP will continue until January 1, 2024, unless otherwise terminated by the Board. </w:t>
      </w:r>
    </w:p>
    <w:p>
      <w:pPr>
        <w:keepNext w:val="0"/>
        <w:keepLines/>
        <w:pageBreakBefore w:val="0"/>
        <w:widowControl w:val="0"/>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76"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During the</w:t>
      </w:r>
      <w:r>
        <w:rPr>
          <w:rFonts w:ascii="Times New Roman" w:eastAsia="Times New Roman" w:hAnsi="Times New Roman" w:cs="Times New Roman"/>
          <w:sz w:val="20"/>
        </w:rPr>
        <w:t xml:space="preserv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employees paid </w:t>
      </w:r>
      <w:r>
        <w:rPr>
          <w:rFonts w:ascii="Times New Roman" w:eastAsia="Times New Roman" w:hAnsi="Times New Roman" w:cs="Times New Roman"/>
          <w:sz w:val="20"/>
        </w:rPr>
        <w:t>$5,320</w:t>
      </w:r>
      <w:r>
        <w:rPr>
          <w:rFonts w:ascii="Times New Roman" w:eastAsia="Times New Roman" w:hAnsi="Times New Roman" w:cs="Times New Roman"/>
          <w:sz w:val="20"/>
        </w:rPr>
        <w:t xml:space="preserve"> to purchase </w:t>
      </w:r>
      <w:r>
        <w:rPr>
          <w:rFonts w:ascii="Times New Roman" w:eastAsia="Times New Roman" w:hAnsi="Times New Roman" w:cs="Times New Roman"/>
          <w:sz w:val="20"/>
        </w:rPr>
        <w:t>5,539</w:t>
      </w:r>
      <w:r>
        <w:rPr>
          <w:rFonts w:ascii="Times New Roman" w:eastAsia="Times New Roman" w:hAnsi="Times New Roman" w:cs="Times New Roman"/>
          <w:sz w:val="20"/>
        </w:rPr>
        <w:t xml:space="preserve"> shares of common stock and </w:t>
      </w:r>
      <w:r>
        <w:rPr>
          <w:rFonts w:ascii="Times New Roman" w:eastAsia="Times New Roman" w:hAnsi="Times New Roman" w:cs="Times New Roman"/>
          <w:sz w:val="20"/>
        </w:rPr>
        <w:t>$6,979</w:t>
      </w:r>
      <w:r>
        <w:rPr>
          <w:rFonts w:ascii="Times New Roman" w:eastAsia="Times New Roman" w:hAnsi="Times New Roman" w:cs="Times New Roman"/>
          <w:sz w:val="20"/>
        </w:rPr>
        <w:t xml:space="preserve"> to purchase </w:t>
      </w:r>
      <w:r>
        <w:rPr>
          <w:rFonts w:ascii="Times New Roman" w:eastAsia="Times New Roman" w:hAnsi="Times New Roman" w:cs="Times New Roman"/>
          <w:sz w:val="20"/>
        </w:rPr>
        <w:t>26,411</w:t>
      </w:r>
      <w:r>
        <w:rPr>
          <w:rFonts w:ascii="Times New Roman" w:eastAsia="Times New Roman" w:hAnsi="Times New Roman" w:cs="Times New Roman"/>
          <w:sz w:val="20"/>
        </w:rPr>
        <w:t xml:space="preserve"> shares of common stock, respectively.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395,613</w:t>
      </w:r>
      <w:r>
        <w:rPr>
          <w:rFonts w:ascii="Times New Roman" w:eastAsia="Times New Roman" w:hAnsi="Times New Roman" w:cs="Times New Roman"/>
          <w:sz w:val="20"/>
        </w:rPr>
        <w:t xml:space="preserve"> remaining shares of common stock available for future issuances under the ESPP.</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Summary Stock-Based Compensation</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keepLines w:val="0"/>
        <w:pageBreakBefore w:val="0"/>
        <w:widowControl/>
        <w:numPr>
          <w:ilvl w:val="0"/>
          <w:numId w:val="0"/>
        </w:numPr>
        <w:spacing w:before="0" w:after="10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Stock-based compensation cost related to all awards granted to employees is measured at the grant date</w:t>
      </w:r>
      <w:r>
        <w:rPr>
          <w:rFonts w:ascii="Times New Roman" w:eastAsia="Times New Roman" w:hAnsi="Times New Roman" w:cs="Times New Roman"/>
          <w:sz w:val="20"/>
        </w:rPr>
        <w:t xml:space="preserve"> based on the fair value of the award, and is recognized as an expense over the employee’s requisite service period</w:t>
      </w:r>
      <w:r>
        <w:rPr>
          <w:rFonts w:ascii="Times New Roman" w:eastAsia="Times New Roman" w:hAnsi="Times New Roman" w:cs="Times New Roman"/>
          <w:sz w:val="20"/>
        </w:rPr>
        <w:t xml:space="preserve"> util</w:t>
      </w:r>
      <w:r>
        <w:rPr>
          <w:rFonts w:ascii="Times New Roman" w:eastAsia="Times New Roman" w:hAnsi="Times New Roman" w:cs="Times New Roman"/>
          <w:sz w:val="20"/>
        </w:rPr>
        <w:t>i</w:t>
      </w:r>
      <w:r>
        <w:rPr>
          <w:rFonts w:ascii="Times New Roman" w:eastAsia="Times New Roman" w:hAnsi="Times New Roman" w:cs="Times New Roman"/>
          <w:sz w:val="20"/>
        </w:rPr>
        <w:t xml:space="preserve">zing the </w:t>
      </w:r>
      <w:r>
        <w:rPr>
          <w:rFonts w:ascii="Times New Roman" w:eastAsia="Times New Roman" w:hAnsi="Times New Roman" w:cs="Times New Roman"/>
          <w:sz w:val="20"/>
        </w:rPr>
        <w:t>weighted-average</w:t>
      </w:r>
      <w:r>
        <w:rPr>
          <w:rFonts w:ascii="Times New Roman" w:eastAsia="Times New Roman" w:hAnsi="Times New Roman" w:cs="Times New Roman"/>
          <w:sz w:val="20"/>
        </w:rPr>
        <w:t xml:space="preserve"> </w:t>
      </w:r>
      <w:r>
        <w:rPr>
          <w:rFonts w:ascii="Times New Roman" w:eastAsia="Times New Roman" w:hAnsi="Times New Roman" w:cs="Times New Roman"/>
          <w:sz w:val="20"/>
        </w:rPr>
        <w:t>forfeiture rates d</w:t>
      </w:r>
      <w:r>
        <w:rPr>
          <w:rFonts w:ascii="Times New Roman" w:eastAsia="Times New Roman" w:hAnsi="Times New Roman" w:cs="Times New Roman"/>
          <w:sz w:val="20"/>
        </w:rPr>
        <w:t>isclosed in Note 1</w:t>
      </w:r>
      <w:r>
        <w:rPr>
          <w:rFonts w:ascii="Times New Roman" w:eastAsia="Times New Roman" w:hAnsi="Times New Roman" w:cs="Times New Roman"/>
          <w:sz w:val="20"/>
        </w:rPr>
        <w:t xml:space="preserve">. </w:t>
      </w:r>
      <w:r>
        <w:rPr>
          <w:rFonts w:ascii="Times New Roman" w:eastAsia="Times New Roman" w:hAnsi="Times New Roman" w:cs="Times New Roman"/>
          <w:sz w:val="20"/>
        </w:rPr>
        <w:t>Total stock-based compensation expense recognized on restricted stock, restricted stock units, stock options</w:t>
      </w:r>
      <w:r>
        <w:rPr>
          <w:rFonts w:ascii="Times New Roman" w:eastAsia="Times New Roman" w:hAnsi="Times New Roman" w:cs="Times New Roman"/>
          <w:sz w:val="20"/>
        </w:rPr>
        <w:t>,</w:t>
      </w:r>
      <w:r>
        <w:rPr>
          <w:rFonts w:ascii="Times New Roman" w:eastAsia="Times New Roman" w:hAnsi="Times New Roman" w:cs="Times New Roman"/>
          <w:sz w:val="20"/>
        </w:rPr>
        <w:t xml:space="preserve"> and </w:t>
      </w:r>
      <w:r>
        <w:rPr>
          <w:rFonts w:ascii="Times New Roman" w:eastAsia="Times New Roman" w:hAnsi="Times New Roman" w:cs="Times New Roman"/>
          <w:sz w:val="20"/>
        </w:rPr>
        <w:t xml:space="preserve">employee stock purchase plan </w:t>
      </w:r>
      <w:r>
        <w:rPr>
          <w:rFonts w:ascii="Times New Roman" w:eastAsia="Times New Roman" w:hAnsi="Times New Roman" w:cs="Times New Roman"/>
          <w:sz w:val="20"/>
        </w:rPr>
        <w:t xml:space="preserve">issuances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was recorded in the Company’s consolidated statements of operations as follows: </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20"/>
        <w:gridCol w:w="75"/>
        <w:gridCol w:w="160"/>
        <w:gridCol w:w="1135"/>
        <w:gridCol w:w="100"/>
        <w:gridCol w:w="75"/>
        <w:gridCol w:w="160"/>
        <w:gridCol w:w="113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7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Twelve Months Ended</w:t>
            </w:r>
          </w:p>
        </w:tc>
      </w:tr>
      <w:tr>
        <w:tblPrEx>
          <w:tblW w:w="10465" w:type="dxa"/>
          <w:jc w:val="left"/>
          <w:tblInd w:w="0" w:type="dxa"/>
          <w:tblCellMar>
            <w:left w:w="108" w:type="dxa"/>
            <w:right w:w="108" w:type="dxa"/>
          </w:tblCellMar>
        </w:tblPrEx>
        <w:trPr>
          <w:cantSplit/>
          <w:trHeight w:hRule="exact" w:val="465"/>
          <w:jc w:val="left"/>
        </w:trPr>
        <w:tc>
          <w:tcPr>
            <w:tcW w:w="7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December 31,</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December 31,</w:t>
            </w:r>
            <w:r>
              <w:br/>
            </w:r>
            <w:r>
              <w:rPr>
                <w:rFonts w:ascii="Times New Roman" w:eastAsia="Times New Roman" w:hAnsi="Times New Roman" w:cs="Times New Roman"/>
                <w:color w:val="000000"/>
                <w:sz w:val="20"/>
              </w:rPr>
              <w:t>2019</w:t>
            </w:r>
          </w:p>
        </w:tc>
      </w:tr>
      <w:tr>
        <w:tblPrEx>
          <w:tblW w:w="10465" w:type="dxa"/>
          <w:jc w:val="left"/>
          <w:tblInd w:w="0" w:type="dxa"/>
          <w:tblCellMar>
            <w:left w:w="108" w:type="dxa"/>
            <w:right w:w="108" w:type="dxa"/>
          </w:tblCellMar>
        </w:tblPrEx>
        <w:trPr>
          <w:cantSplit/>
          <w:trHeight w:hRule="exact" w:val="285"/>
          <w:jc w:val="left"/>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Cost of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10,152 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42,467 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Sales and marketing</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55,458 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82,627 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General and administrative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412,383 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509,557 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285"/>
          <w:jc w:val="left"/>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Total stock-based compensation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477,993 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634,651 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Share Repurchase Program</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July 1, 2019, the Board authorized and approved a share repurchase program under which the Company </w:t>
      </w:r>
      <w:r>
        <w:rPr>
          <w:rFonts w:ascii="Times New Roman" w:eastAsia="Times New Roman" w:hAnsi="Times New Roman" w:cs="Times New Roman"/>
          <w:sz w:val="20"/>
        </w:rPr>
        <w:t>could</w:t>
      </w:r>
      <w:r>
        <w:rPr>
          <w:rFonts w:ascii="Times New Roman" w:eastAsia="Times New Roman" w:hAnsi="Times New Roman" w:cs="Times New Roman"/>
          <w:sz w:val="20"/>
        </w:rPr>
        <w:t xml:space="preserve"> repurchase up to </w:t>
      </w:r>
      <w:r>
        <w:rPr>
          <w:rFonts w:ascii="Times New Roman" w:eastAsia="Times New Roman" w:hAnsi="Times New Roman" w:cs="Times New Roman"/>
          <w:sz w:val="20"/>
        </w:rPr>
        <w:t>$3,500,000</w:t>
      </w:r>
      <w:r>
        <w:rPr>
          <w:rFonts w:ascii="Times New Roman" w:eastAsia="Times New Roman" w:hAnsi="Times New Roman" w:cs="Times New Roman"/>
          <w:sz w:val="20"/>
        </w:rPr>
        <w:t xml:space="preserve"> of its common stock from time to time through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subject to market conditions. </w:t>
      </w:r>
      <w:r>
        <w:rPr>
          <w:rFonts w:ascii="Times New Roman" w:eastAsia="Times New Roman" w:hAnsi="Times New Roman" w:cs="Times New Roman"/>
          <w:sz w:val="20"/>
        </w:rPr>
        <w:t>T</w:t>
      </w:r>
      <w:r>
        <w:rPr>
          <w:rFonts w:ascii="Times New Roman" w:eastAsia="Times New Roman" w:hAnsi="Times New Roman" w:cs="Times New Roman"/>
          <w:sz w:val="20"/>
        </w:rPr>
        <w:t xml:space="preserve">he Company </w:t>
      </w:r>
      <w:r>
        <w:rPr>
          <w:rFonts w:ascii="Times New Roman" w:eastAsia="Times New Roman" w:hAnsi="Times New Roman" w:cs="Times New Roman"/>
          <w:sz w:val="20"/>
        </w:rPr>
        <w:t>did</w:t>
      </w:r>
      <w:r>
        <w:rPr>
          <w:rFonts w:ascii="Times New Roman" w:eastAsia="Times New Roman" w:hAnsi="Times New Roman" w:cs="Times New Roman"/>
          <w:sz w:val="20"/>
        </w:rPr>
        <w:t xml:space="preserve"> not repurchase</w:t>
      </w:r>
      <w:r>
        <w:rPr>
          <w:rFonts w:ascii="Times New Roman" w:eastAsia="Times New Roman" w:hAnsi="Times New Roman" w:cs="Times New Roman"/>
          <w:sz w:val="20"/>
        </w:rPr>
        <w:t xml:space="preserve"> any shares of common stock under the share repurchase program</w:t>
      </w:r>
      <w:r>
        <w:rPr>
          <w:rFonts w:ascii="Times New Roman" w:eastAsia="Times New Roman" w:hAnsi="Times New Roman" w:cs="Times New Roman"/>
          <w:sz w:val="20"/>
        </w:rPr>
        <w:t xml:space="preserve"> </w:t>
      </w:r>
      <w:r>
        <w:rPr>
          <w:rFonts w:ascii="Times New Roman" w:eastAsia="Times New Roman" w:hAnsi="Times New Roman" w:cs="Times New Roman"/>
          <w:sz w:val="20"/>
        </w:rPr>
        <w:t>prior to its</w:t>
      </w:r>
      <w:r>
        <w:rPr>
          <w:rFonts w:ascii="Times New Roman" w:eastAsia="Times New Roman" w:hAnsi="Times New Roman" w:cs="Times New Roman"/>
          <w:sz w:val="20"/>
        </w:rPr>
        <w:t xml:space="preserve"> expir</w:t>
      </w:r>
      <w:r>
        <w:rPr>
          <w:rFonts w:ascii="Times New Roman" w:eastAsia="Times New Roman" w:hAnsi="Times New Roman" w:cs="Times New Roman"/>
          <w:sz w:val="20"/>
        </w:rPr>
        <w:t>ation on December 31, 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both"/>
        <w:outlineLvl w:val="3"/>
        <w:rPr>
          <w:rFonts w:ascii="Times New Roman" w:eastAsia="Times New Roman" w:hAnsi="Times New Roman" w:cs="Times New Roman"/>
          <w:b/>
          <w:sz w:val="20"/>
        </w:rPr>
      </w:pPr>
      <w:bookmarkStart w:id="38" w:name="Section39"/>
      <w:bookmarkEnd w:id="38"/>
      <w:r>
        <w:rPr>
          <w:rFonts w:ascii="Times New Roman" w:eastAsia="Times New Roman" w:hAnsi="Times New Roman" w:cs="Times New Roman"/>
          <w:b/>
          <w:sz w:val="20"/>
        </w:rPr>
        <w:t>NOTE 9.</w:t>
      </w:r>
      <w:r>
        <w:rPr>
          <w:rFonts w:ascii="Times New Roman" w:eastAsia="Times New Roman" w:hAnsi="Times New Roman" w:cs="Times New Roman"/>
          <w:b/>
          <w:sz w:val="20"/>
        </w:rPr>
        <w:tab/>
      </w:r>
      <w:r>
        <w:rPr>
          <w:rFonts w:ascii="Times New Roman" w:eastAsia="Times New Roman" w:hAnsi="Times New Roman" w:cs="Times New Roman"/>
          <w:b/>
          <w:sz w:val="20"/>
        </w:rPr>
        <w:t>LOSS PER COMMON SHARE</w:t>
      </w: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0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Basic earnings (loss) per common share is computed by dividing the net income or loss by the basic weighted-average number of shares of common stock outstanding during each period presented. Although restricted stock is issued upon the grant of an award, the Company excludes restricted stock from the computations of weighted-average number of shares of common stock outstanding until such time as the stock vests. </w:t>
      </w:r>
      <w:r>
        <w:rPr>
          <w:rFonts w:ascii="Times New Roman" w:eastAsia="Times New Roman" w:hAnsi="Times New Roman" w:cs="Times New Roman"/>
          <w:sz w:val="20"/>
        </w:rPr>
        <w:t xml:space="preserve">Diluted loss per share is computed by dividing the net income or loss by the sum of the total of the basic weighted-average number of shares of common stock outstanding plus the additional dilutive securities that could be exercised or converted into common shares during each period presented less the amount of shares that could be repurchased using the proceeds from the exercises. </w:t>
      </w:r>
    </w:p>
    <w:tbl>
      <w:tblPr>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20"/>
        <w:gridCol w:w="75"/>
        <w:gridCol w:w="160"/>
        <w:gridCol w:w="1135"/>
        <w:gridCol w:w="100"/>
        <w:gridCol w:w="75"/>
        <w:gridCol w:w="160"/>
        <w:gridCol w:w="1135"/>
        <w:gridCol w:w="100"/>
      </w:tblGrid>
      <w:tr>
        <w:tblPrEx>
          <w:tblW w:w="104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7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Twelve Months Ended</w:t>
            </w:r>
          </w:p>
        </w:tc>
      </w:tr>
      <w:tr>
        <w:tblPrEx>
          <w:tblW w:w="10465" w:type="dxa"/>
          <w:jc w:val="center"/>
          <w:tblInd w:w="0" w:type="dxa"/>
          <w:tblCellMar>
            <w:left w:w="108" w:type="dxa"/>
            <w:right w:w="108" w:type="dxa"/>
          </w:tblCellMar>
        </w:tblPrEx>
        <w:trPr>
          <w:cantSplit/>
          <w:trHeight w:hRule="exact" w:val="495"/>
          <w:jc w:val="center"/>
        </w:trPr>
        <w:tc>
          <w:tcPr>
            <w:tcW w:w="7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December 31,</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December 31,</w:t>
            </w:r>
            <w:r>
              <w:br/>
            </w:r>
            <w:r>
              <w:rPr>
                <w:rFonts w:ascii="Times New Roman" w:eastAsia="Times New Roman" w:hAnsi="Times New Roman" w:cs="Times New Roman"/>
                <w:color w:val="000000"/>
                <w:sz w:val="20"/>
              </w:rPr>
              <w:t>2019</w:t>
            </w:r>
          </w:p>
        </w:tc>
      </w:tr>
      <w:tr>
        <w:tblPrEx>
          <w:tblW w:w="10465"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Net loss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(10,250,007)</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(7,290,120)</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center"/>
          <w:tblInd w:w="0" w:type="dxa"/>
          <w:tblCellMar>
            <w:left w:w="108" w:type="dxa"/>
            <w:right w:w="108" w:type="dxa"/>
          </w:tblCellMar>
        </w:tblPrEx>
        <w:trPr>
          <w:cantSplit/>
          <w:trHeight w:hRule="exact" w:val="495"/>
          <w:jc w:val="center"/>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Weighted average shares outstanding - basic and diluted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41,289,705 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25,516,573 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Basic and diluted loss per common share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(0.25)</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(0.29)</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spacing w:before="10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excluded the following weighted average items from the above computation of diluted loss per common share, as their effect would be anti-dilutive: </w:t>
      </w:r>
    </w:p>
    <w:tbl>
      <w:tblPr>
        <w:tblW w:w="1054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20"/>
        <w:gridCol w:w="75"/>
        <w:gridCol w:w="75"/>
        <w:gridCol w:w="1295"/>
        <w:gridCol w:w="100"/>
        <w:gridCol w:w="75"/>
        <w:gridCol w:w="1295"/>
        <w:gridCol w:w="100"/>
      </w:tblGrid>
      <w:tr>
        <w:tblPrEx>
          <w:tblW w:w="1054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7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5"/>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Twelve Months Ended</w:t>
            </w:r>
          </w:p>
        </w:tc>
      </w:tr>
      <w:tr>
        <w:tblPrEx>
          <w:tblW w:w="10542" w:type="dxa"/>
          <w:jc w:val="center"/>
          <w:tblInd w:w="0" w:type="dxa"/>
          <w:tblCellMar>
            <w:left w:w="108" w:type="dxa"/>
            <w:right w:w="108" w:type="dxa"/>
          </w:tblCellMar>
        </w:tblPrEx>
        <w:trPr>
          <w:cantSplit/>
          <w:trHeight w:hRule="exact" w:val="495"/>
          <w:jc w:val="center"/>
        </w:trPr>
        <w:tc>
          <w:tcPr>
            <w:tcW w:w="7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December 31,</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December 31,</w:t>
            </w:r>
            <w:r>
              <w:br/>
            </w:r>
            <w:r>
              <w:rPr>
                <w:rFonts w:ascii="Times New Roman" w:eastAsia="Times New Roman" w:hAnsi="Times New Roman" w:cs="Times New Roman"/>
                <w:color w:val="000000"/>
                <w:sz w:val="20"/>
              </w:rPr>
              <w:t>2019</w:t>
            </w:r>
          </w:p>
        </w:tc>
      </w:tr>
      <w:tr>
        <w:tblPrEx>
          <w:tblW w:w="10542"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Stock options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1,560,828 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1,222,305 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542"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Restricted stock units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980,785 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281,365 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542"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Restricted stock</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232,600 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96,747 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542"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Warrants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6,517 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73,996 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542" w:type="dxa"/>
          <w:jc w:val="center"/>
          <w:tblInd w:w="0" w:type="dxa"/>
          <w:tblCellMar>
            <w:left w:w="108" w:type="dxa"/>
            <w:right w:w="108" w:type="dxa"/>
          </w:tblCellMar>
        </w:tblPrEx>
        <w:trPr>
          <w:cantSplit/>
          <w:trHeight w:hRule="exact" w:val="300"/>
          <w:jc w:val="center"/>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Total excluded shares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2,780,730 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1,674,413 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both"/>
        <w:outlineLvl w:val="3"/>
        <w:rPr>
          <w:rFonts w:ascii="Times New Roman" w:eastAsia="Times New Roman" w:hAnsi="Times New Roman" w:cs="Times New Roman"/>
          <w:b/>
          <w:sz w:val="20"/>
        </w:rPr>
      </w:pPr>
      <w:bookmarkStart w:id="39" w:name="Section40"/>
      <w:bookmarkEnd w:id="39"/>
      <w:r>
        <w:rPr>
          <w:rFonts w:ascii="Times New Roman" w:eastAsia="Times New Roman" w:hAnsi="Times New Roman" w:cs="Times New Roman"/>
          <w:b/>
          <w:sz w:val="20"/>
        </w:rPr>
        <w:t>NOTE 10.</w:t>
      </w:r>
      <w:r>
        <w:rPr>
          <w:rFonts w:ascii="Times New Roman" w:eastAsia="Times New Roman" w:hAnsi="Times New Roman" w:cs="Times New Roman"/>
          <w:b/>
          <w:sz w:val="20"/>
        </w:rPr>
        <w:tab/>
      </w:r>
      <w:r>
        <w:rPr>
          <w:rFonts w:ascii="Times New Roman" w:eastAsia="Times New Roman" w:hAnsi="Times New Roman" w:cs="Times New Roman"/>
          <w:b/>
          <w:sz w:val="20"/>
        </w:rPr>
        <w:t>REVENUE</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0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has consistently applied its accounting policies with respect to revenue to all periods presented in the consolidated financial statements contained herein. </w:t>
      </w:r>
      <w:r>
        <w:rPr>
          <w:rFonts w:ascii="Times New Roman" w:eastAsia="Times New Roman" w:hAnsi="Times New Roman" w:cs="Times New Roman"/>
          <w:sz w:val="20"/>
        </w:rPr>
        <w:t>The following table illustrates the Company’s revenue by product service type:</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20"/>
        <w:gridCol w:w="75"/>
        <w:gridCol w:w="160"/>
        <w:gridCol w:w="1135"/>
        <w:gridCol w:w="100"/>
        <w:gridCol w:w="75"/>
        <w:gridCol w:w="160"/>
        <w:gridCol w:w="113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7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Twelve Months Ended</w:t>
            </w:r>
          </w:p>
        </w:tc>
      </w:tr>
      <w:tr>
        <w:tblPrEx>
          <w:tblW w:w="10465" w:type="dxa"/>
          <w:jc w:val="left"/>
          <w:tblInd w:w="0" w:type="dxa"/>
          <w:tblCellMar>
            <w:left w:w="108" w:type="dxa"/>
            <w:right w:w="108" w:type="dxa"/>
          </w:tblCellMar>
        </w:tblPrEx>
        <w:trPr>
          <w:cantSplit/>
          <w:trHeight w:hRule="exact" w:val="465"/>
          <w:jc w:val="left"/>
        </w:trPr>
        <w:tc>
          <w:tcPr>
            <w:tcW w:w="73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December 31,</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December 31,</w:t>
            </w:r>
            <w:r>
              <w:br/>
            </w:r>
            <w:r>
              <w:rPr>
                <w:rFonts w:ascii="Times New Roman" w:eastAsia="Times New Roman" w:hAnsi="Times New Roman" w:cs="Times New Roman"/>
                <w:color w:val="000000"/>
                <w:sz w:val="20"/>
              </w:rPr>
              <w:t>2019</w:t>
            </w:r>
          </w:p>
        </w:tc>
      </w:tr>
      <w:tr>
        <w:tblPrEx>
          <w:tblW w:w="10465" w:type="dxa"/>
          <w:jc w:val="left"/>
          <w:tblInd w:w="0" w:type="dxa"/>
          <w:tblCellMar>
            <w:left w:w="108" w:type="dxa"/>
            <w:right w:w="108" w:type="dxa"/>
          </w:tblCellMar>
        </w:tblPrEx>
        <w:trPr>
          <w:cantSplit/>
          <w:trHeight w:hRule="exact" w:val="300"/>
          <w:jc w:val="left"/>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color w:val="000000"/>
                <w:sz w:val="20"/>
              </w:rPr>
              <w:t>Managed Services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15,987,226 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15,432,868 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165"/>
          <w:jc w:val="left"/>
        </w:trPr>
        <w:tc>
          <w:tcPr>
            <w:tcW w:w="73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Legacy Workflow Fees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156,119 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Marketplace Spend Fees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621,931 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1,270,560 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License Fees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1,507,336 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1,986,285 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73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Other Fees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213,062 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109,840 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color w:val="000000"/>
                <w:sz w:val="20"/>
              </w:rPr>
              <w:t>SaaS Services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2,342,329 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3,522,804 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65" w:type="dxa"/>
          <w:jc w:val="left"/>
          <w:tblInd w:w="0" w:type="dxa"/>
          <w:tblCellMar>
            <w:left w:w="108" w:type="dxa"/>
            <w:right w:w="108" w:type="dxa"/>
          </w:tblCellMar>
        </w:tblPrEx>
        <w:trPr>
          <w:cantSplit/>
          <w:trHeight w:hRule="exact" w:val="165"/>
          <w:jc w:val="left"/>
        </w:trPr>
        <w:tc>
          <w:tcPr>
            <w:tcW w:w="73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65" w:type="dxa"/>
          <w:jc w:val="left"/>
          <w:tblInd w:w="0" w:type="dxa"/>
          <w:tblCellMar>
            <w:left w:w="108" w:type="dxa"/>
            <w:right w:w="108" w:type="dxa"/>
          </w:tblCellMar>
        </w:tblPrEx>
        <w:trPr>
          <w:cantSplit/>
          <w:trHeight w:hRule="exact" w:val="300"/>
          <w:jc w:val="left"/>
        </w:trPr>
        <w:tc>
          <w:tcPr>
            <w:tcW w:w="732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495"/>
              <w:jc w:val="left"/>
            </w:pPr>
            <w:r>
              <w:rPr>
                <w:rFonts w:ascii="Times New Roman" w:eastAsia="Times New Roman" w:hAnsi="Times New Roman" w:cs="Times New Roman"/>
                <w:b/>
                <w:color w:val="000000"/>
                <w:sz w:val="20"/>
              </w:rPr>
              <w:t>Total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18,329,555 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18,955,672 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r>
    </w:tbl>
    <w:p>
      <w:pPr>
        <w:keepNext/>
        <w:keepLines/>
        <w:pageBreakBefore w:val="0"/>
        <w:widowControl w:val="0"/>
        <w:numPr>
          <w:ilvl w:val="0"/>
          <w:numId w:val="0"/>
        </w:numPr>
        <w:spacing w:before="100" w:after="0" w:line="288" w:lineRule="auto"/>
        <w:ind w:left="0" w:right="0" w:firstLine="72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 provides the Company’s revenues as determined by the country of domicile:</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245"/>
        <w:gridCol w:w="75"/>
        <w:gridCol w:w="75"/>
        <w:gridCol w:w="160"/>
        <w:gridCol w:w="1135"/>
        <w:gridCol w:w="100"/>
        <w:gridCol w:w="75"/>
        <w:gridCol w:w="160"/>
        <w:gridCol w:w="113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72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Twelve Months Ended</w:t>
            </w:r>
          </w:p>
        </w:tc>
      </w:tr>
      <w:tr>
        <w:tblPrEx>
          <w:tblW w:w="10465" w:type="dxa"/>
          <w:jc w:val="left"/>
          <w:tblInd w:w="0" w:type="dxa"/>
          <w:tblCellMar>
            <w:left w:w="108" w:type="dxa"/>
            <w:right w:w="108" w:type="dxa"/>
          </w:tblCellMar>
        </w:tblPrEx>
        <w:trPr>
          <w:cantSplit/>
          <w:trHeight w:hRule="exact" w:val="465"/>
          <w:jc w:val="left"/>
        </w:trPr>
        <w:tc>
          <w:tcPr>
            <w:tcW w:w="72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December 31,</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December 31,</w:t>
            </w:r>
            <w:r>
              <w:br/>
            </w:r>
            <w:r>
              <w:rPr>
                <w:rFonts w:ascii="Times New Roman" w:eastAsia="Times New Roman" w:hAnsi="Times New Roman" w:cs="Times New Roman"/>
                <w:color w:val="000000"/>
                <w:sz w:val="20"/>
              </w:rPr>
              <w:t>2019</w:t>
            </w:r>
          </w:p>
        </w:tc>
      </w:tr>
      <w:tr>
        <w:tblPrEx>
          <w:tblW w:w="10465" w:type="dxa"/>
          <w:jc w:val="left"/>
          <w:tblInd w:w="0" w:type="dxa"/>
          <w:tblCellMar>
            <w:left w:w="108" w:type="dxa"/>
            <w:right w:w="108" w:type="dxa"/>
          </w:tblCellMar>
        </w:tblPrEx>
        <w:trPr>
          <w:cantSplit/>
          <w:trHeight w:hRule="exact" w:val="300"/>
          <w:jc w:val="left"/>
        </w:trPr>
        <w:tc>
          <w:tcPr>
            <w:tcW w:w="724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United States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17,231,712 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17,358,167 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724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Canada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1,097,843 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1,597,505 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65" w:type="dxa"/>
          <w:jc w:val="left"/>
          <w:tblInd w:w="0" w:type="dxa"/>
          <w:tblCellMar>
            <w:left w:w="108" w:type="dxa"/>
            <w:right w:w="108" w:type="dxa"/>
          </w:tblCellMar>
        </w:tblPrEx>
        <w:trPr>
          <w:cantSplit/>
          <w:trHeight w:hRule="exact" w:val="300"/>
          <w:jc w:val="left"/>
        </w:trPr>
        <w:tc>
          <w:tcPr>
            <w:tcW w:w="724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225"/>
              <w:jc w:val="left"/>
            </w:pPr>
            <w:r>
              <w:rPr>
                <w:rFonts w:ascii="Times New Roman" w:eastAsia="Times New Roman" w:hAnsi="Times New Roman" w:cs="Times New Roman"/>
                <w:color w:val="000000"/>
                <w:sz w:val="20"/>
              </w:rPr>
              <w:t>Total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18,329,555 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18,955,672 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88" w:lineRule="auto"/>
        <w:ind w:left="0" w:right="0" w:firstLine="0"/>
        <w:jc w:val="left"/>
        <w:outlineLvl w:val="9"/>
        <w:rPr>
          <w:rFonts w:ascii="Times New Roman" w:eastAsia="Times New Roman" w:hAnsi="Times New Roman" w:cs="Times New Roman"/>
          <w:sz w:val="20"/>
        </w:rPr>
      </w:pPr>
    </w:p>
    <w:p>
      <w:pPr>
        <w:keepNext/>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Contract Balances</w:t>
      </w:r>
    </w:p>
    <w:p>
      <w:pPr>
        <w:keepNext/>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9"/>
        <w:rPr>
          <w:rFonts w:ascii="Times New Roman" w:eastAsia="Times New Roman" w:hAnsi="Times New Roman" w:cs="Times New Roman"/>
          <w:b/>
          <w:sz w:val="20"/>
          <w:u w:val="single"/>
        </w:r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 provides information about receivables, contract assets and contract liabilities from contracts with customers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reported </w:t>
      </w:r>
      <w:r>
        <w:rPr>
          <w:rFonts w:ascii="Times New Roman" w:eastAsia="Times New Roman" w:hAnsi="Times New Roman" w:cs="Times New Roman"/>
          <w:sz w:val="20"/>
        </w:rPr>
        <w:t>in the Company’s consolidated balance sheet</w:t>
      </w:r>
      <w:r>
        <w:rPr>
          <w:rFonts w:ascii="Times New Roman" w:eastAsia="Times New Roman" w:hAnsi="Times New Roman" w:cs="Times New Roman"/>
          <w:sz w:val="20"/>
        </w:rPr>
        <w:t>:</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65"/>
        <w:gridCol w:w="160"/>
        <w:gridCol w:w="1135"/>
        <w:gridCol w:w="100"/>
        <w:gridCol w:w="75"/>
        <w:gridCol w:w="160"/>
        <w:gridCol w:w="1135"/>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73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w:t>
            </w:r>
            <w:r>
              <w:br/>
            </w:r>
            <w:r>
              <w:rPr>
                <w:rFonts w:ascii="Times New Roman" w:eastAsia="Times New Roman" w:hAnsi="Times New Roman" w:cs="Times New Roman"/>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December 31, 2019</w:t>
            </w:r>
          </w:p>
        </w:tc>
      </w:tr>
      <w:tr>
        <w:tblPrEx>
          <w:tblW w:w="10435" w:type="dxa"/>
          <w:jc w:val="left"/>
          <w:tblInd w:w="0" w:type="dxa"/>
          <w:tblCellMar>
            <w:left w:w="108" w:type="dxa"/>
            <w:right w:w="108" w:type="dxa"/>
          </w:tblCellMar>
        </w:tblPrEx>
        <w:trPr>
          <w:cantSplit/>
          <w:trHeight w:hRule="exact" w:val="285"/>
          <w:jc w:val="left"/>
        </w:trPr>
        <w:tc>
          <w:tcPr>
            <w:tcW w:w="73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Accounts receivable, net</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5,207,205 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5,596,719 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35" w:type="dxa"/>
          <w:jc w:val="left"/>
          <w:tblInd w:w="0" w:type="dxa"/>
          <w:tblCellMar>
            <w:left w:w="108" w:type="dxa"/>
            <w:right w:w="108" w:type="dxa"/>
          </w:tblCellMar>
        </w:tblPrEx>
        <w:trPr>
          <w:cantSplit/>
          <w:trHeight w:hRule="exact" w:val="285"/>
          <w:jc w:val="left"/>
        </w:trPr>
        <w:tc>
          <w:tcPr>
            <w:tcW w:w="73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Contract liabilities (unearned revenue)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7,180,264 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6,466,766 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r>
    </w:tbl>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increase in contract liabilities is primarily the result of the increase in fourth quarter contracts where th</w:t>
      </w:r>
      <w:r>
        <w:rPr>
          <w:rFonts w:ascii="Times New Roman" w:eastAsia="Times New Roman" w:hAnsi="Times New Roman" w:cs="Times New Roman"/>
          <w:sz w:val="20"/>
        </w:rPr>
        <w:t>e customers have paid in advance for ser</w:t>
      </w:r>
      <w:r>
        <w:rPr>
          <w:rFonts w:ascii="Times New Roman" w:eastAsia="Times New Roman" w:hAnsi="Times New Roman" w:cs="Times New Roman"/>
          <w:sz w:val="20"/>
        </w:rPr>
        <w:t>v</w:t>
      </w:r>
      <w:r>
        <w:rPr>
          <w:rFonts w:ascii="Times New Roman" w:eastAsia="Times New Roman" w:hAnsi="Times New Roman" w:cs="Times New Roman"/>
          <w:sz w:val="20"/>
        </w:rPr>
        <w:t>i</w:t>
      </w:r>
      <w:r>
        <w:rPr>
          <w:rFonts w:ascii="Times New Roman" w:eastAsia="Times New Roman" w:hAnsi="Times New Roman" w:cs="Times New Roman"/>
          <w:sz w:val="20"/>
        </w:rPr>
        <w:t xml:space="preserve">ces in future periods. </w:t>
      </w:r>
      <w:r>
        <w:rPr>
          <w:rFonts w:ascii="Times New Roman" w:eastAsia="Times New Roman" w:hAnsi="Times New Roman" w:cs="Times New Roman"/>
          <w:sz w:val="20"/>
        </w:rPr>
        <w:t xml:space="preserve">The Company does not typically engage in contracts that are longer than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Therefore, the Company</w:t>
      </w:r>
      <w:r>
        <w:rPr>
          <w:rFonts w:ascii="Times New Roman" w:eastAsia="Times New Roman" w:hAnsi="Times New Roman" w:cs="Times New Roman"/>
          <w:sz w:val="20"/>
        </w:rPr>
        <w:t xml:space="preserve"> recognize</w:t>
      </w:r>
      <w:r>
        <w:rPr>
          <w:rFonts w:ascii="Times New Roman" w:eastAsia="Times New Roman" w:hAnsi="Times New Roman" w:cs="Times New Roman"/>
          <w:sz w:val="20"/>
        </w:rPr>
        <w:t>d</w:t>
      </w:r>
      <w:r>
        <w:rPr>
          <w:rFonts w:ascii="Times New Roman" w:eastAsia="Times New Roman" w:hAnsi="Times New Roman" w:cs="Times New Roman"/>
          <w:sz w:val="20"/>
        </w:rPr>
        <w:t xml:space="preserve"> substan</w:t>
      </w:r>
      <w:r>
        <w:rPr>
          <w:rFonts w:ascii="Times New Roman" w:eastAsia="Times New Roman" w:hAnsi="Times New Roman" w:cs="Times New Roman"/>
          <w:sz w:val="20"/>
        </w:rPr>
        <w:t>ti</w:t>
      </w:r>
      <w:r>
        <w:rPr>
          <w:rFonts w:ascii="Times New Roman" w:eastAsia="Times New Roman" w:hAnsi="Times New Roman" w:cs="Times New Roman"/>
          <w:sz w:val="20"/>
        </w:rPr>
        <w:t>ally</w:t>
      </w:r>
      <w:r>
        <w:rPr>
          <w:rFonts w:ascii="Times New Roman" w:eastAsia="Times New Roman" w:hAnsi="Times New Roman" w:cs="Times New Roman"/>
          <w:sz w:val="20"/>
        </w:rPr>
        <w:t xml:space="preserve"> of the</w:t>
      </w:r>
      <w:r>
        <w:rPr>
          <w:rFonts w:ascii="Times New Roman" w:eastAsia="Times New Roman" w:hAnsi="Times New Roman" w:cs="Times New Roman"/>
          <w:sz w:val="20"/>
        </w:rPr>
        <w:t xml:space="preserve"> </w:t>
      </w:r>
      <w:r>
        <w:rPr>
          <w:rFonts w:ascii="Times New Roman" w:eastAsia="Times New Roman" w:hAnsi="Times New Roman" w:cs="Times New Roman"/>
          <w:sz w:val="20"/>
        </w:rPr>
        <w:t>contract liabilities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recorded </w:t>
      </w:r>
      <w:r>
        <w:rPr>
          <w:rFonts w:ascii="Times New Roman" w:eastAsia="Times New Roman" w:hAnsi="Times New Roman" w:cs="Times New Roman"/>
          <w:sz w:val="20"/>
        </w:rPr>
        <w:t>at the end of the year</w:t>
      </w:r>
      <w:r>
        <w:rPr>
          <w:rFonts w:ascii="Times New Roman" w:eastAsia="Times New Roman" w:hAnsi="Times New Roman" w:cs="Times New Roman"/>
          <w:sz w:val="20"/>
        </w:rPr>
        <w:t xml:space="preserve"> in the following year</w:t>
      </w:r>
      <w:r>
        <w:rPr>
          <w:rFonts w:ascii="Times New Roman" w:eastAsia="Times New Roman" w:hAnsi="Times New Roman" w:cs="Times New Roman"/>
          <w:sz w:val="20"/>
        </w:rPr>
        <w:t xml:space="preserve"> and it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did not recognize any contract assets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or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The Company does not capitalize costs to obtain its customer contracts given their general duration of less than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w:t>
      </w:r>
      <w:r>
        <w:rPr>
          <w:rFonts w:ascii="Times New Roman" w:eastAsia="Times New Roman" w:hAnsi="Times New Roman" w:cs="Times New Roman"/>
          <w:sz w:val="20"/>
        </w:rPr>
        <w:t>,</w:t>
      </w:r>
      <w:r>
        <w:rPr>
          <w:rFonts w:ascii="Times New Roman" w:eastAsia="Times New Roman" w:hAnsi="Times New Roman" w:cs="Times New Roman"/>
          <w:sz w:val="20"/>
        </w:rPr>
        <w:t xml:space="preserve"> and the amounts are not material.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Contract receivables are recognized when the receipt of consideration is unconditional. Contract liabilities relate to </w:t>
      </w:r>
      <w:r>
        <w:rPr>
          <w:rFonts w:ascii="Times New Roman" w:eastAsia="Times New Roman" w:hAnsi="Times New Roman" w:cs="Times New Roman"/>
          <w:sz w:val="20"/>
        </w:rPr>
        <w:t xml:space="preserve">consideration received from customers </w:t>
      </w:r>
      <w:r>
        <w:rPr>
          <w:rFonts w:ascii="Times New Roman" w:eastAsia="Times New Roman" w:hAnsi="Times New Roman" w:cs="Times New Roman"/>
          <w:sz w:val="20"/>
        </w:rPr>
        <w:t xml:space="preserve">in advance of </w:t>
      </w:r>
      <w:r>
        <w:rPr>
          <w:rFonts w:ascii="Times New Roman" w:eastAsia="Times New Roman" w:hAnsi="Times New Roman" w:cs="Times New Roman"/>
          <w:sz w:val="20"/>
        </w:rPr>
        <w:t xml:space="preserve">the Company </w:t>
      </w:r>
      <w:r>
        <w:rPr>
          <w:rFonts w:ascii="Times New Roman" w:eastAsia="Times New Roman" w:hAnsi="Times New Roman" w:cs="Times New Roman"/>
          <w:sz w:val="20"/>
        </w:rPr>
        <w:t>satisfying performance obligations</w:t>
      </w:r>
      <w:r>
        <w:rPr>
          <w:rFonts w:ascii="Times New Roman" w:eastAsia="Times New Roman" w:hAnsi="Times New Roman" w:cs="Times New Roman"/>
          <w:sz w:val="20"/>
        </w:rPr>
        <w:t xml:space="preserve"> </w:t>
      </w:r>
      <w:r>
        <w:rPr>
          <w:rFonts w:ascii="Times New Roman" w:eastAsia="Times New Roman" w:hAnsi="Times New Roman" w:cs="Times New Roman"/>
          <w:sz w:val="20"/>
        </w:rPr>
        <w:t>under the terms of the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contracts, which will be earned in future periods. </w:t>
      </w:r>
      <w:r>
        <w:rPr>
          <w:rFonts w:ascii="Times New Roman" w:eastAsia="Times New Roman" w:hAnsi="Times New Roman" w:cs="Times New Roman"/>
          <w:sz w:val="20"/>
        </w:rPr>
        <w:t xml:space="preserve">Contract liabilities increase as a result of receiving new advance payments from customers and decrease as revenue is recognized </w:t>
      </w:r>
      <w:r>
        <w:rPr>
          <w:rFonts w:ascii="Times New Roman" w:eastAsia="Times New Roman" w:hAnsi="Times New Roman" w:cs="Times New Roman"/>
          <w:sz w:val="20"/>
        </w:rPr>
        <w:t xml:space="preserve">upon </w:t>
      </w:r>
      <w:r>
        <w:rPr>
          <w:rFonts w:ascii="Times New Roman" w:eastAsia="Times New Roman" w:hAnsi="Times New Roman" w:cs="Times New Roman"/>
          <w:sz w:val="20"/>
        </w:rPr>
        <w:t xml:space="preserve">the Company </w:t>
      </w:r>
      <w:r>
        <w:rPr>
          <w:rFonts w:ascii="Times New Roman" w:eastAsia="Times New Roman" w:hAnsi="Times New Roman" w:cs="Times New Roman"/>
          <w:sz w:val="20"/>
        </w:rPr>
        <w:t>meeting the performance obligations.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a practical expedient, the Company expenses the costs of sales commissions that are paid to its sales force associated with obtaining contracts less than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in length in the period incurred.</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Remaining Performance Obligations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b/>
          <w:sz w:val="20"/>
          <w:u w:val="single"/>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typically enters into contracts that are one year or less in length. As such, the remaining performance obligations at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are equal to the contract liabilities disclosed above. The Company expects to recognize the full balance of the unearned revenue at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within the next year</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9"/>
        <w:rPr>
          <w:rFonts w:ascii="Times New Roman" w:eastAsia="Times New Roman" w:hAnsi="Times New Roman" w:cs="Times New Roman"/>
          <w:b/>
          <w:sz w:val="20"/>
        </w:rPr>
      </w:pPr>
      <w:bookmarkStart w:id="40" w:name="Section41"/>
      <w:bookmarkEnd w:id="40"/>
    </w:p>
    <w:p>
      <w:pPr>
        <w:keepNext w:val="0"/>
        <w:keepLines w:val="0"/>
        <w:pageBreakBefore/>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3"/>
        <w:rPr>
          <w:rFonts w:ascii="Times New Roman" w:eastAsia="Times New Roman" w:hAnsi="Times New Roman" w:cs="Times New Roman"/>
          <w:sz w:val="20"/>
        </w:rPr>
      </w:pPr>
      <w:r>
        <w:rPr>
          <w:rFonts w:ascii="Times New Roman" w:eastAsia="Times New Roman" w:hAnsi="Times New Roman" w:cs="Times New Roman"/>
          <w:b/>
          <w:sz w:val="20"/>
        </w:rPr>
        <w:t>NOTE 11. </w:t>
      </w:r>
      <w:r>
        <w:rPr>
          <w:rFonts w:ascii="Times New Roman" w:eastAsia="Times New Roman" w:hAnsi="Times New Roman" w:cs="Times New Roman"/>
          <w:b/>
          <w:sz w:val="20"/>
        </w:rPr>
        <w:tab/>
      </w:r>
      <w:r>
        <w:rPr>
          <w:rFonts w:ascii="Times New Roman" w:eastAsia="Times New Roman" w:hAnsi="Times New Roman" w:cs="Times New Roman"/>
          <w:b/>
          <w:sz w:val="20"/>
        </w:rPr>
        <w:t>INCOME TAXES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The components of the Company’s net deferred income taxes are as follows (rounded):</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40"/>
        <w:gridCol w:w="160"/>
        <w:gridCol w:w="1135"/>
        <w:gridCol w:w="100"/>
        <w:gridCol w:w="160"/>
        <w:gridCol w:w="1135"/>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jc w:val="left"/>
        </w:trPr>
        <w:tc>
          <w:tcPr>
            <w:tcW w:w="7440"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December 31,</w:t>
            </w:r>
            <w:r>
              <w:br/>
            </w:r>
            <w:r>
              <w:rPr>
                <w:rFonts w:ascii="Times New Roman" w:eastAsia="Times New Roman" w:hAnsi="Times New Roman" w:cs="Times New Roman"/>
                <w:color w:val="000000"/>
                <w:sz w:val="20"/>
              </w:rPr>
              <w:t>2020</w:t>
            </w: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December 31,</w:t>
            </w:r>
            <w:r>
              <w:br/>
            </w:r>
            <w:r>
              <w:rPr>
                <w:rFonts w:ascii="Times New Roman" w:eastAsia="Times New Roman" w:hAnsi="Times New Roman" w:cs="Times New Roman"/>
                <w:color w:val="000000"/>
                <w:sz w:val="20"/>
              </w:rPr>
              <w:t>2019</w:t>
            </w:r>
          </w:p>
        </w:tc>
      </w:tr>
      <w:tr>
        <w:tblPrEx>
          <w:tblW w:w="10435" w:type="dxa"/>
          <w:jc w:val="left"/>
          <w:tblInd w:w="0" w:type="dxa"/>
          <w:tblCellMar>
            <w:left w:w="108" w:type="dxa"/>
            <w:right w:w="108" w:type="dxa"/>
          </w:tblCellMar>
        </w:tblPrEx>
        <w:trPr>
          <w:cantSplit/>
          <w:trHeight w:hRule="exact" w:val="285"/>
          <w:jc w:val="left"/>
        </w:trPr>
        <w:tc>
          <w:tcPr>
            <w:tcW w:w="744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Deferred tax assets:</w:t>
            </w: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285"/>
          <w:jc w:val="left"/>
        </w:trPr>
        <w:tc>
          <w:tcPr>
            <w:tcW w:w="74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Net operating loss carry forwards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22,376,000 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21,425,000 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35" w:type="dxa"/>
          <w:jc w:val="left"/>
          <w:tblInd w:w="0" w:type="dxa"/>
          <w:tblCellMar>
            <w:left w:w="108" w:type="dxa"/>
            <w:right w:w="108" w:type="dxa"/>
          </w:tblCellMar>
        </w:tblPrEx>
        <w:trPr>
          <w:cantSplit/>
          <w:trHeight w:hRule="exact" w:val="285"/>
          <w:jc w:val="left"/>
        </w:trPr>
        <w:tc>
          <w:tcPr>
            <w:tcW w:w="74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Accrued expenses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281,000 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177,000 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4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Stock option and warrant expenses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474,000 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462,000 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4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Accounts receivable</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38,000 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4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Deferred rent</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(6,000)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4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Other</w:t>
            </w: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11,000 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4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Total deferred tax assets</w:t>
            </w:r>
          </w:p>
        </w:tc>
        <w:tc>
          <w:tcPr>
            <w:tcW w:w="12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23,172,000 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12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22,097,000 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4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Valuation allowance</w:t>
            </w: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(22,950,000)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(21,661,000)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4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Net deferred tax assets</w:t>
            </w:r>
          </w:p>
        </w:tc>
        <w:tc>
          <w:tcPr>
            <w:tcW w:w="12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222,000 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12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436,000 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35" w:type="dxa"/>
          <w:jc w:val="left"/>
          <w:tblInd w:w="0" w:type="dxa"/>
          <w:tblCellMar>
            <w:left w:w="108" w:type="dxa"/>
            <w:right w:w="108" w:type="dxa"/>
          </w:tblCellMar>
        </w:tblPrEx>
        <w:trPr>
          <w:cantSplit/>
          <w:trHeight w:hRule="exact" w:val="195"/>
          <w:jc w:val="left"/>
        </w:trPr>
        <w:tc>
          <w:tcPr>
            <w:tcW w:w="74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285"/>
          <w:jc w:val="left"/>
        </w:trPr>
        <w:tc>
          <w:tcPr>
            <w:tcW w:w="74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Deferred tax liabilities:</w:t>
            </w: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285"/>
          <w:jc w:val="left"/>
        </w:trPr>
        <w:tc>
          <w:tcPr>
            <w:tcW w:w="74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25"/>
              <w:jc w:val="left"/>
            </w:pPr>
            <w:r>
              <w:rPr>
                <w:rFonts w:ascii="Times New Roman" w:eastAsia="Times New Roman" w:hAnsi="Times New Roman" w:cs="Times New Roman"/>
                <w:color w:val="000000"/>
                <w:sz w:val="20"/>
              </w:rPr>
              <w:t>Fixed and tangible assets</w:t>
            </w: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(222,000)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(436,000)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285"/>
          <w:jc w:val="left"/>
        </w:trPr>
        <w:tc>
          <w:tcPr>
            <w:tcW w:w="74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Total deferred tax liabilities</w:t>
            </w: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(222,000)</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(436,000)</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55" w:after="30" w:line="240" w:lineRule="auto"/>
              <w:jc w:val="right"/>
            </w:pPr>
          </w:p>
        </w:tc>
      </w:tr>
      <w:tr>
        <w:tblPrEx>
          <w:tblW w:w="10435" w:type="dxa"/>
          <w:jc w:val="left"/>
          <w:tblInd w:w="0" w:type="dxa"/>
          <w:tblCellMar>
            <w:left w:w="108" w:type="dxa"/>
            <w:right w:w="108" w:type="dxa"/>
          </w:tblCellMar>
        </w:tblPrEx>
        <w:trPr>
          <w:cantSplit/>
          <w:trHeight w:hRule="exact" w:val="195"/>
          <w:jc w:val="left"/>
        </w:trPr>
        <w:tc>
          <w:tcPr>
            <w:tcW w:w="74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35" w:type="dxa"/>
          <w:jc w:val="left"/>
          <w:tblInd w:w="0" w:type="dxa"/>
          <w:tblCellMar>
            <w:left w:w="108" w:type="dxa"/>
            <w:right w:w="108" w:type="dxa"/>
          </w:tblCellMar>
        </w:tblPrEx>
        <w:trPr>
          <w:cantSplit/>
          <w:trHeight w:hRule="exact" w:val="285"/>
          <w:jc w:val="left"/>
        </w:trPr>
        <w:tc>
          <w:tcPr>
            <w:tcW w:w="74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Total deferred tax assets (liabilities)</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The following summary reconciles differences from taxes at the federal statutory rate with the effective rate:</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0"/>
        <w:gridCol w:w="1295"/>
        <w:gridCol w:w="100"/>
        <w:gridCol w:w="129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jc w:val="left"/>
        </w:trPr>
        <w:tc>
          <w:tcPr>
            <w:tcW w:w="747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790" w:type="dxa"/>
            <w:gridSpan w:val="4"/>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Twelve Months Ended</w:t>
            </w:r>
          </w:p>
        </w:tc>
      </w:tr>
      <w:tr>
        <w:tblPrEx>
          <w:tblW w:w="10465" w:type="dxa"/>
          <w:jc w:val="left"/>
          <w:tblInd w:w="0" w:type="dxa"/>
          <w:tblCellMar>
            <w:left w:w="108" w:type="dxa"/>
            <w:right w:w="108" w:type="dxa"/>
          </w:tblCellMar>
        </w:tblPrEx>
        <w:trPr>
          <w:cantSplit/>
          <w:trHeight w:hRule="exact" w:val="495"/>
          <w:jc w:val="left"/>
        </w:trPr>
        <w:tc>
          <w:tcPr>
            <w:tcW w:w="7470" w:type="dxa"/>
            <w:tcBorders>
              <w:top w:val="nil"/>
              <w:left w:val="nil"/>
              <w:bottom w:val="single" w:sz="8" w:space="0" w:color="000000"/>
              <w:right w:val="nil"/>
            </w:tcBorders>
            <w:tcMar>
              <w:top w:w="0" w:type="dxa"/>
              <w:left w:w="0" w:type="dxa"/>
              <w:bottom w:w="0" w:type="dxa"/>
              <w:right w:w="0" w:type="dxa"/>
            </w:tcMar>
            <w:vAlign w:val="bottom"/>
          </w:tcPr>
          <w:p>
            <w:pPr>
              <w:keepNext/>
              <w:pageBreakBefore w:val="0"/>
              <w:spacing w:before="0" w:after="0"/>
            </w:pPr>
          </w:p>
        </w:tc>
        <w:tc>
          <w:tcPr>
            <w:tcW w:w="139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December 31,</w:t>
            </w:r>
            <w:r>
              <w:br/>
            </w:r>
            <w:r>
              <w:rPr>
                <w:rFonts w:ascii="Times New Roman" w:eastAsia="Times New Roman" w:hAnsi="Times New Roman" w:cs="Times New Roman"/>
                <w:color w:val="000000"/>
                <w:sz w:val="20"/>
              </w:rPr>
              <w:t>2020</w:t>
            </w:r>
          </w:p>
        </w:tc>
        <w:tc>
          <w:tcPr>
            <w:tcW w:w="139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December 31,</w:t>
            </w:r>
            <w:r>
              <w:br/>
            </w:r>
            <w:r>
              <w:rPr>
                <w:rFonts w:ascii="Times New Roman" w:eastAsia="Times New Roman" w:hAnsi="Times New Roman" w:cs="Times New Roman"/>
                <w:color w:val="000000"/>
                <w:sz w:val="20"/>
              </w:rPr>
              <w:t>2019</w:t>
            </w:r>
          </w:p>
        </w:tc>
      </w:tr>
      <w:tr>
        <w:tblPrEx>
          <w:tblW w:w="10465" w:type="dxa"/>
          <w:jc w:val="left"/>
          <w:tblInd w:w="0" w:type="dxa"/>
          <w:tblCellMar>
            <w:left w:w="108" w:type="dxa"/>
            <w:right w:w="108" w:type="dxa"/>
          </w:tblCellMar>
        </w:tblPrEx>
        <w:trPr>
          <w:cantSplit/>
          <w:trHeight w:hRule="exact" w:val="285"/>
          <w:jc w:val="left"/>
        </w:trPr>
        <w:tc>
          <w:tcPr>
            <w:tcW w:w="747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Federal income tax at statutory rates</w:t>
            </w:r>
          </w:p>
        </w:tc>
        <w:tc>
          <w:tcPr>
            <w:tcW w:w="12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(21.0)</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c>
          <w:tcPr>
            <w:tcW w:w="12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w:t>
            </w:r>
          </w:p>
        </w:tc>
      </w:tr>
      <w:tr>
        <w:tblPrEx>
          <w:tblW w:w="10465" w:type="dxa"/>
          <w:jc w:val="left"/>
          <w:tblInd w:w="0" w:type="dxa"/>
          <w:tblCellMar>
            <w:left w:w="108" w:type="dxa"/>
            <w:right w:w="108" w:type="dxa"/>
          </w:tblCellMar>
        </w:tblPrEx>
        <w:trPr>
          <w:cantSplit/>
          <w:trHeight w:hRule="exact" w:val="285"/>
          <w:jc w:val="left"/>
        </w:trPr>
        <w:tc>
          <w:tcPr>
            <w:tcW w:w="747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Change in deferred tax asset valuation allowance</w:t>
            </w: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jc w:val="left"/>
          <w:tblInd w:w="0" w:type="dxa"/>
          <w:tblCellMar>
            <w:left w:w="108" w:type="dxa"/>
            <w:right w:w="108" w:type="dxa"/>
          </w:tblCellMar>
        </w:tblPrEx>
        <w:trPr>
          <w:cantSplit/>
          <w:trHeight w:hRule="exact" w:val="285"/>
          <w:jc w:val="left"/>
        </w:trPr>
        <w:tc>
          <w:tcPr>
            <w:tcW w:w="747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Deferred state taxes</w:t>
            </w: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jc w:val="left"/>
          <w:tblInd w:w="0" w:type="dxa"/>
          <w:tblCellMar>
            <w:left w:w="108" w:type="dxa"/>
            <w:right w:w="108" w:type="dxa"/>
          </w:tblCellMar>
        </w:tblPrEx>
        <w:trPr>
          <w:cantSplit/>
          <w:trHeight w:hRule="exact" w:val="285"/>
          <w:jc w:val="left"/>
        </w:trPr>
        <w:tc>
          <w:tcPr>
            <w:tcW w:w="747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Non-deductible expenses:</w:t>
            </w:r>
          </w:p>
        </w:tc>
        <w:tc>
          <w:tcPr>
            <w:tcW w:w="1395" w:type="dxa"/>
            <w:gridSpan w:val="2"/>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1395" w:type="dxa"/>
            <w:gridSpan w:val="2"/>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747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40"/>
              <w:jc w:val="left"/>
            </w:pPr>
            <w:r>
              <w:rPr>
                <w:rFonts w:ascii="Times New Roman" w:eastAsia="Times New Roman" w:hAnsi="Times New Roman" w:cs="Times New Roman"/>
                <w:color w:val="000000"/>
                <w:sz w:val="20"/>
              </w:rPr>
              <w:t>Change in value of acquisition liability</w:t>
            </w: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jc w:val="left"/>
          <w:tblInd w:w="0" w:type="dxa"/>
          <w:tblCellMar>
            <w:left w:w="108" w:type="dxa"/>
            <w:right w:w="108" w:type="dxa"/>
          </w:tblCellMar>
        </w:tblPrEx>
        <w:trPr>
          <w:cantSplit/>
          <w:trHeight w:hRule="exact" w:val="285"/>
          <w:jc w:val="left"/>
        </w:trPr>
        <w:tc>
          <w:tcPr>
            <w:tcW w:w="747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40"/>
              <w:jc w:val="left"/>
            </w:pPr>
            <w:r>
              <w:rPr>
                <w:rFonts w:ascii="Times New Roman" w:eastAsia="Times New Roman" w:hAnsi="Times New Roman" w:cs="Times New Roman"/>
                <w:color w:val="000000"/>
                <w:sz w:val="20"/>
              </w:rPr>
              <w:t>Goodwill impairment</w:t>
            </w: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jc w:val="left"/>
          <w:tblInd w:w="0" w:type="dxa"/>
          <w:tblCellMar>
            <w:left w:w="108" w:type="dxa"/>
            <w:right w:w="108" w:type="dxa"/>
          </w:tblCellMar>
        </w:tblPrEx>
        <w:trPr>
          <w:cantSplit/>
          <w:trHeight w:hRule="exact" w:val="285"/>
          <w:jc w:val="left"/>
        </w:trPr>
        <w:tc>
          <w:tcPr>
            <w:tcW w:w="747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40"/>
              <w:jc w:val="left"/>
            </w:pPr>
            <w:r>
              <w:rPr>
                <w:rFonts w:ascii="Times New Roman" w:eastAsia="Times New Roman" w:hAnsi="Times New Roman" w:cs="Times New Roman"/>
                <w:color w:val="000000"/>
                <w:sz w:val="20"/>
              </w:rPr>
              <w:t>ISO &amp; Restricted stock compensation</w:t>
            </w: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jc w:val="left"/>
          <w:tblInd w:w="0" w:type="dxa"/>
          <w:tblCellMar>
            <w:left w:w="108" w:type="dxa"/>
            <w:right w:w="108" w:type="dxa"/>
          </w:tblCellMar>
        </w:tblPrEx>
        <w:trPr>
          <w:cantSplit/>
          <w:trHeight w:hRule="exact" w:val="285"/>
          <w:jc w:val="left"/>
        </w:trPr>
        <w:tc>
          <w:tcPr>
            <w:tcW w:w="747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240"/>
              <w:jc w:val="left"/>
            </w:pPr>
            <w:r>
              <w:rPr>
                <w:rFonts w:ascii="Times New Roman" w:eastAsia="Times New Roman" w:hAnsi="Times New Roman" w:cs="Times New Roman"/>
                <w:color w:val="000000"/>
                <w:sz w:val="20"/>
              </w:rPr>
              <w:t>Change in state &amp; federal deferred rate</w:t>
            </w: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jc w:val="left"/>
          <w:tblInd w:w="0" w:type="dxa"/>
          <w:tblCellMar>
            <w:left w:w="108" w:type="dxa"/>
            <w:right w:w="108" w:type="dxa"/>
          </w:tblCellMar>
        </w:tblPrEx>
        <w:trPr>
          <w:cantSplit/>
          <w:trHeight w:hRule="exact" w:val="285"/>
          <w:jc w:val="left"/>
        </w:trPr>
        <w:tc>
          <w:tcPr>
            <w:tcW w:w="747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240"/>
              <w:jc w:val="left"/>
            </w:pPr>
            <w:r>
              <w:rPr>
                <w:rFonts w:ascii="Times New Roman" w:eastAsia="Times New Roman" w:hAnsi="Times New Roman" w:cs="Times New Roman"/>
                <w:color w:val="000000"/>
                <w:sz w:val="20"/>
              </w:rPr>
              <w:t>Other</w:t>
            </w:r>
          </w:p>
        </w:tc>
        <w:tc>
          <w:tcPr>
            <w:tcW w:w="129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c>
          <w:tcPr>
            <w:tcW w:w="129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0.3 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65" w:type="dxa"/>
          <w:jc w:val="left"/>
          <w:tblInd w:w="0" w:type="dxa"/>
          <w:tblCellMar>
            <w:left w:w="108" w:type="dxa"/>
            <w:right w:w="108" w:type="dxa"/>
          </w:tblCellMar>
        </w:tblPrEx>
        <w:trPr>
          <w:cantSplit/>
          <w:trHeight w:hRule="exact" w:val="285"/>
          <w:jc w:val="left"/>
        </w:trPr>
        <w:tc>
          <w:tcPr>
            <w:tcW w:w="747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Income taxes (benefit) at effective rates</w:t>
            </w:r>
          </w:p>
        </w:tc>
        <w:tc>
          <w:tcPr>
            <w:tcW w:w="129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w:t>
            </w:r>
          </w:p>
        </w:tc>
        <w:tc>
          <w:tcPr>
            <w:tcW w:w="129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w:t>
            </w:r>
          </w:p>
        </w:tc>
      </w:tr>
    </w:tbl>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has incurred net losses for tax purposes every year since inception. At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the Company had approximately </w:t>
      </w:r>
      <w:r>
        <w:rPr>
          <w:rFonts w:ascii="Times New Roman" w:eastAsia="Times New Roman" w:hAnsi="Times New Roman" w:cs="Times New Roman"/>
          <w:sz w:val="20"/>
        </w:rPr>
        <w:t>$86,103,878</w:t>
      </w:r>
      <w:r>
        <w:rPr>
          <w:rFonts w:ascii="Times New Roman" w:eastAsia="Times New Roman" w:hAnsi="Times New Roman" w:cs="Times New Roman"/>
          <w:sz w:val="20"/>
        </w:rPr>
        <w:t xml:space="preserve"> in net operating loss carryforwards for U.S. federal income tax purposes and </w:t>
      </w:r>
      <w:r>
        <w:rPr>
          <w:rFonts w:ascii="Times New Roman" w:eastAsia="Times New Roman" w:hAnsi="Times New Roman" w:cs="Times New Roman"/>
          <w:sz w:val="20"/>
        </w:rPr>
        <w:t>$88,222,647</w:t>
      </w:r>
      <w:r>
        <w:rPr>
          <w:rFonts w:ascii="Times New Roman" w:eastAsia="Times New Roman" w:hAnsi="Times New Roman" w:cs="Times New Roman"/>
          <w:sz w:val="20"/>
        </w:rPr>
        <w:t xml:space="preserve"> in net operating loss carryforwards for state income tax purposes, which in the aggregate expire in various amounts between the years of </w:t>
      </w:r>
      <w:r>
        <w:rPr>
          <w:rFonts w:ascii="Times New Roman" w:eastAsia="Times New Roman" w:hAnsi="Times New Roman" w:cs="Times New Roman"/>
          <w:sz w:val="20"/>
        </w:rPr>
        <w:t>2026</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2040</w:t>
      </w:r>
      <w:r>
        <w:rPr>
          <w:rFonts w:ascii="Times New Roman" w:eastAsia="Times New Roman" w:hAnsi="Times New Roman" w:cs="Times New Roman"/>
          <w:sz w:val="20"/>
        </w:rPr>
        <w:t>. The Company's ability to deduct its historical net operating losses may be limited in the future due to IRC Section 382 as a result of the substantial issuances of common stock in 2012 through 20</w:t>
      </w:r>
      <w:r>
        <w:rPr>
          <w:rFonts w:ascii="Times New Roman" w:eastAsia="Times New Roman" w:hAnsi="Times New Roman" w:cs="Times New Roman"/>
          <w:sz w:val="20"/>
        </w:rPr>
        <w:t>2</w:t>
      </w:r>
      <w:r>
        <w:rPr>
          <w:rFonts w:ascii="Times New Roman" w:eastAsia="Times New Roman" w:hAnsi="Times New Roman" w:cs="Times New Roman"/>
          <w:sz w:val="20"/>
        </w:rPr>
        <w:t>0</w:t>
      </w:r>
      <w:r>
        <w:rPr>
          <w:rFonts w:ascii="Times New Roman" w:eastAsia="Times New Roman" w:hAnsi="Times New Roman" w:cs="Times New Roman"/>
          <w:sz w:val="20"/>
        </w:rPr>
        <w:t>. Certain of the Company's net operating losses acquired in connection with the Ebyline</w:t>
      </w:r>
      <w:r>
        <w:rPr>
          <w:rFonts w:ascii="Times New Roman" w:eastAsia="Times New Roman" w:hAnsi="Times New Roman" w:cs="Times New Roman"/>
          <w:sz w:val="20"/>
        </w:rPr>
        <w:t>, ZenContent</w:t>
      </w:r>
      <w:r>
        <w:rPr>
          <w:rFonts w:ascii="Times New Roman" w:eastAsia="Times New Roman" w:hAnsi="Times New Roman" w:cs="Times New Roman"/>
          <w:sz w:val="20"/>
        </w:rPr>
        <w:t>,</w:t>
      </w:r>
      <w:r>
        <w:rPr>
          <w:rFonts w:ascii="Times New Roman" w:eastAsia="Times New Roman" w:hAnsi="Times New Roman" w:cs="Times New Roman"/>
          <w:sz w:val="20"/>
        </w:rPr>
        <w:t xml:space="preserve"> and TapInfluence acquisitions also may be limited by IRC Section 382. The change in valuation allowance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was an increase of </w:t>
      </w:r>
      <w:r>
        <w:rPr>
          <w:rFonts w:ascii="Times New Roman" w:eastAsia="Times New Roman" w:hAnsi="Times New Roman" w:cs="Times New Roman"/>
          <w:sz w:val="20"/>
        </w:rPr>
        <w:t>$1,289,000</w:t>
      </w:r>
      <w:r>
        <w:rPr>
          <w:rFonts w:ascii="Times New Roman" w:eastAsia="Times New Roman" w:hAnsi="Times New Roman" w:cs="Times New Roman"/>
          <w:sz w:val="20"/>
        </w:rPr>
        <w:t xml:space="preserve">, resulting primarily from net operating losses generated during the period. The change in valuation allowance for the </w:t>
      </w:r>
      <w:r>
        <w:rPr>
          <w:rFonts w:ascii="Times New Roman" w:eastAsia="Times New Roman" w:hAnsi="Times New Roman" w:cs="Times New Roman"/>
          <w:sz w:val="20"/>
        </w:rPr>
        <w:t>twelve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was an increase of </w:t>
      </w:r>
      <w:r>
        <w:rPr>
          <w:rFonts w:ascii="Times New Roman" w:eastAsia="Times New Roman" w:hAnsi="Times New Roman" w:cs="Times New Roman"/>
          <w:sz w:val="20"/>
        </w:rPr>
        <w:t>$1,912,000</w:t>
      </w:r>
      <w:r>
        <w:rPr>
          <w:rFonts w:ascii="Times New Roman" w:eastAsia="Times New Roman" w:hAnsi="Times New Roman" w:cs="Times New Roman"/>
          <w:sz w:val="20"/>
        </w:rPr>
        <w:t>, resulting primarily from net operating losses generated during the period.</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9"/>
        <w:rPr>
          <w:rFonts w:ascii="Times New Roman" w:eastAsia="Times New Roman" w:hAnsi="Times New Roman" w:cs="Times New Roman"/>
          <w:b/>
          <w:sz w:val="20"/>
        </w:rPr>
      </w:pPr>
      <w:bookmarkStart w:id="41" w:name="Section42"/>
      <w:bookmarkEnd w:id="41"/>
    </w:p>
    <w:p>
      <w:pPr>
        <w:keepNext w:val="0"/>
        <w:keepLines w:val="0"/>
        <w:pageBreakBefore/>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0"/>
        <w:jc w:val="left"/>
        <w:outlineLvl w:val="3"/>
        <w:rPr>
          <w:rFonts w:ascii="Times New Roman" w:eastAsia="Times New Roman" w:hAnsi="Times New Roman" w:cs="Times New Roman"/>
          <w:sz w:val="20"/>
        </w:rPr>
      </w:pPr>
      <w:r>
        <w:rPr>
          <w:rFonts w:ascii="Times New Roman" w:eastAsia="Times New Roman" w:hAnsi="Times New Roman" w:cs="Times New Roman"/>
          <w:b/>
          <w:sz w:val="20"/>
        </w:rPr>
        <w:t>NOTE 12. </w:t>
      </w:r>
      <w:r>
        <w:rPr>
          <w:rFonts w:ascii="Times New Roman" w:eastAsia="Times New Roman" w:hAnsi="Times New Roman" w:cs="Times New Roman"/>
          <w:b/>
          <w:sz w:val="20"/>
        </w:rPr>
        <w:tab/>
      </w:r>
      <w:r>
        <w:rPr>
          <w:rFonts w:ascii="Times New Roman" w:eastAsia="Times New Roman" w:hAnsi="Times New Roman" w:cs="Times New Roman"/>
          <w:b/>
          <w:sz w:val="20"/>
        </w:rPr>
        <w:t>SUBSEQUENT EVENTS</w:t>
      </w: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945"/>
        <w:jc w:val="left"/>
        <w:outlineLvl w:val="9"/>
        <w:rPr>
          <w:rFonts w:ascii="Times New Roman" w:eastAsia="Times New Roman" w:hAnsi="Times New Roman" w:cs="Times New Roman"/>
          <w:b/>
          <w:sz w:val="20"/>
        </w:r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76" w:lineRule="auto"/>
        <w:ind w:left="0" w:right="0" w:firstLine="720"/>
        <w:jc w:val="both"/>
        <w:outlineLvl w:val="9"/>
        <w:rPr>
          <w:rFonts w:ascii="Times New Roman" w:eastAsia="Times New Roman" w:hAnsi="Times New Roman" w:cs="Times New Roman"/>
          <w:b/>
          <w:sz w:val="20"/>
        </w:rPr>
      </w:pPr>
      <w:r>
        <w:rPr>
          <w:rFonts w:ascii="Times New Roman" w:eastAsia="Times New Roman" w:hAnsi="Times New Roman" w:cs="Times New Roman"/>
          <w:sz w:val="20"/>
        </w:rPr>
        <w:t xml:space="preserve">On </w:t>
      </w:r>
      <w:r>
        <w:rPr>
          <w:rFonts w:ascii="Times New Roman" w:eastAsia="Times New Roman" w:hAnsi="Times New Roman" w:cs="Times New Roman"/>
          <w:sz w:val="20"/>
        </w:rPr>
        <w:t xml:space="preserve">January </w:t>
      </w:r>
      <w:r>
        <w:rPr>
          <w:rFonts w:ascii="Times New Roman" w:eastAsia="Times New Roman" w:hAnsi="Times New Roman" w:cs="Times New Roman"/>
          <w:sz w:val="20"/>
        </w:rPr>
        <w:t>25</w:t>
      </w:r>
      <w:r>
        <w:rPr>
          <w:rFonts w:ascii="Times New Roman" w:eastAsia="Times New Roman" w:hAnsi="Times New Roman" w:cs="Times New Roman"/>
          <w:sz w:val="20"/>
        </w:rPr>
        <w:t>, 2021</w:t>
      </w:r>
      <w:r>
        <w:rPr>
          <w:rFonts w:ascii="Times New Roman" w:eastAsia="Times New Roman" w:hAnsi="Times New Roman" w:cs="Times New Roman"/>
          <w:sz w:val="20"/>
        </w:rPr>
        <w:t>, the Company entered into a</w:t>
      </w:r>
      <w:r>
        <w:rPr>
          <w:rFonts w:ascii="Times New Roman" w:eastAsia="Times New Roman" w:hAnsi="Times New Roman" w:cs="Times New Roman"/>
          <w:sz w:val="20"/>
        </w:rPr>
        <w:t xml:space="preserve"> new</w:t>
      </w:r>
      <w:r>
        <w:rPr>
          <w:rFonts w:ascii="Times New Roman" w:eastAsia="Times New Roman" w:hAnsi="Times New Roman" w:cs="Times New Roman"/>
          <w:sz w:val="20"/>
        </w:rPr>
        <w:t xml:space="preserve"> ATM Sales Agreement (the “</w:t>
      </w:r>
      <w:r>
        <w:rPr>
          <w:rFonts w:ascii="Times New Roman" w:eastAsia="Times New Roman" w:hAnsi="Times New Roman" w:cs="Times New Roman"/>
          <w:sz w:val="20"/>
        </w:rPr>
        <w:t xml:space="preserve">2021 </w:t>
      </w:r>
      <w:r>
        <w:rPr>
          <w:rFonts w:ascii="Times New Roman" w:eastAsia="Times New Roman" w:hAnsi="Times New Roman" w:cs="Times New Roman"/>
          <w:sz w:val="20"/>
        </w:rPr>
        <w:t>Sales Agreement”) with National Securities</w:t>
      </w:r>
      <w:r>
        <w:rPr>
          <w:rFonts w:ascii="Times New Roman" w:eastAsia="Times New Roman" w:hAnsi="Times New Roman" w:cs="Times New Roman"/>
          <w:sz w:val="20"/>
        </w:rPr>
        <w:t>, pursuant to which the Company may offer and sell, from time to time, through National Securities,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up </w:t>
      </w:r>
      <w:r>
        <w:rPr>
          <w:rFonts w:ascii="Times New Roman" w:eastAsia="Times New Roman" w:hAnsi="Times New Roman" w:cs="Times New Roman"/>
          <w:sz w:val="20"/>
        </w:rPr>
        <w:t xml:space="preserve">to </w:t>
      </w:r>
      <w:r>
        <w:rPr>
          <w:rFonts w:ascii="Times New Roman" w:eastAsia="Times New Roman" w:hAnsi="Times New Roman" w:cs="Times New Roman"/>
          <w:sz w:val="20"/>
        </w:rPr>
        <w:t>$35,000,000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shares of </w:t>
      </w:r>
      <w:r>
        <w:rPr>
          <w:rFonts w:ascii="Times New Roman" w:eastAsia="Times New Roman" w:hAnsi="Times New Roman" w:cs="Times New Roman"/>
          <w:sz w:val="20"/>
        </w:rPr>
        <w:t>its</w:t>
      </w:r>
      <w:r>
        <w:rPr>
          <w:rFonts w:ascii="Times New Roman" w:eastAsia="Times New Roman" w:hAnsi="Times New Roman" w:cs="Times New Roman"/>
          <w:sz w:val="20"/>
        </w:rPr>
        <w:t xml:space="preserve"> common stock, by any method deemed to be an</w:t>
      </w:r>
      <w:r>
        <w:rPr>
          <w:rFonts w:ascii="Times New Roman" w:eastAsia="Times New Roman" w:hAnsi="Times New Roman" w:cs="Times New Roman"/>
          <w:sz w:val="20"/>
        </w:rPr>
        <w:t xml:space="preserve"> </w:t>
      </w:r>
      <w:r>
        <w:rPr>
          <w:rFonts w:ascii="Times New Roman" w:eastAsia="Times New Roman" w:hAnsi="Times New Roman" w:cs="Times New Roman"/>
          <w:sz w:val="20"/>
        </w:rPr>
        <w:t>at-the-market o</w:t>
      </w:r>
      <w:r>
        <w:rPr>
          <w:rFonts w:ascii="Times New Roman" w:eastAsia="Times New Roman" w:hAnsi="Times New Roman" w:cs="Times New Roman"/>
          <w:sz w:val="20"/>
        </w:rPr>
        <w:t>ffering</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From January 1, 2021 </w:t>
      </w:r>
      <w:r>
        <w:rPr>
          <w:rFonts w:ascii="Times New Roman" w:eastAsia="Times New Roman" w:hAnsi="Times New Roman" w:cs="Times New Roman"/>
          <w:sz w:val="20"/>
        </w:rPr>
        <w:t>to</w:t>
      </w:r>
      <w:r>
        <w:rPr>
          <w:rFonts w:ascii="Times New Roman" w:eastAsia="Times New Roman" w:hAnsi="Times New Roman" w:cs="Times New Roman"/>
          <w:sz w:val="20"/>
        </w:rPr>
        <w:t xml:space="preserve"> </w:t>
      </w:r>
      <w:r>
        <w:rPr>
          <w:rFonts w:ascii="Times New Roman" w:eastAsia="Times New Roman" w:hAnsi="Times New Roman" w:cs="Times New Roman"/>
          <w:sz w:val="20"/>
        </w:rPr>
        <w:t>March 26, 2021</w:t>
      </w:r>
      <w:r>
        <w:rPr>
          <w:rFonts w:ascii="Times New Roman" w:eastAsia="Times New Roman" w:hAnsi="Times New Roman" w:cs="Times New Roman"/>
          <w:sz w:val="20"/>
        </w:rPr>
        <w:t>,</w:t>
      </w:r>
      <w:r>
        <w:rPr>
          <w:rFonts w:ascii="Times New Roman" w:eastAsia="Times New Roman" w:hAnsi="Times New Roman" w:cs="Times New Roman"/>
          <w:sz w:val="20"/>
        </w:rPr>
        <w:t xml:space="preserve"> the Company </w:t>
      </w:r>
      <w:r>
        <w:rPr>
          <w:rFonts w:ascii="Times New Roman" w:eastAsia="Times New Roman" w:hAnsi="Times New Roman" w:cs="Times New Roman"/>
          <w:sz w:val="20"/>
        </w:rPr>
        <w:t xml:space="preserve">sold </w:t>
      </w:r>
      <w:r>
        <w:rPr>
          <w:rFonts w:ascii="Times New Roman" w:eastAsia="Times New Roman" w:hAnsi="Times New Roman" w:cs="Times New Roman"/>
          <w:sz w:val="20"/>
        </w:rPr>
        <w:t>8,691,391</w:t>
      </w:r>
      <w:r>
        <w:rPr>
          <w:rFonts w:ascii="Times New Roman" w:eastAsia="Times New Roman" w:hAnsi="Times New Roman" w:cs="Times New Roman"/>
          <w:sz w:val="20"/>
        </w:rPr>
        <w:t xml:space="preserve"> shares at an average price of </w:t>
      </w:r>
      <w:r>
        <w:rPr>
          <w:rFonts w:ascii="Times New Roman" w:eastAsia="Times New Roman" w:hAnsi="Times New Roman" w:cs="Times New Roman"/>
          <w:sz w:val="20"/>
        </w:rPr>
        <w:t>$3.95</w:t>
      </w:r>
      <w:r>
        <w:rPr>
          <w:rFonts w:ascii="Times New Roman" w:eastAsia="Times New Roman" w:hAnsi="Times New Roman" w:cs="Times New Roman"/>
          <w:sz w:val="20"/>
        </w:rPr>
        <w:t xml:space="preserve"> per share for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gross proceeds of </w:t>
      </w:r>
      <w:r>
        <w:rPr>
          <w:rFonts w:ascii="Times New Roman" w:eastAsia="Times New Roman" w:hAnsi="Times New Roman" w:cs="Times New Roman"/>
          <w:sz w:val="20"/>
        </w:rPr>
        <w:t>$34,311,634</w:t>
      </w:r>
      <w:r>
        <w:rPr>
          <w:rFonts w:ascii="Times New Roman" w:eastAsia="Times New Roman" w:hAnsi="Times New Roman" w:cs="Times New Roman"/>
          <w:sz w:val="20"/>
        </w:rPr>
        <w:t xml:space="preserve"> under the 2020 </w:t>
      </w:r>
      <w:r>
        <w:rPr>
          <w:rFonts w:ascii="Times New Roman" w:eastAsia="Times New Roman" w:hAnsi="Times New Roman" w:cs="Times New Roman"/>
          <w:sz w:val="20"/>
        </w:rPr>
        <w:t xml:space="preserve">Sales Agreement </w:t>
      </w:r>
      <w:r>
        <w:rPr>
          <w:rFonts w:ascii="Times New Roman" w:eastAsia="Times New Roman" w:hAnsi="Times New Roman" w:cs="Times New Roman"/>
          <w:sz w:val="20"/>
        </w:rPr>
        <w:t xml:space="preserve">and </w:t>
      </w:r>
      <w:r>
        <w:rPr>
          <w:rFonts w:ascii="Times New Roman" w:eastAsia="Times New Roman" w:hAnsi="Times New Roman" w:cs="Times New Roman"/>
          <w:sz w:val="20"/>
        </w:rPr>
        <w:t>t</w:t>
      </w:r>
      <w:r>
        <w:rPr>
          <w:rFonts w:ascii="Times New Roman" w:eastAsia="Times New Roman" w:hAnsi="Times New Roman" w:cs="Times New Roman"/>
          <w:sz w:val="20"/>
        </w:rPr>
        <w:t xml:space="preserve">he </w:t>
      </w:r>
      <w:r>
        <w:rPr>
          <w:rFonts w:ascii="Times New Roman" w:eastAsia="Times New Roman" w:hAnsi="Times New Roman" w:cs="Times New Roman"/>
          <w:sz w:val="20"/>
        </w:rPr>
        <w:t>2021 Sales Agreement</w:t>
      </w:r>
      <w:r>
        <w:rPr>
          <w:rFonts w:ascii="Times New Roman" w:eastAsia="Times New Roman" w:hAnsi="Times New Roman" w:cs="Times New Roman"/>
          <w:sz w:val="20"/>
        </w:rPr>
        <w:t xml:space="preserve"> with National Securi</w:t>
      </w:r>
      <w:r>
        <w:rPr>
          <w:rFonts w:ascii="Times New Roman" w:eastAsia="Times New Roman" w:hAnsi="Times New Roman" w:cs="Times New Roman"/>
          <w:sz w:val="20"/>
        </w:rPr>
        <w:t>ties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March 26, 2021</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Company has raised </w:t>
      </w:r>
      <w:r>
        <w:rPr>
          <w:rFonts w:ascii="Times New Roman" w:eastAsia="Times New Roman" w:hAnsi="Times New Roman" w:cs="Times New Roman"/>
          <w:sz w:val="20"/>
        </w:rPr>
        <w:t>total gross proceeds of</w:t>
      </w:r>
      <w:r>
        <w:rPr>
          <w:rFonts w:ascii="Times New Roman" w:eastAsia="Times New Roman" w:hAnsi="Times New Roman" w:cs="Times New Roman"/>
          <w:sz w:val="20"/>
        </w:rPr>
        <w:t xml:space="preserve"> </w:t>
      </w:r>
      <w:r>
        <w:rPr>
          <w:rFonts w:ascii="Times New Roman" w:eastAsia="Times New Roman" w:hAnsi="Times New Roman" w:cs="Times New Roman"/>
          <w:sz w:val="20"/>
        </w:rPr>
        <w:t>$62,766,730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pursuant to the </w:t>
      </w:r>
      <w:r>
        <w:rPr>
          <w:rFonts w:ascii="Times New Roman" w:eastAsia="Times New Roman" w:hAnsi="Times New Roman" w:cs="Times New Roman"/>
          <w:sz w:val="20"/>
        </w:rPr>
        <w:t xml:space="preserve">2020 </w:t>
      </w:r>
      <w:r>
        <w:rPr>
          <w:rFonts w:ascii="Times New Roman" w:eastAsia="Times New Roman" w:hAnsi="Times New Roman" w:cs="Times New Roman"/>
          <w:sz w:val="20"/>
        </w:rPr>
        <w:t>Sales Agreement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2021 </w:t>
      </w:r>
      <w:r>
        <w:rPr>
          <w:rFonts w:ascii="Times New Roman" w:eastAsia="Times New Roman" w:hAnsi="Times New Roman" w:cs="Times New Roman"/>
          <w:sz w:val="20"/>
        </w:rPr>
        <w:t>Sales Agreement</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945"/>
        <w:jc w:val="left"/>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88" w:lineRule="auto"/>
        <w:ind w:left="0" w:right="0" w:firstLine="945"/>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42" w:name="Section43"/>
      <w:bookmarkEnd w:id="42"/>
      <w:r>
        <w:rPr>
          <w:rFonts w:ascii="Times New Roman" w:eastAsia="Times New Roman" w:hAnsi="Times New Roman" w:cs="Times New Roman"/>
          <w:b/>
          <w:sz w:val="20"/>
        </w:rPr>
        <w:t>ITEM 9 – CHANGES IN AND DISAGREEMENTS WITH ACCOUNTANTS ON ACCOUNTING AND FINANCIAL DISCLOSURE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None.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headerReference w:type="default" r:id="rId11"/>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43" w:name="Section44"/>
      <w:bookmarkEnd w:id="43"/>
      <w:r>
        <w:rPr>
          <w:rFonts w:ascii="Times New Roman" w:eastAsia="Times New Roman" w:hAnsi="Times New Roman" w:cs="Times New Roman"/>
          <w:b/>
          <w:sz w:val="20"/>
        </w:rPr>
        <w:t xml:space="preserve">ITEM </w:t>
      </w:r>
      <w:r>
        <w:rPr>
          <w:rFonts w:ascii="Times New Roman" w:eastAsia="Times New Roman" w:hAnsi="Times New Roman" w:cs="Times New Roman"/>
          <w:b/>
          <w:sz w:val="20"/>
        </w:rPr>
        <w:t>9A</w:t>
      </w:r>
      <w:r>
        <w:rPr>
          <w:rFonts w:ascii="Times New Roman" w:eastAsia="Times New Roman" w:hAnsi="Times New Roman" w:cs="Times New Roman"/>
          <w:b/>
          <w:sz w:val="20"/>
        </w:rPr>
        <w:t xml:space="preserve"> – CONTROLS AND PROCEDURES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Disclosure controls and procedures are controls and other procedures that are designed to ensure that information required to be disclosed by us in the reports that we file or submit under the Securities Exchange Act of 1934, as amended (the “Exchange Act”), is recorded, processed, summarized</w:t>
      </w:r>
      <w:r>
        <w:rPr>
          <w:rFonts w:ascii="Times New Roman" w:eastAsia="Times New Roman" w:hAnsi="Times New Roman" w:cs="Times New Roman"/>
          <w:sz w:val="20"/>
        </w:rPr>
        <w:t>,</w:t>
      </w:r>
      <w:r>
        <w:rPr>
          <w:rFonts w:ascii="Times New Roman" w:eastAsia="Times New Roman" w:hAnsi="Times New Roman" w:cs="Times New Roman"/>
          <w:sz w:val="20"/>
        </w:rPr>
        <w:t xml:space="preserve"> and reported within the time periods specified in the SEC’s rules and forms. </w:t>
      </w:r>
      <w:r>
        <w:rPr>
          <w:rFonts w:ascii="Times New Roman" w:eastAsia="Times New Roman" w:hAnsi="Times New Roman" w:cs="Times New Roman"/>
          <w:sz w:val="20"/>
        </w:rPr>
        <w:t>Disclosure controls and procedures include, without limitation, controls and procedures designed to ensure that information required to be disclosed by us in the reports that we file under the Exchange Act is accumulated and communicated to our management, including our principal executive and principal financial officers, as appropriate to allow timely decisions regarding required disclosures.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designing and evaluating the disclosure controls and procedures, our management recognizes that any controls and procedures, no matter how well designed and operated, can provide only reasonable assurance of achieving the desired control objectives, and our management necessarily was required to apply its judgment in evaluating the cost-benefit relationship of possible controls and procedures. Furthermore, controls and procedures could be circumvented by the individual acts of some persons, by collusion or two or more people or by management override of the control. Misstatements due to error or fraud may occur and not be detected on a timely basis.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Evaluation of Disclosure Controls and Procedures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connection with the preparation of this </w:t>
      </w:r>
      <w:r>
        <w:rPr>
          <w:rFonts w:ascii="Times New Roman" w:eastAsia="Times New Roman" w:hAnsi="Times New Roman" w:cs="Times New Roman"/>
          <w:sz w:val="20"/>
        </w:rPr>
        <w:t>Annual</w:t>
      </w:r>
      <w:r>
        <w:rPr>
          <w:rFonts w:ascii="Times New Roman" w:eastAsia="Times New Roman" w:hAnsi="Times New Roman" w:cs="Times New Roman"/>
          <w:sz w:val="20"/>
        </w:rPr>
        <w:t xml:space="preserve"> Report on Form 10-</w:t>
      </w:r>
      <w:r>
        <w:rPr>
          <w:rFonts w:ascii="Times New Roman" w:eastAsia="Times New Roman" w:hAnsi="Times New Roman" w:cs="Times New Roman"/>
          <w:sz w:val="20"/>
        </w:rPr>
        <w:t>K</w:t>
      </w:r>
      <w:r>
        <w:rPr>
          <w:rFonts w:ascii="Times New Roman" w:eastAsia="Times New Roman" w:hAnsi="Times New Roman" w:cs="Times New Roman"/>
          <w:sz w:val="20"/>
        </w:rPr>
        <w:t xml:space="preserve"> for the period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 evaluation was performed under the supervision and with the participation of our management including our principal executive officer and principal financial </w:t>
      </w:r>
      <w:r>
        <w:rPr>
          <w:rFonts w:ascii="Times New Roman" w:eastAsia="Times New Roman" w:hAnsi="Times New Roman" w:cs="Times New Roman"/>
          <w:sz w:val="20"/>
        </w:rPr>
        <w:t xml:space="preserve">and accounting </w:t>
      </w:r>
      <w:r>
        <w:rPr>
          <w:rFonts w:ascii="Times New Roman" w:eastAsia="Times New Roman" w:hAnsi="Times New Roman" w:cs="Times New Roman"/>
          <w:sz w:val="20"/>
        </w:rPr>
        <w:t xml:space="preserve">officer to determine the effectiveness of the design and operation of our disclosure controls and procedures (as defined in Rules 13a-15(e) and 15d-15(e) under the Exchange Act)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Based on this evaluation, our management concluded that our disclosure controls and procedures were effective as designed to ensure that information required to be disclosed in the reports we file or submit under the Exchange Act is recorded, processed, summarized, and reported within the time periods specified in the rules and forms of the SEC, and that such information is accumulated and communicated to our management, including our principal executive officer and principal financial officer, to allow timely decisions regarding required disclosures.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Management's Annual Report on Internal Control over Financial Reporting</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management is responsible for establishing and maintaining effective internal control over financial reporting (as defined in Rules 13a-15(f) and 15d-15(f) under the Exchange Act). Internal control over financial reporting is a process designed by, or under the supervision of, our principal executive officer and principal financial officer and effected by our Board of Directors, management and other personnel, to provide reasonable assurance regarding the reliability of our financial reporting and the preparation of financial statements for external purposes in accordance with GAAP. Internal control over financial reporting includes policies and procedures that: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20" w:line="288" w:lineRule="auto"/>
        <w:ind w:left="72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 pertain to the maintenance of records that, in reasonable detail, accurately and fairly reflect the Company’s transactions; </w:t>
      </w:r>
    </w:p>
    <w:p>
      <w:pPr>
        <w:keepNext w:val="0"/>
        <w:keepLines w:val="0"/>
        <w:pageBreakBefore w:val="0"/>
        <w:widowControl/>
        <w:numPr>
          <w:ilvl w:val="0"/>
          <w:numId w:val="0"/>
        </w:numPr>
        <w:spacing w:before="0" w:after="120" w:line="288" w:lineRule="auto"/>
        <w:ind w:left="72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(ii) provide reasonable assurance that transactions are recorded as necessary for the preparation of our financial statements in accordance with GAAP, and that receipts and expenditures are made only in accordance with authorizations of our management and directors; and </w:t>
      </w:r>
    </w:p>
    <w:p>
      <w:pPr>
        <w:keepNext w:val="0"/>
        <w:keepLines w:val="0"/>
        <w:pageBreakBefore w:val="0"/>
        <w:widowControl/>
        <w:numPr>
          <w:ilvl w:val="0"/>
          <w:numId w:val="0"/>
        </w:numPr>
        <w:spacing w:before="0" w:after="0" w:line="288" w:lineRule="auto"/>
        <w:ind w:left="72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(iii) provide reasonable assurance regarding prevention or timely detection of any unauthorized acquisition, use or disposition of our assets that could have a material effect on the financial statements.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Because of its inherent limitations, internal control over financial reporting may not prevent or detect financial statement misstatements. Also, projections of any evaluation of internal control effectiveness to future periods are subject to the risk that controls may become inadequate because of changes in conditions, or that the degree of compliance with the policies or procedures may deteriorate.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management has assessed the effectiveness of our internal control over financial reporting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In making this assessment, management used the criteria set forth by the Committee of Sponsoring Organizations of the Treadway Commission (“COSO”) in Internal Control-Integrated Framework (2013). Based on this assessment, our management concluded that our internal control over financial reporting was effective as of </w:t>
      </w:r>
      <w:r>
        <w:rPr>
          <w:rFonts w:ascii="Times New Roman" w:eastAsia="Times New Roman" w:hAnsi="Times New Roman" w:cs="Times New Roman"/>
          <w:sz w:val="20"/>
        </w:rPr>
        <w:t>December 31, 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Pursuant to the rules of the SEC, management's annual report on internal control over financial reporting is not subject to attestation by our independent registered public accounting firm and we are not required to provide an attestation report. Accordingly, BDO USA, LLP, has not issued an attestation report on our internal control over financial reporting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p>
    <w:p>
      <w:pPr>
        <w:keepNext w:val="0"/>
        <w:keepLines w:val="0"/>
        <w:pageBreakBefore w:val="0"/>
        <w:widowControl w:val="0"/>
        <w:numPr>
          <w:ilvl w:val="0"/>
          <w:numId w:val="0"/>
        </w:numPr>
        <w:spacing w:before="63" w:after="0" w:line="288" w:lineRule="auto"/>
        <w:ind w:left="0" w:right="135" w:firstLine="54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Changes in Internal Control over Financial Reporting</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There were no changes in our internal control over financial reporting (as defined in Exchange Act Rules 13a-15(f) and 15d-15(f)) during the fiscal quarter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that have materially affected, or are reasonably likely to materially affect, our internal control over financial reporting.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44" w:name="Section45"/>
      <w:bookmarkEnd w:id="44"/>
      <w:r>
        <w:rPr>
          <w:rFonts w:ascii="Times New Roman" w:eastAsia="Times New Roman" w:hAnsi="Times New Roman" w:cs="Times New Roman"/>
          <w:b/>
          <w:sz w:val="20"/>
        </w:rPr>
        <w:t xml:space="preserve">ITEM </w:t>
      </w:r>
      <w:r>
        <w:rPr>
          <w:rFonts w:ascii="Times New Roman" w:eastAsia="Times New Roman" w:hAnsi="Times New Roman" w:cs="Times New Roman"/>
          <w:b/>
          <w:sz w:val="20"/>
        </w:rPr>
        <w:t>9B</w:t>
      </w:r>
      <w:r>
        <w:rPr>
          <w:rFonts w:ascii="Times New Roman" w:eastAsia="Times New Roman" w:hAnsi="Times New Roman" w:cs="Times New Roman"/>
          <w:b/>
          <w:sz w:val="20"/>
        </w:rPr>
        <w:t xml:space="preserve"> - OTHER INFORMATION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shd w:val="clear" w:color="auto" w:fill="FFFF0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None.</w:t>
      </w:r>
    </w:p>
    <w:p>
      <w:pPr>
        <w:keepNext w:val="0"/>
        <w:keepLines/>
        <w:pageBreakBefore w:val="0"/>
        <w:widowControl w:val="0"/>
        <w:numPr>
          <w:ilvl w:val="0"/>
          <w:numId w:val="0"/>
        </w:numPr>
        <w:spacing w:before="0" w:after="0" w:line="288" w:lineRule="auto"/>
        <w:ind w:left="0" w:right="0" w:firstLine="72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sz w:val="20"/>
        </w:rPr>
      </w:pPr>
      <w:bookmarkStart w:id="45" w:name="Section46"/>
      <w:bookmarkEnd w:id="45"/>
      <w:r>
        <w:rPr>
          <w:rFonts w:ascii="Times New Roman" w:eastAsia="Times New Roman" w:hAnsi="Times New Roman" w:cs="Times New Roman"/>
          <w:b/>
          <w:sz w:val="20"/>
        </w:rPr>
        <w:t>PART III</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46" w:name="Section47"/>
      <w:bookmarkEnd w:id="46"/>
      <w:r>
        <w:rPr>
          <w:rFonts w:ascii="Times New Roman" w:eastAsia="Times New Roman" w:hAnsi="Times New Roman" w:cs="Times New Roman"/>
          <w:b/>
          <w:sz w:val="20"/>
        </w:rPr>
        <w:t>ITEM 10 - DIRECTORS, EXECUTIVE OFFICERS AND CORPORATE GOVERNANCE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Executive Officers and Directors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0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The names and ages of our executive officers and directors, and their positions with us, are as follows: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00"/>
        <w:gridCol w:w="75"/>
        <w:gridCol w:w="600"/>
        <w:gridCol w:w="75"/>
        <w:gridCol w:w="651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30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color w:val="000000"/>
                <w:sz w:val="20"/>
              </w:rPr>
              <w:t>Name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20"/>
              </w:rPr>
              <w:t>Age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51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b/>
                <w:color w:val="000000"/>
                <w:sz w:val="20"/>
              </w:rPr>
              <w:t>Position</w:t>
            </w:r>
          </w:p>
        </w:tc>
      </w:tr>
      <w:tr>
        <w:tblPrEx>
          <w:tblW w:w="10465" w:type="dxa"/>
          <w:jc w:val="left"/>
          <w:tblInd w:w="0" w:type="dxa"/>
          <w:tblCellMar>
            <w:left w:w="108" w:type="dxa"/>
            <w:right w:w="108" w:type="dxa"/>
          </w:tblCellMar>
        </w:tblPrEx>
        <w:trPr>
          <w:cantSplit/>
          <w:trHeight w:hRule="exact" w:val="300"/>
          <w:jc w:val="left"/>
        </w:trPr>
        <w:tc>
          <w:tcPr>
            <w:tcW w:w="3000"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40" w:lineRule="auto"/>
              <w:ind w:left="0"/>
              <w:jc w:val="left"/>
            </w:pPr>
            <w:r>
              <w:rPr>
                <w:rFonts w:ascii="Times New Roman" w:eastAsia="Times New Roman" w:hAnsi="Times New Roman" w:cs="Times New Roman"/>
                <w:color w:val="000000"/>
                <w:sz w:val="20"/>
              </w:rPr>
              <w:t>Edward H. (Ted) Murphy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0" w:type="dxa"/>
            <w:tcBorders>
              <w:top w:val="single" w:sz="8" w:space="0" w:color="000000"/>
              <w:left w:val="nil"/>
              <w:bottom w:val="nil"/>
              <w:right w:val="nil"/>
            </w:tcBorders>
            <w:shd w:val="clear" w:color="auto" w:fill="CCEEFF"/>
            <w:tcMar>
              <w:top w:w="0" w:type="dxa"/>
              <w:left w:w="53" w:type="dxa"/>
              <w:bottom w:w="0" w:type="dxa"/>
              <w:right w:w="15" w:type="dxa"/>
            </w:tcMar>
            <w:vAlign w:val="top"/>
          </w:tcPr>
          <w:p>
            <w:pPr>
              <w:keepNext/>
              <w:pageBreakBefore w:val="0"/>
              <w:spacing w:before="55" w:after="30" w:line="240" w:lineRule="auto"/>
              <w:ind w:left="0" w:right="0"/>
              <w:jc w:val="center"/>
            </w:pPr>
            <w:r>
              <w:rPr>
                <w:rFonts w:ascii="Times New Roman" w:eastAsia="Times New Roman" w:hAnsi="Times New Roman" w:cs="Times New Roman"/>
                <w:color w:val="000000"/>
                <w:sz w:val="20"/>
              </w:rPr>
              <w:t>44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5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Founder, Chairman of the Board and Chief Executive Officer</w:t>
            </w:r>
          </w:p>
        </w:tc>
      </w:tr>
      <w:tr>
        <w:tblPrEx>
          <w:tblW w:w="10465" w:type="dxa"/>
          <w:jc w:val="left"/>
          <w:tblInd w:w="0" w:type="dxa"/>
          <w:tblCellMar>
            <w:left w:w="108" w:type="dxa"/>
            <w:right w:w="108" w:type="dxa"/>
          </w:tblCellMar>
        </w:tblPrEx>
        <w:trPr>
          <w:cantSplit/>
          <w:trHeight w:hRule="exact" w:val="285"/>
          <w:jc w:val="left"/>
        </w:trPr>
        <w:tc>
          <w:tcPr>
            <w:tcW w:w="30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Ryan S. Schram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40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5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President, Chief Operating Officer and Director</w:t>
            </w:r>
          </w:p>
        </w:tc>
      </w:tr>
      <w:tr>
        <w:tblPrEx>
          <w:tblW w:w="10465" w:type="dxa"/>
          <w:jc w:val="left"/>
          <w:tblInd w:w="0" w:type="dxa"/>
          <w:tblCellMar>
            <w:left w:w="108" w:type="dxa"/>
            <w:right w:w="108" w:type="dxa"/>
          </w:tblCellMar>
        </w:tblPrEx>
        <w:trPr>
          <w:cantSplit/>
          <w:trHeight w:hRule="exact" w:val="285"/>
          <w:jc w:val="left"/>
        </w:trPr>
        <w:tc>
          <w:tcPr>
            <w:tcW w:w="30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LeAnn C. Hitchcock</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51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5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Interim Chief Financial Officer</w:t>
            </w:r>
          </w:p>
        </w:tc>
      </w:tr>
      <w:tr>
        <w:tblPrEx>
          <w:tblW w:w="10465" w:type="dxa"/>
          <w:jc w:val="left"/>
          <w:tblInd w:w="0" w:type="dxa"/>
          <w:tblCellMar>
            <w:left w:w="108" w:type="dxa"/>
            <w:right w:w="108" w:type="dxa"/>
          </w:tblCellMar>
        </w:tblPrEx>
        <w:trPr>
          <w:cantSplit/>
          <w:trHeight w:hRule="exact" w:val="285"/>
          <w:jc w:val="left"/>
        </w:trPr>
        <w:tc>
          <w:tcPr>
            <w:tcW w:w="30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Brian W. Brady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62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5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Director, Nominating Committee Chair</w:t>
            </w:r>
          </w:p>
        </w:tc>
      </w:tr>
      <w:tr>
        <w:tblPrEx>
          <w:tblW w:w="10465" w:type="dxa"/>
          <w:jc w:val="left"/>
          <w:tblInd w:w="0" w:type="dxa"/>
          <w:tblCellMar>
            <w:left w:w="108" w:type="dxa"/>
            <w:right w:w="108" w:type="dxa"/>
          </w:tblCellMar>
        </w:tblPrEx>
        <w:trPr>
          <w:cantSplit/>
          <w:trHeight w:hRule="exact" w:val="285"/>
          <w:jc w:val="left"/>
        </w:trPr>
        <w:tc>
          <w:tcPr>
            <w:tcW w:w="30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John H. Caron</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60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63</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65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Director</w:t>
            </w:r>
          </w:p>
        </w:tc>
      </w:tr>
      <w:tr>
        <w:tblPrEx>
          <w:tblW w:w="10465" w:type="dxa"/>
          <w:jc w:val="left"/>
          <w:tblInd w:w="0" w:type="dxa"/>
          <w:tblCellMar>
            <w:left w:w="108" w:type="dxa"/>
            <w:right w:w="108" w:type="dxa"/>
          </w:tblCellMar>
        </w:tblPrEx>
        <w:trPr>
          <w:cantSplit/>
          <w:trHeight w:hRule="exact" w:val="285"/>
          <w:jc w:val="left"/>
        </w:trPr>
        <w:tc>
          <w:tcPr>
            <w:tcW w:w="30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Lindsay A. Gardner</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60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60</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65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Director</w:t>
            </w:r>
          </w:p>
        </w:tc>
      </w:tr>
      <w:tr>
        <w:tblPrEx>
          <w:tblW w:w="10465" w:type="dxa"/>
          <w:jc w:val="left"/>
          <w:tblInd w:w="0" w:type="dxa"/>
          <w:tblCellMar>
            <w:left w:w="108" w:type="dxa"/>
            <w:right w:w="108" w:type="dxa"/>
          </w:tblCellMar>
        </w:tblPrEx>
        <w:trPr>
          <w:cantSplit/>
          <w:trHeight w:hRule="exact" w:val="285"/>
          <w:jc w:val="left"/>
        </w:trPr>
        <w:tc>
          <w:tcPr>
            <w:tcW w:w="30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Jill M. Golder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59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51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Director</w:t>
            </w:r>
          </w:p>
        </w:tc>
      </w:tr>
      <w:tr>
        <w:tblPrEx>
          <w:tblW w:w="10465" w:type="dxa"/>
          <w:jc w:val="left"/>
          <w:tblInd w:w="0" w:type="dxa"/>
          <w:tblCellMar>
            <w:left w:w="108" w:type="dxa"/>
            <w:right w:w="108" w:type="dxa"/>
          </w:tblCellMar>
        </w:tblPrEx>
        <w:trPr>
          <w:cantSplit/>
          <w:trHeight w:hRule="exact" w:val="285"/>
          <w:jc w:val="left"/>
        </w:trPr>
        <w:tc>
          <w:tcPr>
            <w:tcW w:w="30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Daniel R. Rua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0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52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651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Director, Compensation Committee Chair</w:t>
            </w:r>
          </w:p>
        </w:tc>
      </w:tr>
      <w:tr>
        <w:tblPrEx>
          <w:tblW w:w="10465" w:type="dxa"/>
          <w:jc w:val="left"/>
          <w:tblInd w:w="0" w:type="dxa"/>
          <w:tblCellMar>
            <w:left w:w="108" w:type="dxa"/>
            <w:right w:w="108" w:type="dxa"/>
          </w:tblCellMar>
        </w:tblPrEx>
        <w:trPr>
          <w:cantSplit/>
          <w:trHeight w:hRule="exact" w:val="285"/>
          <w:jc w:val="left"/>
        </w:trPr>
        <w:tc>
          <w:tcPr>
            <w:tcW w:w="300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Patrick J. Venetucci</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0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52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651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Director, Audit Committee Chair</w:t>
            </w:r>
          </w:p>
        </w:tc>
      </w:tr>
    </w:tbl>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41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Executive Officers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Edward H. (Ted) Murphy, Founder, Chairman of the Board</w:t>
      </w:r>
      <w:r>
        <w:rPr>
          <w:rFonts w:ascii="Times New Roman" w:eastAsia="Times New Roman" w:hAnsi="Times New Roman" w:cs="Times New Roman"/>
          <w:b/>
          <w:sz w:val="20"/>
        </w:rPr>
        <w:t xml:space="preserve"> and Chief Executive Officer</w:t>
      </w:r>
      <w:r>
        <w:rPr>
          <w:rFonts w:ascii="Times New Roman" w:eastAsia="Times New Roman" w:hAnsi="Times New Roman" w:cs="Times New Roman"/>
          <w:sz w:val="20"/>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founded IZEA in February 2006 as part of MindComet Corp., an interactive advertising agency that he started in 1999 and served as Chief Executive Officer. IZEA was later spun out of MindComet in September 2006 and Mr. Murphy has served as Chief Executive Officer and a director of IZEA since such time. Mr. Murphy is a serial entrepreneur who is recognized as a pioneer in paid blogging and a catalyst behind the social sponsorship industry. As the Founder</w:t>
      </w:r>
      <w:r>
        <w:rPr>
          <w:rFonts w:ascii="Times New Roman" w:eastAsia="Times New Roman" w:hAnsi="Times New Roman" w:cs="Times New Roman"/>
          <w:sz w:val="20"/>
        </w:rPr>
        <w:t xml:space="preserve"> </w:t>
      </w:r>
      <w:r>
        <w:rPr>
          <w:rFonts w:ascii="Times New Roman" w:eastAsia="Times New Roman" w:hAnsi="Times New Roman" w:cs="Times New Roman"/>
          <w:sz w:val="20"/>
        </w:rPr>
        <w:t>and Chief Executive Officer, Mr. Murphy leads IZEA, both with his day-to-day operational leadership and with his strategic vision for IZEA and its products. Mr. Murphy attended Florida State University before starting MindComet and several other earlier Internet-related businesses. Mr. Murphy brings to the Board extensive knowledge of the social sponsorship industry and a deep background in social media, mobile technology and e-commerce, as well as significant experience in financing technology growth companies.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76"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b/>
          <w:sz w:val="20"/>
        </w:rPr>
        <w:t xml:space="preserve">Ryan S. Schram, </w:t>
      </w:r>
      <w:r>
        <w:rPr>
          <w:rFonts w:ascii="Times New Roman" w:eastAsia="Times New Roman" w:hAnsi="Times New Roman" w:cs="Times New Roman"/>
          <w:b/>
          <w:sz w:val="20"/>
        </w:rPr>
        <w:t xml:space="preserve">President, </w:t>
      </w:r>
      <w:r>
        <w:rPr>
          <w:rFonts w:ascii="Times New Roman" w:eastAsia="Times New Roman" w:hAnsi="Times New Roman" w:cs="Times New Roman"/>
          <w:b/>
          <w:sz w:val="20"/>
        </w:rPr>
        <w:t>Chief Operating Officer and Director</w:t>
      </w:r>
      <w:r>
        <w:rPr>
          <w:rFonts w:ascii="Times New Roman" w:eastAsia="Times New Roman" w:hAnsi="Times New Roman" w:cs="Times New Roman"/>
          <w:sz w:val="20"/>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joined us in September 2011 as a senior executive leading the company’s operations, client development, corporate strategy, customer success, marketing communications, and talent acquisition/retention efforts</w:t>
      </w:r>
      <w:r>
        <w:rPr>
          <w:rFonts w:ascii="Times New Roman" w:eastAsia="Times New Roman" w:hAnsi="Times New Roman" w:cs="Times New Roman"/>
          <w:sz w:val="20"/>
        </w:rPr>
        <w:t xml:space="preserve"> and was named President in January 2021.</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Prior to joining us, from 2005 to 2011, Mr. Schram served in various leadership roles, most recently as Group Vice President, at the leading engagement marketing company, Hello World (previously ePrize). Earlier in his career, Mr. Schram held roles of increasing responsibility at CBS/Westwood One and Clear Channel Interactive (now iHeartMedia). Mr. Schram holds a Bachelor of Arts degree in Management from the Eli Broad College of Business at Michigan State University. Mr. Schram joined our Board in October 2012 and brings substantial knowledge and working experience in marketing services and client development within rapidly evolving industries.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 xml:space="preserve">LeAnn C. Hitchcock, Interim Chief Financial Officer, </w:t>
      </w:r>
      <w:r>
        <w:rPr>
          <w:rFonts w:ascii="Times New Roman" w:eastAsia="Times New Roman" w:hAnsi="Times New Roman" w:cs="Times New Roman"/>
          <w:sz w:val="20"/>
        </w:rPr>
        <w:t xml:space="preserve">joined us in September 2011 as a financial consultant and was appointed as our Chief Financial Officer in August 2014 until she resigned on August 15, 2018. After the departure of our former chief financial officer on December 4, 2019, Ms. Hitchcock stepped back in as a consultant serving as our Interim Chief Financial Officer until we find a permanent replacement for the position. Prior to working with IZEA, Ms. Hitchcock worked as the Chief Financial Officer of NBI Juiceworks in 2010 and as the SEC Compliance Officer of Workstream Inc. in 2009. From 2002 to 2009, Ms. Hitchcock worked at Galaxy Nutritional Foods as its Chief Financial Officer and later as its SEC Compliance Officer until the company was sold and privatized through a tender offer in 2009. Ms. Hitchcock started her career as an auditor with Arthur Andersen and PricewaterhouseCoopers with a strong emphasis on public companies. Ms. Hitchcock holds a Bachelor of Science degree with a double major in Accounting and Business Administration from Palm Beach Atlantic University and a Masters degree in Accounting from Florida State University.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b/>
          <w:sz w:val="20"/>
        </w:rPr>
        <w:t>Directors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Brian W. Brady, Director, Nominating Committee Chairman</w:t>
      </w:r>
      <w:r>
        <w:rPr>
          <w:rFonts w:ascii="Times New Roman" w:eastAsia="Times New Roman" w:hAnsi="Times New Roman" w:cs="Times New Roman"/>
          <w:sz w:val="20"/>
        </w:rPr>
        <w:t>, joined our Board in August 2012. From 1995 to December 2019, Mr. Brady was the President and Chief Executive Officer of Northwest Broadcasting, Inc., and Chairman of Bryson Holdings LLC. Collectively, these companies own and operate 15 television stations in nine markets. Mr. Brady currently serves on the board of Syncbak, a privately held technology company, Terrier Media, SumTV, iPowow International, Layer3TV and TV4 Entertainment. Mr. Brady is also one of three senior advisors for Manhattan West Asset Management, an independent wealth management and high net worth financial advisory firm. Mr. Brady previously served on the FOX Affiliate Board for nine years, serving as Chairman for four of those years. He also previously served on the board of the National Association of Broadcasting (8 years), Saga Communication (9 years) and the Ferris State College Foundation Board (7 years). Mr. Brady holds a Bachelor of Science degree in advertising from Ferris State University. Mr. Brady brings to our Board more than 25 years of experience in the multi-media industry, making his input invaluable to us as we expand our portfolio of customers and platform offerings.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John H. Caron, Director</w:t>
      </w:r>
      <w:r>
        <w:rPr>
          <w:rFonts w:ascii="Times New Roman" w:eastAsia="Times New Roman" w:hAnsi="Times New Roman" w:cs="Times New Roman"/>
          <w:sz w:val="20"/>
        </w:rPr>
        <w:t>, joined our Board in April 2015. Mr. Caron has 30+ years of marketing experience in the consumer packaged goods and restaurant industries. Since May 2017, Mr. Caron has served as Vice President and a director of Entrepreneurs in Action, Inc., a Florida benefit corporation, which, among other things, will be the Manager of one or more funds to invest in early-stage and start-up social enterprises. Mr. Caron has also served as an independent director on the board of Tijuana Flats since November 2015 and currently serves as its Chairman, sits on the board of Thrive Frozen Nutrition, Inc. since April 2014, and on the board of venVelo, a Central Florida early-stage venture fund, since May 2013. Prior to joining our Board, Mr. Caron was a member of our Strategic Advisory Board since June 2013. Mr. Caron served as the President of Olive Garden at Darden Restaurants Inc. from May 2011 to January 2013, Darden’s Chief Marketing Officer from March 2010 to May 2011 and Darden’s Executive Vice President of Marketing for Olive Garden from 2003 to 2010. Before joining Darden Restaurants, Mr. Caron served as Vice President and General Manager of Lipton Beverages for Unilever Bestfoods North America from 2000 to 2002. Mr. Caron received a Bachelor of Science degree in Political Science from The Colorado College and a Masters degree in American Politics from New York University Department of Politics. Mr. Caron also earned a Masters in Business Administration in Marketing from New York University Stern School of Business. Mr. Caron’s decades of experience in leading and managing marketing and branding operations in highly competitive industries position him well to serve on our Board.</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Lindsay A. Gardner, Director</w:t>
      </w:r>
      <w:r>
        <w:rPr>
          <w:rFonts w:ascii="Times New Roman" w:eastAsia="Times New Roman" w:hAnsi="Times New Roman" w:cs="Times New Roman"/>
          <w:sz w:val="20"/>
        </w:rPr>
        <w:t>, joined our Board in December 2013. Mr. Gardner has 30 years of executive management and leadership experience at companies ranging from technology startups to the world’s largest media and entertainment companies. Until August 2020, Mr. Gardner served as Senior Vice President and Chief Content Officer of T-Mobile, the nation’s third-largest wireless company, where he spearheaded the company’s entry into video. Previously, he was the Chief Content Officer of Layer3TV, the first new cable operator to launch in the U.S. in a decade. Mr. Gardner joined Layer3TV in January 2015 and led its commercial launch and subsequent sale to T-Mobile. Prior to that, Mr. Gardener was a Senior Advisor to Oaktree Capital Management, a Los Angeles-based private equity firm with $100 billion under management where, beginning in May 2010, he focused on global buyout opportunities in the media sector. From 2007 to 2010, Mr. Gardner was a partner of New York-based MediaTech Capital Partners. From 1999 until mid-2007, Mr. Gardner led distribution, sales and marketing for Fox Networks as President, Distribution. Mr. Gardner received an MBA from The Wharton School of the University of Pennsylvania and a Bachelor of Arts degree in Economics from Brandeis University. Mr. Gardner was elected to serve as a member of the Board due to his significant experience in the media, technology and entertainment industries, as both an executive and a private equity investor.</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shd w:val="clear" w:color="auto" w:fill="FFFF00"/>
        </w:rPr>
      </w:pPr>
      <w:r>
        <w:rPr>
          <w:rFonts w:ascii="Times New Roman" w:eastAsia="Times New Roman" w:hAnsi="Times New Roman" w:cs="Times New Roman"/>
          <w:b/>
          <w:sz w:val="20"/>
        </w:rPr>
        <w:t>Jill M. Golder</w:t>
      </w:r>
      <w:r>
        <w:rPr>
          <w:rFonts w:ascii="Times New Roman" w:eastAsia="Times New Roman" w:hAnsi="Times New Roman" w:cs="Times New Roman"/>
          <w:b/>
          <w:sz w:val="20"/>
        </w:rPr>
        <w:t>, Director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rejoined our Board in </w:t>
      </w:r>
      <w:r>
        <w:rPr>
          <w:rFonts w:ascii="Times New Roman" w:eastAsia="Times New Roman" w:hAnsi="Times New Roman" w:cs="Times New Roman"/>
          <w:sz w:val="20"/>
        </w:rPr>
        <w:t xml:space="preserve">February </w:t>
      </w:r>
      <w:r>
        <w:rPr>
          <w:rFonts w:ascii="Times New Roman" w:eastAsia="Times New Roman" w:hAnsi="Times New Roman" w:cs="Times New Roman"/>
          <w:sz w:val="20"/>
        </w:rPr>
        <w:t>2</w:t>
      </w:r>
      <w:r>
        <w:rPr>
          <w:rFonts w:ascii="Times New Roman" w:eastAsia="Times New Roman" w:hAnsi="Times New Roman" w:cs="Times New Roman"/>
          <w:sz w:val="20"/>
        </w:rPr>
        <w:t>021</w:t>
      </w:r>
      <w:r>
        <w:rPr>
          <w:rFonts w:ascii="Times New Roman" w:eastAsia="Times New Roman" w:hAnsi="Times New Roman" w:cs="Times New Roman"/>
          <w:sz w:val="20"/>
        </w:rPr>
        <w:t xml:space="preserve"> and </w:t>
      </w:r>
      <w:r>
        <w:rPr>
          <w:rFonts w:ascii="Times New Roman" w:eastAsia="Times New Roman" w:hAnsi="Times New Roman" w:cs="Times New Roman"/>
          <w:sz w:val="20"/>
        </w:rPr>
        <w:t>was previously a member of IZEA’s Board of Directors from May 2015 to September 2019. Ms. Golder was most recently the Senior Vice President and Chief Financial Officer of Cracker Barrel Old Country Store, Inc., from April 2016 to December 2020. She was previously employed at Ruby Tuesday, Inc. from April 2013 to April 2016 where she served as Executive Vice President and Chief Financial Officer. Prior to joining Ruby Tuesday, Ms. Golder served as Chief Financial Officer for Cooper's Hawk Winery &amp; Restaurants.</w:t>
      </w:r>
      <w:r>
        <w:rPr>
          <w:rFonts w:ascii="Times New Roman" w:eastAsia="Times New Roman" w:hAnsi="Times New Roman" w:cs="Times New Roman"/>
          <w:sz w:val="20"/>
        </w:rPr>
        <w:t xml:space="preserve"> Prior to her tenure at Cooper’s Hawk Winery &amp; Restaurants, Ms. Golder spent 23 years at Darden Restaurants, holding progressively more responsible positions in finance including Senior Vice President of Finance for Olive Garden, Smokey Bones, Specialty Restaurant Group and Red Lobster.</w:t>
      </w:r>
      <w:r>
        <w:rPr>
          <w:rFonts w:ascii="Times New Roman" w:eastAsia="Times New Roman" w:hAnsi="Times New Roman" w:cs="Times New Roman"/>
          <w:sz w:val="20"/>
        </w:rPr>
        <w:t xml:space="preserve"> She serves on the Board of Directors and Audit Committee member of ABM Industries, Inc. She earned a Bachelor of Arts degree with a major in Economics at Kalamazoo College and a Masters degree in Business Administration from the University of Chicago Booth School of Business. </w:t>
      </w:r>
      <w:r>
        <w:rPr>
          <w:rFonts w:ascii="Times New Roman" w:eastAsia="Times New Roman" w:hAnsi="Times New Roman" w:cs="Times New Roman"/>
          <w:sz w:val="20"/>
        </w:rPr>
        <w:t>Ms. Golder brings to our Board extensive knowledge of complex financial, accounting and operational issues highly relevant to our business.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Daniel R. Rua, Director, Compensation Committee Chairman</w:t>
      </w:r>
      <w:r>
        <w:rPr>
          <w:rFonts w:ascii="Times New Roman" w:eastAsia="Times New Roman" w:hAnsi="Times New Roman" w:cs="Times New Roman"/>
          <w:sz w:val="20"/>
        </w:rPr>
        <w:t>, rejoined our Board in July 2012. Since November 2015, Mr. Rua has served as the Chief Executive Officer of Admiral, a private SaaS company that provides visitor relationship management and marketing automation for digital publishers. From September 2006 to May 2011, Mr. Rua served as the Executive Chairman and an early investor in our predecessor entity IZEA Innovations, Inc. Mr. Rua has been a Managing Partner of Inflexion Partners, an early-stage venture capital fund, since January 2002. Prior to Inflexion, Mr. Rua was a Partner with Draper Atlantic, the east coast fund of Silicon Valley’s early-stage venture firm Draper Fisher Jurvetson, from 1999 to 2002. Prior to Draper Atlantic, Mr. Rua led Internet protocol development at IBM’s Networking Labs in the Research Triangle, from 1991 to 1999. Mr. Rua is a former director of InphoMatch (acquired by Sybase) and AuctionRover (acquired by Overture/Yahoo). Mr. Rua holds a Bachelor of Science degree in computer engineering from the University of Florida. He also earned a Juris Doctor from the University of North Carolina School of Law and a Masters in Business Administration from the Kenan-Flagler Business School of the University of North Carolina. Mr. Rua’s extensive knowledge of our products and services as a director and early investor in our predecessor, as well as his many years of experience in venture capital investing and operational leadership of other technology growth companies, position him well to serve on our Board.</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P</w:t>
      </w:r>
      <w:r>
        <w:rPr>
          <w:rFonts w:ascii="Times New Roman" w:eastAsia="Times New Roman" w:hAnsi="Times New Roman" w:cs="Times New Roman"/>
          <w:b/>
          <w:sz w:val="20"/>
        </w:rPr>
        <w:t>atrick J. Venetucci, Director, Audit Committee Chairman</w:t>
      </w:r>
      <w:r>
        <w:rPr>
          <w:rFonts w:ascii="Times New Roman" w:eastAsia="Times New Roman" w:hAnsi="Times New Roman" w:cs="Times New Roman"/>
          <w:sz w:val="20"/>
        </w:rPr>
        <w:t>, joined our Board in December 2018. Since 2018, Mr. Venetucci has served as Chief Executive Officer of MERGE, a private equity-backed company that merges creative, technology and media solutions for clients in the health, financial services and consumer industries. From 2016 to 2018,</w:t>
      </w:r>
      <w:r>
        <w:rPr>
          <w:rFonts w:ascii="Times New Roman" w:eastAsia="Times New Roman" w:hAnsi="Times New Roman" w:cs="Times New Roman"/>
          <w:b/>
          <w:sz w:val="20"/>
        </w:rPr>
        <w:t xml:space="preserve"> </w:t>
      </w:r>
      <w:r>
        <w:rPr>
          <w:rFonts w:ascii="Times New Roman" w:eastAsia="Times New Roman" w:hAnsi="Times New Roman" w:cs="Times New Roman"/>
          <w:sz w:val="20"/>
        </w:rPr>
        <w:t>Mr. Venetucci was the President of USA Operations and Integration for Dentsu Aegis Network, one of the largest holding companies in the advertising industry. In 2013, Mr. Venetucci founded the MobileAngelo Group, a technology investment and consulting firm where he initiated a global mobile roll-up capitalized by private equity and other ventures in technology that enable digital transformation, and served as its Chief Executive Officer until 2016. From 1990 to 2013, Mr. Venetucci worked for Leo Burnett Worldwide, a global advertising network, serving as its President of Global Operations from 2009 to 2013. In this capacity, he was responsible for growing large global accounts and leading global corporate functions such as corporate strategy, Mergers and Acquisitions, enterprise technology, internal audit, procurement, and production. Before this, Mr. Venetucci was Leo Burnett’s Global Head of Human Resources where he chaired the executive compensation committee. Earlier in his career at Leo Burnett, he spent over a decade developing fully-integrated marketing campaigns for several Fortune 500 clients, and worked at Leo Burnett Tokyo for three years, where he started the company’s first digital marketing service. Mr. Venetucci has served as an advisor to several innovative public and private technology companies, including Solstice Mobile, Signal, ParqEx, and Quiver, as well as to private equity firms. Mr. Venetucci has a</w:t>
      </w:r>
      <w:r>
        <w:rPr>
          <w:rFonts w:ascii="Times New Roman" w:eastAsia="Times New Roman" w:hAnsi="Times New Roman" w:cs="Times New Roman"/>
          <w:sz w:val="20"/>
        </w:rPr>
        <w:t xml:space="preserve"> Masters in Business Administration in Finance and in Marketing and Entrepreneurship from the University of Chicago and a Bachelor of Arts in Communications Studies from the University of Iowa. Mr. Venetucci’s extensive knowledge of the advertising industry as well as knowledge of financial and operational issues positions him well to serve on our Board.</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Family Relationships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There are no family relationships among our executive officers and directors.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Involvement in Certain Legal Proceedings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To our knowledge, during the past ten years, none of our directors, executive officers, promoters, control persons or nominees has been: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29"/>
        </w:numPr>
        <w:spacing w:before="0" w:after="0" w:line="28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subject of any bankruptcy petition filed by or against any business of which such person was a general partner or executive officer either at the time of the bankruptcy or within two years prior to that time;</w:t>
      </w:r>
    </w:p>
    <w:p>
      <w:pPr>
        <w:keepNext w:val="0"/>
        <w:keepLines w:val="0"/>
        <w:pageBreakBefore w:val="0"/>
        <w:widowControl/>
        <w:numPr>
          <w:ilvl w:val="0"/>
          <w:numId w:val="29"/>
        </w:numPr>
        <w:spacing w:before="0" w:after="0" w:line="28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convicted in a criminal proceeding or is subject to a pending criminal proceeding (excluding traffic violations and other minor offenses);</w:t>
      </w:r>
    </w:p>
    <w:p>
      <w:pPr>
        <w:keepNext w:val="0"/>
        <w:keepLines w:val="0"/>
        <w:pageBreakBefore w:val="0"/>
        <w:widowControl/>
        <w:numPr>
          <w:ilvl w:val="0"/>
          <w:numId w:val="29"/>
        </w:numPr>
        <w:spacing w:before="0" w:after="0" w:line="28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subject to any order, judgment, or decree, not subsequently reversed, suspended or vacated, of any court of competent jurisdiction, permanently or temporarily enjoining, barring, suspending or otherwise limiting his involvement in any type of business, securities or banking activities; or</w:t>
      </w:r>
    </w:p>
    <w:p>
      <w:pPr>
        <w:keepNext w:val="0"/>
        <w:keepLines w:val="0"/>
        <w:pageBreakBefore w:val="0"/>
        <w:widowControl/>
        <w:numPr>
          <w:ilvl w:val="0"/>
          <w:numId w:val="29"/>
        </w:numPr>
        <w:spacing w:before="0" w:after="0" w:line="28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found by a court of competent jurisdiction (in a civil action), the SEC or the Commodity Futures Trading Commission to have violated a federal or state securities or commodities law.</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Delinquent Section 16(a) Reports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Section 16(a) of the Exchange Act requires our directors, executive officers and persons who beneficially own more than 10% of our outstanding common stock to file initial reports of ownership with respect to our equity securities and reports of changes in such ownership with the SEC. Such persons are required by SEC regulations to furnish us with copies of all Section 16(a) forms they file. Based solely upon our review of the copies of the reports that we received and written representations that no other reports were required, we believe that during the year ended December 31, 20</w:t>
      </w:r>
      <w:r>
        <w:rPr>
          <w:rFonts w:ascii="Times New Roman" w:eastAsia="Times New Roman" w:hAnsi="Times New Roman" w:cs="Times New Roman"/>
          <w:sz w:val="20"/>
        </w:rPr>
        <w:t>20</w:t>
      </w:r>
      <w:r>
        <w:rPr>
          <w:rFonts w:ascii="Times New Roman" w:eastAsia="Times New Roman" w:hAnsi="Times New Roman" w:cs="Times New Roman"/>
          <w:sz w:val="20"/>
        </w:rPr>
        <w:t>, all Section16(a) filings were made in a timely manner</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Compensation Committee Interlocks and Insider Participation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Du</w:t>
      </w:r>
      <w:r>
        <w:rPr>
          <w:rFonts w:ascii="Times New Roman" w:eastAsia="Times New Roman" w:hAnsi="Times New Roman" w:cs="Times New Roman"/>
          <w:sz w:val="20"/>
        </w:rPr>
        <w:t>ring the year ended December 31, 2020</w:t>
      </w:r>
      <w:r>
        <w:rPr>
          <w:rFonts w:ascii="Times New Roman" w:eastAsia="Times New Roman" w:hAnsi="Times New Roman" w:cs="Times New Roman"/>
          <w:sz w:val="20"/>
        </w:rPr>
        <w:t>, the members of our Compensation Committee were Lindsay A. Gardner,</w:t>
      </w:r>
      <w:r>
        <w:rPr>
          <w:rFonts w:ascii="Times New Roman" w:eastAsia="Times New Roman" w:hAnsi="Times New Roman" w:cs="Times New Roman"/>
          <w:sz w:val="20"/>
        </w:rPr>
        <w:t xml:space="preserve"> </w:t>
      </w:r>
      <w:r>
        <w:rPr>
          <w:rFonts w:ascii="Times New Roman" w:eastAsia="Times New Roman" w:hAnsi="Times New Roman" w:cs="Times New Roman"/>
          <w:sz w:val="20"/>
        </w:rPr>
        <w:t>Daniel R. Rua</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Patrick J. Venetucci </w:t>
      </w:r>
      <w:r>
        <w:rPr>
          <w:rFonts w:ascii="Times New Roman" w:eastAsia="Times New Roman" w:hAnsi="Times New Roman" w:cs="Times New Roman"/>
          <w:sz w:val="20"/>
        </w:rPr>
        <w:t>with</w:t>
      </w:r>
      <w:r>
        <w:rPr>
          <w:rFonts w:ascii="Times New Roman" w:eastAsia="Times New Roman" w:hAnsi="Times New Roman" w:cs="Times New Roman"/>
          <w:sz w:val="20"/>
        </w:rPr>
        <w:t xml:space="preserve"> Mr. Rua </w:t>
      </w:r>
      <w:r>
        <w:rPr>
          <w:rFonts w:ascii="Times New Roman" w:eastAsia="Times New Roman" w:hAnsi="Times New Roman" w:cs="Times New Roman"/>
          <w:sz w:val="20"/>
        </w:rPr>
        <w:t>serving</w:t>
      </w:r>
      <w:r>
        <w:rPr>
          <w:rFonts w:ascii="Times New Roman" w:eastAsia="Times New Roman" w:hAnsi="Times New Roman" w:cs="Times New Roman"/>
          <w:sz w:val="20"/>
        </w:rPr>
        <w:t xml:space="preserve"> as the Chairman of the Compensation Committee</w:t>
      </w:r>
      <w:r>
        <w:rPr>
          <w:rFonts w:ascii="Times New Roman" w:eastAsia="Times New Roman" w:hAnsi="Times New Roman" w:cs="Times New Roman"/>
          <w:sz w:val="20"/>
        </w:rPr>
        <w:t>. None of the directors who served on our Compensation Committee in 20</w:t>
      </w:r>
      <w:r>
        <w:rPr>
          <w:rFonts w:ascii="Times New Roman" w:eastAsia="Times New Roman" w:hAnsi="Times New Roman" w:cs="Times New Roman"/>
          <w:sz w:val="20"/>
        </w:rPr>
        <w:t>20</w:t>
      </w:r>
      <w:r>
        <w:rPr>
          <w:rFonts w:ascii="Times New Roman" w:eastAsia="Times New Roman" w:hAnsi="Times New Roman" w:cs="Times New Roman"/>
          <w:sz w:val="20"/>
        </w:rPr>
        <w:t xml:space="preserve"> served as one of our employees in 20</w:t>
      </w:r>
      <w:r>
        <w:rPr>
          <w:rFonts w:ascii="Times New Roman" w:eastAsia="Times New Roman" w:hAnsi="Times New Roman" w:cs="Times New Roman"/>
          <w:sz w:val="20"/>
        </w:rPr>
        <w:t>20</w:t>
      </w:r>
      <w:r>
        <w:rPr>
          <w:rFonts w:ascii="Times New Roman" w:eastAsia="Times New Roman" w:hAnsi="Times New Roman" w:cs="Times New Roman"/>
          <w:sz w:val="20"/>
        </w:rPr>
        <w:t xml:space="preserve"> or has ever served as one of our officers. During 20</w:t>
      </w:r>
      <w:r>
        <w:rPr>
          <w:rFonts w:ascii="Times New Roman" w:eastAsia="Times New Roman" w:hAnsi="Times New Roman" w:cs="Times New Roman"/>
          <w:sz w:val="20"/>
        </w:rPr>
        <w:t>20</w:t>
      </w:r>
      <w:r>
        <w:rPr>
          <w:rFonts w:ascii="Times New Roman" w:eastAsia="Times New Roman" w:hAnsi="Times New Roman" w:cs="Times New Roman"/>
          <w:sz w:val="20"/>
        </w:rPr>
        <w:t>, none of our executive officers served as a director or member of a compensation committee (or other committee performing similar functions) of any other entity of which an executive officer served on our Board of Directors or Compensation Committee.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Board Committees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24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Board has </w:t>
      </w:r>
      <w:r>
        <w:rPr>
          <w:rFonts w:ascii="Times New Roman" w:eastAsia="Times New Roman" w:hAnsi="Times New Roman" w:cs="Times New Roman"/>
          <w:sz w:val="20"/>
        </w:rPr>
        <w:t>three active standing committees</w:t>
      </w:r>
      <w:r>
        <w:rPr>
          <w:rFonts w:ascii="Times New Roman" w:eastAsia="Times New Roman" w:hAnsi="Times New Roman" w:cs="Times New Roman"/>
          <w:sz w:val="20"/>
        </w:rPr>
        <w:t xml:space="preserve"> to assist it with its responsibilities. Below, we describe the three committees, the charters of which are available on our website at https://izea.com. Neither our website nor its contents are incorporated into this </w:t>
      </w:r>
      <w:r>
        <w:rPr>
          <w:rFonts w:ascii="Times New Roman" w:eastAsia="Times New Roman" w:hAnsi="Times New Roman" w:cs="Times New Roman"/>
          <w:sz w:val="20"/>
        </w:rPr>
        <w:t>A</w:t>
      </w:r>
      <w:r>
        <w:rPr>
          <w:rFonts w:ascii="Times New Roman" w:eastAsia="Times New Roman" w:hAnsi="Times New Roman" w:cs="Times New Roman"/>
          <w:sz w:val="20"/>
        </w:rPr>
        <w:t>nnual Report</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Audit Committee</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The Audit Committee’s duties are to recommend to the Board the engagement of independent auditors to audit our financial statements and to review our accounting policies and financial statements. The Audit Committee is responsible for reviewing the scope and fees for the annual audit and the results of audit examinations performed by our independent public accountants, including their recommendations to improve the system of accounting and internal controls. The Audit Committee will at all times be composed exclusively of directors who are, in the opinion of the Board, free from any relationship which would interfere with the exercise of independent judgment as a committee member and who possess an understanding of financial statements and generally accepted accounting principles.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r>
        <w:rPr>
          <w:rFonts w:ascii="Times New Roman" w:eastAsia="Times New Roman" w:hAnsi="Times New Roman" w:cs="Times New Roman"/>
          <w:sz w:val="20"/>
        </w:rPr>
        <w:tab/>
      </w:r>
      <w:r>
        <w:rPr>
          <w:rFonts w:ascii="Times New Roman" w:eastAsia="Times New Roman" w:hAnsi="Times New Roman" w:cs="Times New Roman"/>
          <w:sz w:val="20"/>
        </w:rPr>
        <w:t>The Audit Committee is comprised of three non-employee directors</w:t>
      </w:r>
      <w:r>
        <w:rPr>
          <w:rFonts w:ascii="Times New Roman" w:eastAsia="Times New Roman" w:hAnsi="Times New Roman" w:cs="Times New Roman"/>
          <w:sz w:val="20"/>
        </w:rPr>
        <w:t>:</w:t>
      </w:r>
      <w:r>
        <w:rPr>
          <w:rFonts w:ascii="Times New Roman" w:eastAsia="Times New Roman" w:hAnsi="Times New Roman" w:cs="Times New Roman"/>
          <w:sz w:val="20"/>
        </w:rPr>
        <w:t xml:space="preserve"> John H. Caron, Daniel R. Rua, and Patrick J. Venetucci. Mr. Venetucci serves as the audit committee chairperson and is designated as the “audit committee financial expert” based on his experience as an executive officer of multiple international companies, service on a compensation committee and graduate degree in finance. The Board has determined that all members of the Audit Committee are “independent” as that term is currently defined in the Nasdaq Marketplace Rule 4200(a)(15) and Rule 10A-3(b)(1) of the Securities Exchange Act of 1934. The Audit Committee met telephonically </w:t>
      </w:r>
      <w:r>
        <w:rPr>
          <w:rFonts w:ascii="Times New Roman" w:eastAsia="Times New Roman" w:hAnsi="Times New Roman" w:cs="Times New Roman"/>
          <w:sz w:val="20"/>
        </w:rPr>
        <w:t>six</w:t>
      </w:r>
      <w:r>
        <w:rPr>
          <w:rFonts w:ascii="Times New Roman" w:eastAsia="Times New Roman" w:hAnsi="Times New Roman" w:cs="Times New Roman"/>
          <w:sz w:val="20"/>
        </w:rPr>
        <w:t xml:space="preserve"> times during the year ended December 31, 20</w:t>
      </w:r>
      <w:r>
        <w:rPr>
          <w:rFonts w:ascii="Times New Roman" w:eastAsia="Times New Roman" w:hAnsi="Times New Roman" w:cs="Times New Roman"/>
          <w:sz w:val="20"/>
        </w:rPr>
        <w:t>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Compensation Committee</w:t>
      </w:r>
      <w:r>
        <w:rPr>
          <w:rFonts w:ascii="Times New Roman" w:eastAsia="Times New Roman" w:hAnsi="Times New Roman" w:cs="Times New Roman"/>
          <w:i/>
          <w:sz w:val="20"/>
        </w:rPr>
        <w:t xml:space="preserve">. </w:t>
      </w:r>
      <w:r>
        <w:rPr>
          <w:rFonts w:ascii="Times New Roman" w:eastAsia="Times New Roman" w:hAnsi="Times New Roman" w:cs="Times New Roman"/>
          <w:sz w:val="20"/>
        </w:rPr>
        <w:t>The Compensation Committee is tasked with reviewing and approving our compensation policies, including compensation of executive officers. The Compensation Committee is also charged with reviewing and administering our equity incentive compensation plans, and recommending and approving grants of stock options or other awards under that plan.</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Compensation Committee is comprised of three non-employee directors, Lindsay A. Gardner, Daniel R. Rua, and Patrick J. Venetucci. The Board has determined that all members of the Compensation Committee are “independent” as that term is currently defined in the Nasdaq Marketplace Rule 4200(a)(15) and Rule 10A-3(b)(1) of the Securities Exchange Act of 1934. Mr. Rua serves as the chairman of the Compensation Committee. The Compensation Committee met </w:t>
      </w:r>
      <w:r>
        <w:rPr>
          <w:rFonts w:ascii="Times New Roman" w:eastAsia="Times New Roman" w:hAnsi="Times New Roman" w:cs="Times New Roman"/>
          <w:sz w:val="20"/>
        </w:rPr>
        <w:t>fi</w:t>
      </w:r>
      <w:r>
        <w:rPr>
          <w:rFonts w:ascii="Times New Roman" w:eastAsia="Times New Roman" w:hAnsi="Times New Roman" w:cs="Times New Roman"/>
          <w:sz w:val="20"/>
        </w:rPr>
        <w:t>ve</w:t>
      </w:r>
      <w:r>
        <w:rPr>
          <w:rFonts w:ascii="Times New Roman" w:eastAsia="Times New Roman" w:hAnsi="Times New Roman" w:cs="Times New Roman"/>
          <w:sz w:val="20"/>
        </w:rPr>
        <w:t xml:space="preserve"> times telephonically </w:t>
      </w:r>
      <w:r>
        <w:rPr>
          <w:rFonts w:ascii="Times New Roman" w:eastAsia="Times New Roman" w:hAnsi="Times New Roman" w:cs="Times New Roman"/>
          <w:sz w:val="20"/>
        </w:rPr>
        <w:t>during the year ended December 31, 20</w:t>
      </w:r>
      <w:r>
        <w:rPr>
          <w:rFonts w:ascii="Times New Roman" w:eastAsia="Times New Roman" w:hAnsi="Times New Roman" w:cs="Times New Roman"/>
          <w:sz w:val="20"/>
        </w:rPr>
        <w:t>20</w:t>
      </w:r>
      <w:r>
        <w:rPr>
          <w:rFonts w:ascii="Times New Roman" w:eastAsia="Times New Roman" w:hAnsi="Times New Roman" w:cs="Times New Roman"/>
          <w:sz w:val="20"/>
        </w:rPr>
        <w:t>, in addition to performing multiple actions through written consents.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4"/>
        </w:rPr>
      </w:pPr>
      <w:r>
        <w:rPr>
          <w:rFonts w:ascii="Times New Roman" w:eastAsia="Times New Roman" w:hAnsi="Times New Roman" w:cs="Times New Roman"/>
          <w:b/>
          <w:i/>
          <w:sz w:val="20"/>
        </w:rPr>
        <w:t>Nominations and Corporate Governance Committee</w:t>
      </w:r>
      <w:r>
        <w:rPr>
          <w:rFonts w:ascii="Times New Roman" w:eastAsia="Times New Roman" w:hAnsi="Times New Roman" w:cs="Times New Roman"/>
          <w:sz w:val="20"/>
        </w:rPr>
        <w:t xml:space="preserve">. The purpose of the Nominations and Corporate Governance Committee is to select, or recommend for our entire Board’s selection, the individuals to stand for election as directors at the annual meeting of stockholders and to oversee the selection and composition of committees of our Board. The Nominations and Corporate Governance Committee’s duties also include considering the adequacy of our corporate governance and overseeing and approving management continuity planning processes. The Nominations and Corporate Governance Committee is comprised of all of our non-employee directors: Brian W. Brady, John H. Caron, Lindsay A. Gardner, </w:t>
      </w:r>
      <w:r>
        <w:rPr>
          <w:rFonts w:ascii="Times New Roman" w:eastAsia="Times New Roman" w:hAnsi="Times New Roman" w:cs="Times New Roman"/>
          <w:sz w:val="20"/>
        </w:rPr>
        <w:t>Jill M. Golder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Daniel R. Rua, and Patrick </w:t>
      </w:r>
      <w:r>
        <w:rPr>
          <w:rFonts w:ascii="Times New Roman" w:eastAsia="Times New Roman" w:hAnsi="Times New Roman" w:cs="Times New Roman"/>
          <w:sz w:val="20"/>
        </w:rPr>
        <w:t xml:space="preserve">J. </w:t>
      </w:r>
      <w:r>
        <w:rPr>
          <w:rFonts w:ascii="Times New Roman" w:eastAsia="Times New Roman" w:hAnsi="Times New Roman" w:cs="Times New Roman"/>
          <w:sz w:val="20"/>
        </w:rPr>
        <w:t>Venetucci. Mr. Brady serves as the chairman of the Nominations and Corporate Governance Committee. The Nominations and Corporate Governance Committee</w:t>
      </w:r>
      <w:r>
        <w:rPr>
          <w:rFonts w:ascii="Times New Roman" w:eastAsia="Times New Roman" w:hAnsi="Times New Roman" w:cs="Times New Roman"/>
          <w:sz w:val="20"/>
        </w:rPr>
        <w:t xml:space="preserve"> me</w:t>
      </w:r>
      <w:r>
        <w:rPr>
          <w:rFonts w:ascii="Times New Roman" w:eastAsia="Times New Roman" w:hAnsi="Times New Roman" w:cs="Times New Roman"/>
          <w:sz w:val="20"/>
        </w:rPr>
        <w:t xml:space="preserve">t </w:t>
      </w:r>
      <w:r>
        <w:rPr>
          <w:rFonts w:ascii="Times New Roman" w:eastAsia="Times New Roman" w:hAnsi="Times New Roman" w:cs="Times New Roman"/>
          <w:sz w:val="20"/>
        </w:rPr>
        <w:t>one</w:t>
      </w:r>
      <w:r>
        <w:rPr>
          <w:rFonts w:ascii="Times New Roman" w:eastAsia="Times New Roman" w:hAnsi="Times New Roman" w:cs="Times New Roman"/>
          <w:sz w:val="20"/>
        </w:rPr>
        <w:t xml:space="preserve"> time</w:t>
      </w:r>
      <w:r>
        <w:rPr>
          <w:rFonts w:ascii="Times New Roman" w:eastAsia="Times New Roman" w:hAnsi="Times New Roman" w:cs="Times New Roman"/>
          <w:sz w:val="20"/>
        </w:rPr>
        <w:t xml:space="preserve"> </w:t>
      </w:r>
      <w:r>
        <w:rPr>
          <w:rFonts w:ascii="Times New Roman" w:eastAsia="Times New Roman" w:hAnsi="Times New Roman" w:cs="Times New Roman"/>
          <w:sz w:val="20"/>
        </w:rPr>
        <w:t>during the year ended December 31, 20</w:t>
      </w:r>
      <w:r>
        <w:rPr>
          <w:rFonts w:ascii="Times New Roman" w:eastAsia="Times New Roman" w:hAnsi="Times New Roman" w:cs="Times New Roman"/>
          <w:sz w:val="20"/>
        </w:rPr>
        <w:t>20</w:t>
      </w:r>
      <w:r>
        <w:rPr>
          <w:rFonts w:ascii="Times New Roman" w:eastAsia="Times New Roman" w:hAnsi="Times New Roman" w:cs="Times New Roman"/>
          <w:sz w:val="20"/>
        </w:rPr>
        <w:t xml:space="preserve"> </w:t>
      </w:r>
      <w:r>
        <w:rPr>
          <w:rFonts w:ascii="Times New Roman" w:eastAsia="Times New Roman" w:hAnsi="Times New Roman" w:cs="Times New Roman"/>
          <w:sz w:val="20"/>
        </w:rPr>
        <w:t>to amend</w:t>
      </w:r>
      <w:r>
        <w:rPr>
          <w:rFonts w:ascii="Times New Roman" w:eastAsia="Times New Roman" w:hAnsi="Times New Roman" w:cs="Times New Roman"/>
          <w:sz w:val="20"/>
        </w:rPr>
        <w:t xml:space="preserve"> its committee charter</w:t>
      </w:r>
      <w:r>
        <w:rPr>
          <w:rFonts w:ascii="Times New Roman" w:eastAsia="Times New Roman" w:hAnsi="Times New Roman" w:cs="Times New Roman"/>
          <w:sz w:val="20"/>
        </w:rPr>
        <w:t xml:space="preserve"> </w:t>
      </w:r>
      <w:r>
        <w:rPr>
          <w:rFonts w:ascii="Times New Roman" w:eastAsia="Times New Roman" w:hAnsi="Times New Roman" w:cs="Times New Roman"/>
          <w:sz w:val="20"/>
        </w:rPr>
        <w:t>and</w:t>
      </w:r>
      <w:r>
        <w:rPr>
          <w:rFonts w:ascii="Times New Roman" w:eastAsia="Times New Roman" w:hAnsi="Times New Roman" w:cs="Times New Roman"/>
          <w:sz w:val="20"/>
        </w:rPr>
        <w:t xml:space="preserve"> took action by written consent on one occasion.</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While we do not have a formal diversity policy for Board membership, the Board does seek to ensure that its membership consists of sufficiently diverse backgrounds, meaning a mix of backgrounds and experiences that will enhance the quality of the Board’s deliberations and decisions. In considering candidates for the Board, the independent directors consider, among other factors, diversity with respect to viewpoints, skills, experience and other demographics.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Board Leadership Structure</w:t>
      </w:r>
    </w:p>
    <w:p>
      <w:pPr>
        <w:keepNext/>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240" w:line="288" w:lineRule="auto"/>
        <w:ind w:left="0" w:right="0" w:firstLine="72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Mr.</w:t>
      </w:r>
      <w:r>
        <w:rPr>
          <w:rFonts w:ascii="Times New Roman" w:eastAsia="Times New Roman" w:hAnsi="Times New Roman" w:cs="Times New Roman"/>
          <w:sz w:val="20"/>
        </w:rPr>
        <w:t xml:space="preserve"> Murphy has been our Chairman of the Board</w:t>
      </w:r>
      <w:r>
        <w:rPr>
          <w:rFonts w:ascii="Times New Roman" w:eastAsia="Times New Roman" w:hAnsi="Times New Roman" w:cs="Times New Roman"/>
          <w:sz w:val="20"/>
        </w:rPr>
        <w:t xml:space="preserve"> </w:t>
      </w:r>
      <w:r>
        <w:rPr>
          <w:rFonts w:ascii="Times New Roman" w:eastAsia="Times New Roman" w:hAnsi="Times New Roman" w:cs="Times New Roman"/>
          <w:sz w:val="20"/>
        </w:rPr>
        <w:t>and Chief Executive Officer since 2006 when</w:t>
      </w:r>
      <w:r>
        <w:rPr>
          <w:rFonts w:ascii="Times New Roman" w:eastAsia="Times New Roman" w:hAnsi="Times New Roman" w:cs="Times New Roman"/>
          <w:sz w:val="20"/>
        </w:rPr>
        <w:t xml:space="preserve"> he founded IZEA. We believe that having one person, particularly Mr. Murphy with his deep industry and executive management experience, his extensive knowledge of the operations of IZEA and his own history of innovation and strategic thinking, serving as both Chairman and Chief Executive Officer is the best leadership structure for IZEA because it demonstrates to employees, customers and stockholders that we are under strong leadership</w:t>
      </w:r>
      <w:r>
        <w:rPr>
          <w:rFonts w:ascii="Times New Roman" w:eastAsia="Times New Roman" w:hAnsi="Times New Roman" w:cs="Times New Roman"/>
          <w:sz w:val="20"/>
        </w:rPr>
        <w:t xml:space="preserve">. </w:t>
      </w:r>
      <w:r>
        <w:rPr>
          <w:rFonts w:ascii="Times New Roman" w:eastAsia="Times New Roman" w:hAnsi="Times New Roman" w:cs="Times New Roman"/>
          <w:sz w:val="20"/>
        </w:rPr>
        <w:t>Mr. Schram has been our Chief Operating Officer since 2011 and was named President in Janua</w:t>
      </w:r>
      <w:r>
        <w:rPr>
          <w:rFonts w:ascii="Times New Roman" w:eastAsia="Times New Roman" w:hAnsi="Times New Roman" w:cs="Times New Roman"/>
          <w:sz w:val="20"/>
        </w:rPr>
        <w:t>ry 2021.</w:t>
      </w:r>
      <w:r>
        <w:rPr>
          <w:rFonts w:ascii="Times New Roman" w:eastAsia="Times New Roman" w:hAnsi="Times New Roman" w:cs="Times New Roman"/>
          <w:sz w:val="20"/>
        </w:rPr>
        <w:t xml:space="preserve"> This </w:t>
      </w:r>
      <w:r>
        <w:rPr>
          <w:rFonts w:ascii="Times New Roman" w:eastAsia="Times New Roman" w:hAnsi="Times New Roman" w:cs="Times New Roman"/>
          <w:sz w:val="20"/>
        </w:rPr>
        <w:t>continuity and small base</w:t>
      </w:r>
      <w:r>
        <w:rPr>
          <w:rFonts w:ascii="Times New Roman" w:eastAsia="Times New Roman" w:hAnsi="Times New Roman" w:cs="Times New Roman"/>
          <w:sz w:val="20"/>
        </w:rPr>
        <w:t xml:space="preserve"> of individuals </w:t>
      </w:r>
      <w:r>
        <w:rPr>
          <w:rFonts w:ascii="Times New Roman" w:eastAsia="Times New Roman" w:hAnsi="Times New Roman" w:cs="Times New Roman"/>
          <w:sz w:val="20"/>
        </w:rPr>
        <w:t>setting the tone and having primary responsibility for managing our operations</w:t>
      </w:r>
      <w:r>
        <w:rPr>
          <w:rFonts w:ascii="Times New Roman" w:eastAsia="Times New Roman" w:hAnsi="Times New Roman" w:cs="Times New Roman"/>
          <w:sz w:val="20"/>
        </w:rPr>
        <w:t xml:space="preserve"> provides </w:t>
      </w:r>
      <w:r>
        <w:rPr>
          <w:rFonts w:ascii="Times New Roman" w:eastAsia="Times New Roman" w:hAnsi="Times New Roman" w:cs="Times New Roman"/>
          <w:sz w:val="20"/>
        </w:rPr>
        <w:t xml:space="preserve">unity of leadership </w:t>
      </w:r>
      <w:r>
        <w:rPr>
          <w:rFonts w:ascii="Times New Roman" w:eastAsia="Times New Roman" w:hAnsi="Times New Roman" w:cs="Times New Roman"/>
          <w:sz w:val="20"/>
        </w:rPr>
        <w:t xml:space="preserve">and </w:t>
      </w:r>
      <w:r>
        <w:rPr>
          <w:rFonts w:ascii="Times New Roman" w:eastAsia="Times New Roman" w:hAnsi="Times New Roman" w:cs="Times New Roman"/>
          <w:sz w:val="20"/>
        </w:rPr>
        <w:t>promotes strategy development and execution, timely decision-making and effective management of company resources. We believe that we have been well-served by this structure.</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Six</w:t>
      </w:r>
      <w:r>
        <w:rPr>
          <w:rFonts w:ascii="Times New Roman" w:eastAsia="Times New Roman" w:hAnsi="Times New Roman" w:cs="Times New Roman"/>
          <w:sz w:val="20"/>
        </w:rPr>
        <w:t xml:space="preserve"> of our </w:t>
      </w:r>
      <w:r>
        <w:rPr>
          <w:rFonts w:ascii="Times New Roman" w:eastAsia="Times New Roman" w:hAnsi="Times New Roman" w:cs="Times New Roman"/>
          <w:sz w:val="20"/>
        </w:rPr>
        <w:t>eight</w:t>
      </w:r>
      <w:r>
        <w:rPr>
          <w:rFonts w:ascii="Times New Roman" w:eastAsia="Times New Roman" w:hAnsi="Times New Roman" w:cs="Times New Roman"/>
          <w:sz w:val="20"/>
        </w:rPr>
        <w:t xml:space="preserve"> directors are independent within the meaning of SEC and Nasdaq rules. In addition, all of the directors on each of the Audit Committee, Compensation Committee, and Nominations and Corporate Governance Committee are independent and each of these committees is led by an independent committee chair. The committee chairs set the agendas for their committees and report to the full Board on their work. </w:t>
      </w:r>
      <w:r>
        <w:rPr>
          <w:rFonts w:ascii="Times New Roman" w:eastAsia="Times New Roman" w:hAnsi="Times New Roman" w:cs="Times New Roman"/>
          <w:sz w:val="20"/>
        </w:rPr>
        <w:t>Mr. Brady serves</w:t>
      </w:r>
      <w:r>
        <w:rPr>
          <w:rFonts w:ascii="Times New Roman" w:eastAsia="Times New Roman" w:hAnsi="Times New Roman" w:cs="Times New Roman"/>
          <w:sz w:val="20"/>
        </w:rPr>
        <w:t xml:space="preserve"> as</w:t>
      </w:r>
      <w:r>
        <w:rPr>
          <w:rFonts w:ascii="Times New Roman" w:eastAsia="Times New Roman" w:hAnsi="Times New Roman" w:cs="Times New Roman"/>
          <w:sz w:val="20"/>
        </w:rPr>
        <w:t xml:space="preserve"> </w:t>
      </w:r>
      <w:r>
        <w:rPr>
          <w:rFonts w:ascii="Times New Roman" w:eastAsia="Times New Roman" w:hAnsi="Times New Roman" w:cs="Times New Roman"/>
          <w:sz w:val="20"/>
        </w:rPr>
        <w:t>the lea</w:t>
      </w:r>
      <w:r>
        <w:rPr>
          <w:rFonts w:ascii="Times New Roman" w:eastAsia="Times New Roman" w:hAnsi="Times New Roman" w:cs="Times New Roman"/>
          <w:sz w:val="20"/>
        </w:rPr>
        <w:t>d</w:t>
      </w:r>
      <w:r>
        <w:rPr>
          <w:rFonts w:ascii="Times New Roman" w:eastAsia="Times New Roman" w:hAnsi="Times New Roman" w:cs="Times New Roman"/>
          <w:sz w:val="20"/>
        </w:rPr>
        <w:t xml:space="preserve"> independent</w:t>
      </w:r>
      <w:r>
        <w:rPr>
          <w:rFonts w:ascii="Times New Roman" w:eastAsia="Times New Roman" w:hAnsi="Times New Roman" w:cs="Times New Roman"/>
          <w:sz w:val="20"/>
        </w:rPr>
        <w:t xml:space="preserve"> director of the</w:t>
      </w:r>
      <w:r>
        <w:rPr>
          <w:rFonts w:ascii="Times New Roman" w:eastAsia="Times New Roman" w:hAnsi="Times New Roman" w:cs="Times New Roman"/>
          <w:sz w:val="20"/>
        </w:rPr>
        <w:t xml:space="preserve"> </w:t>
      </w:r>
      <w:r>
        <w:rPr>
          <w:rFonts w:ascii="Times New Roman" w:eastAsia="Times New Roman" w:hAnsi="Times New Roman" w:cs="Times New Roman"/>
          <w:sz w:val="20"/>
        </w:rPr>
        <w:t>board of directors and</w:t>
      </w:r>
      <w:r>
        <w:rPr>
          <w:rFonts w:ascii="Times New Roman" w:eastAsia="Times New Roman" w:hAnsi="Times New Roman" w:cs="Times New Roman"/>
          <w:sz w:val="20"/>
        </w:rPr>
        <w:t>, as required by Nasdaq, our independent directors meet in executive session without management present as frequently as they deem appropriate, typically at the time of each regular in-person Board meeting. All of the independent directors are highly accomplished and experienced business people in their respective fields, who have demonstrated leadership in significant enterprises and are familiar with board processes. Our independent directors bring experience, oversight</w:t>
      </w:r>
      <w:r>
        <w:rPr>
          <w:rFonts w:ascii="Times New Roman" w:eastAsia="Times New Roman" w:hAnsi="Times New Roman" w:cs="Times New Roman"/>
          <w:sz w:val="20"/>
        </w:rPr>
        <w:t>,</w:t>
      </w:r>
      <w:r>
        <w:rPr>
          <w:rFonts w:ascii="Times New Roman" w:eastAsia="Times New Roman" w:hAnsi="Times New Roman" w:cs="Times New Roman"/>
          <w:sz w:val="20"/>
        </w:rPr>
        <w:t xml:space="preserve"> and expertise from outside the company and industry, while Messrs. Murphy and Schram bring company-specific experience and expertise.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Board Role in Risk Oversight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While the Board is responsible for overseeing our risk management, the Board has delegated many of these functions to the Audit Committee. Under its charter, the Audit Committee is responsible for discussing with management and the independent auditors our major financial risk exposures, the guidelines and policies by which risk assessment and management is undertaken, and the steps management has taken to monitor and control risk exposure. In addition to the Audit Committee’s work in overseeing risk management, the full Board regularly engages in discussions of the most significant risks that we are facing and how those risks are being managed, and the Board receives reports on risk management from our senior officers and from the chair of the Audit Committee. In addition, Mr. Murphy’s extensive knowledge of IZEA uniquely qualifies him to lead the Board in assessing risks. The Board believes that the work undertaken by the Audit Committee, the full Board and the Chairman and Chief Executive Officer, enables the Board to effectively oversee our risk management function.</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Code of Business Conduct and Ethics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have adopted a Code of Business Conduct and Ethics that applies to all our directors, officers (including our chief executive officer, chief financial officer and any person performing similar functions) and employees. We have made our Code of Business Conduct and Ethics available on our website at https://izea.com. Amendments to the Code of Business Conduct and Ethics or any grant of a waiver from a provision of the Code of Business Conduct and Ethics requiring disclosure under applicable SEC rules will also be disclosed on our website.</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47" w:name="Section48"/>
      <w:bookmarkEnd w:id="47"/>
      <w:r>
        <w:rPr>
          <w:rFonts w:ascii="Times New Roman" w:eastAsia="Times New Roman" w:hAnsi="Times New Roman" w:cs="Times New Roman"/>
          <w:b/>
          <w:sz w:val="20"/>
        </w:rPr>
        <w:t>ITEM 11 - EXECUTIVE COMPENSATION</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Summary Compensation Table</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following table sets forth the cash compensation, as well as certain other compensation earned during the last two fiscal years, for (i) each person who served as our principal executive officer (“PEO”) during the year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(ii) the two other most highly compensated executive officers other than the PEO who were serving as executive officers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and (iii) up to two additional individuals for whom disclosure would have been provided pursuant to the foregoing clause (ii) but for the fact that such individuals were not serving as </w:t>
      </w:r>
      <w:r>
        <w:rPr>
          <w:rFonts w:ascii="Times New Roman" w:eastAsia="Times New Roman" w:hAnsi="Times New Roman" w:cs="Times New Roman"/>
          <w:sz w:val="20"/>
        </w:rPr>
        <w:t xml:space="preserve">executive officers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(collectively referred to as the “Named Executive Officers”):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40"/>
        <w:gridCol w:w="75"/>
        <w:gridCol w:w="525"/>
        <w:gridCol w:w="75"/>
        <w:gridCol w:w="160"/>
        <w:gridCol w:w="745"/>
        <w:gridCol w:w="100"/>
        <w:gridCol w:w="75"/>
        <w:gridCol w:w="160"/>
        <w:gridCol w:w="580"/>
        <w:gridCol w:w="100"/>
        <w:gridCol w:w="75"/>
        <w:gridCol w:w="160"/>
        <w:gridCol w:w="655"/>
        <w:gridCol w:w="100"/>
        <w:gridCol w:w="75"/>
        <w:gridCol w:w="160"/>
        <w:gridCol w:w="625"/>
        <w:gridCol w:w="100"/>
        <w:gridCol w:w="75"/>
        <w:gridCol w:w="160"/>
        <w:gridCol w:w="1000"/>
        <w:gridCol w:w="100"/>
        <w:gridCol w:w="75"/>
        <w:gridCol w:w="160"/>
        <w:gridCol w:w="565"/>
        <w:gridCol w:w="100"/>
        <w:gridCol w:w="75"/>
        <w:gridCol w:w="160"/>
        <w:gridCol w:w="80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675"/>
          <w:jc w:val="left"/>
        </w:trPr>
        <w:tc>
          <w:tcPr>
            <w:tcW w:w="234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18"/>
              </w:rPr>
              <w:t>Name and Principal Position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2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18"/>
              </w:rPr>
              <w:t>Year</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18"/>
              </w:rPr>
              <w:t> Salary</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4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18"/>
              </w:rPr>
              <w:t> Bonus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91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18"/>
              </w:rPr>
              <w:t>Stock Awards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8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sz w:val="18"/>
              </w:rPr>
            </w:pPr>
            <w:r>
              <w:rPr>
                <w:rFonts w:ascii="Times New Roman" w:eastAsia="Times New Roman" w:hAnsi="Times New Roman" w:cs="Times New Roman"/>
                <w:b/>
                <w:sz w:val="18"/>
              </w:rPr>
              <w:t xml:space="preserve">Option Awards </w:t>
            </w:r>
            <w:r>
              <w:rPr>
                <w:rFonts w:ascii="Times New Roman" w:eastAsia="Times New Roman" w:hAnsi="Times New Roman" w:cs="Times New Roman"/>
                <w:b/>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sz w:val="16"/>
              </w:rPr>
            </w:pPr>
            <w:r>
              <w:rPr>
                <w:rFonts w:ascii="Times New Roman" w:eastAsia="Times New Roman" w:hAnsi="Times New Roman" w:cs="Times New Roman"/>
                <w:b/>
                <w:sz w:val="16"/>
              </w:rPr>
              <w:t xml:space="preserve">Non-Equity Incentive Plan Compensation </w:t>
            </w:r>
            <w:r>
              <w:rPr>
                <w:rFonts w:ascii="Times New Roman" w:eastAsia="Times New Roman" w:hAnsi="Times New Roman" w:cs="Times New Roman"/>
                <w:b/>
                <w:sz w:val="16"/>
                <w:vertAlign w:val="superscript"/>
              </w:rPr>
              <w:t>(2)</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82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sz w:val="16"/>
              </w:rPr>
            </w:pPr>
            <w:r>
              <w:rPr>
                <w:rFonts w:ascii="Times New Roman" w:eastAsia="Times New Roman" w:hAnsi="Times New Roman" w:cs="Times New Roman"/>
                <w:b/>
                <w:sz w:val="16"/>
              </w:rPr>
              <w:t> All Other Compen</w:t>
            </w:r>
            <w:r>
              <w:rPr>
                <w:rFonts w:ascii="Times New Roman" w:eastAsia="Times New Roman" w:hAnsi="Times New Roman" w:cs="Times New Roman"/>
                <w:b/>
                <w:sz w:val="16"/>
              </w:rPr>
              <w:t>-</w:t>
            </w:r>
            <w:r>
              <w:rPr>
                <w:rFonts w:ascii="Times New Roman" w:eastAsia="Times New Roman" w:hAnsi="Times New Roman" w:cs="Times New Roman"/>
                <w:b/>
                <w:sz w:val="16"/>
              </w:rPr>
              <w:t xml:space="preserve">sation </w:t>
            </w:r>
            <w:r>
              <w:rPr>
                <w:rFonts w:ascii="Times New Roman" w:eastAsia="Times New Roman" w:hAnsi="Times New Roman" w:cs="Times New Roman"/>
                <w:b/>
                <w:sz w:val="16"/>
                <w:vertAlign w:val="superscript"/>
              </w:rPr>
              <w:t>(3)</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18"/>
              </w:rPr>
              <w:t> Total</w:t>
            </w:r>
          </w:p>
        </w:tc>
      </w:tr>
      <w:tr>
        <w:tblPrEx>
          <w:tblW w:w="10465" w:type="dxa"/>
          <w:jc w:val="left"/>
          <w:tblInd w:w="0" w:type="dxa"/>
          <w:tblCellMar>
            <w:left w:w="108" w:type="dxa"/>
            <w:right w:w="108" w:type="dxa"/>
          </w:tblCellMar>
        </w:tblPrEx>
        <w:trPr>
          <w:cantSplit/>
          <w:trHeight w:hRule="exact" w:val="300"/>
          <w:jc w:val="left"/>
        </w:trPr>
        <w:tc>
          <w:tcPr>
            <w:tcW w:w="234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Edward H. (Ted) Murphy</w:t>
            </w:r>
            <w:r>
              <w:rPr>
                <w:rFonts w:ascii="Times New Roman" w:eastAsia="Times New Roman" w:hAnsi="Times New Roman" w:cs="Times New Roman"/>
                <w:sz w:val="20"/>
                <w:vertAlign w:val="superscript"/>
              </w:rPr>
              <w:t>(4)</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p>
        </w:tc>
        <w:tc>
          <w:tcPr>
            <w:tcW w:w="5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2020</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7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269,424 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5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6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61,790 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6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227,010 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0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66,572 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5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814 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8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625,610 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234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i/>
                <w:color w:val="000000"/>
                <w:sz w:val="20"/>
              </w:rPr>
              <w:t>Chief Executive Officer</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p>
        </w:tc>
        <w:tc>
          <w:tcPr>
            <w:tcW w:w="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2019</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7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243,547 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5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6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195,597 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6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183,299 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118,604 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5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741,861 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23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Ryan S. Schram</w:t>
            </w:r>
            <w:r>
              <w:rPr>
                <w:rFonts w:ascii="Times New Roman" w:eastAsia="Times New Roman" w:hAnsi="Times New Roman" w:cs="Times New Roman"/>
                <w:sz w:val="20"/>
                <w:vertAlign w:val="superscript"/>
              </w:rPr>
              <w:t xml:space="preserve"> (5)</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p>
        </w:tc>
        <w:tc>
          <w:tcPr>
            <w:tcW w:w="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2020</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259,075 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5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6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65,721 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6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170,392 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5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497,654 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234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i/>
                <w:color w:val="000000"/>
                <w:sz w:val="20"/>
              </w:rPr>
              <w:t>Chief Operating Officer</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p>
        </w:tc>
        <w:tc>
          <w:tcPr>
            <w:tcW w:w="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2019</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7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259,784 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5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6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6,124 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6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8,758 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128,415 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5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403,386 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23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LeAnn C. Hitchcock </w:t>
            </w:r>
            <w:r>
              <w:rPr>
                <w:rFonts w:ascii="Times New Roman" w:eastAsia="Times New Roman" w:hAnsi="Times New Roman" w:cs="Times New Roman"/>
                <w:sz w:val="20"/>
                <w:vertAlign w:val="superscript"/>
              </w:rPr>
              <w:t>(6)</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p>
        </w:tc>
        <w:tc>
          <w:tcPr>
            <w:tcW w:w="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2020</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7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267,639 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5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right="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6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6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5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267,639 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495"/>
          <w:jc w:val="left"/>
        </w:trPr>
        <w:tc>
          <w:tcPr>
            <w:tcW w:w="234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Times New Roman" w:eastAsia="Times New Roman" w:hAnsi="Times New Roman" w:cs="Times New Roman"/>
                <w:i/>
                <w:color w:val="000000"/>
                <w:sz w:val="20"/>
              </w:rPr>
              <w:t>Interim Chief Financial Officer</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right="0"/>
              <w:jc w:val="center"/>
            </w:pPr>
          </w:p>
        </w:tc>
        <w:tc>
          <w:tcPr>
            <w:tcW w:w="5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right="0"/>
              <w:jc w:val="center"/>
            </w:pPr>
            <w:r>
              <w:rPr>
                <w:rFonts w:ascii="Times New Roman" w:eastAsia="Times New Roman" w:hAnsi="Times New Roman" w:cs="Times New Roman"/>
                <w:color w:val="000000"/>
                <w:sz w:val="20"/>
              </w:rPr>
              <w:t>2019</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74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70,624 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58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65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62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56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right="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70,624 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40" w:lineRule="auto"/>
              <w:ind w:right="0"/>
              <w:jc w:val="right"/>
            </w:pPr>
          </w:p>
        </w:tc>
      </w:tr>
    </w:tbl>
    <w:p>
      <w:pPr>
        <w:keepNext w:val="0"/>
        <w:keepLines w:val="0"/>
        <w:pageBreakBefore w:val="0"/>
        <w:widowControl/>
        <w:numPr>
          <w:ilvl w:val="0"/>
          <w:numId w:val="0"/>
        </w:numPr>
        <w:tabs>
          <w:tab w:val="left" w:pos="360"/>
        </w:tabs>
        <w:spacing w:before="120" w:after="120" w:line="288" w:lineRule="auto"/>
        <w:ind w:left="36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20"/>
        </w:rPr>
        <w:t>_______________</w:t>
      </w:r>
    </w:p>
    <w:p>
      <w:pPr>
        <w:keepNext w:val="0"/>
        <w:keepLines w:val="0"/>
        <w:pageBreakBefore w:val="0"/>
        <w:widowControl/>
        <w:numPr>
          <w:ilvl w:val="0"/>
          <w:numId w:val="0"/>
        </w:numPr>
        <w:tabs>
          <w:tab w:val="left" w:pos="360"/>
        </w:tabs>
        <w:spacing w:before="120" w:after="120" w:line="288" w:lineRule="auto"/>
        <w:ind w:left="36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vertAlign w:val="superscript"/>
        </w:rPr>
        <w:t xml:space="preserve">(1) </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20"/>
        </w:rPr>
        <w:t xml:space="preserve">Represents the aggregate grant date fair value of stock options issued during the year as calculated in accordance with FASB ASC Topic 718. See “Critical Accounting Policies and Use of Estimates” under “Management’s Discussion and Analysis of Financial Condition and Results of Operations” for additional information, including valuation assumptions used in calculating the fair value of the awards. </w:t>
      </w:r>
    </w:p>
    <w:p>
      <w:pPr>
        <w:keepNext w:val="0"/>
        <w:keepLines w:val="0"/>
        <w:pageBreakBefore w:val="0"/>
        <w:widowControl/>
        <w:numPr>
          <w:ilvl w:val="0"/>
          <w:numId w:val="0"/>
        </w:numPr>
        <w:tabs>
          <w:tab w:val="left" w:pos="360"/>
        </w:tabs>
        <w:spacing w:before="0" w:after="120" w:line="288" w:lineRule="auto"/>
        <w:ind w:left="36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Bonus amounts paid in 20</w:t>
      </w:r>
      <w:r>
        <w:rPr>
          <w:rFonts w:ascii="Times New Roman" w:eastAsia="Times New Roman" w:hAnsi="Times New Roman" w:cs="Times New Roman"/>
          <w:sz w:val="20"/>
        </w:rPr>
        <w:t>20</w:t>
      </w:r>
      <w:r>
        <w:rPr>
          <w:rFonts w:ascii="Times New Roman" w:eastAsia="Times New Roman" w:hAnsi="Times New Roman" w:cs="Times New Roman"/>
          <w:sz w:val="20"/>
        </w:rPr>
        <w:t xml:space="preserve"> and 201</w:t>
      </w:r>
      <w:r>
        <w:rPr>
          <w:rFonts w:ascii="Times New Roman" w:eastAsia="Times New Roman" w:hAnsi="Times New Roman" w:cs="Times New Roman"/>
          <w:sz w:val="20"/>
        </w:rPr>
        <w:t>9</w:t>
      </w:r>
      <w:r>
        <w:rPr>
          <w:rFonts w:ascii="Times New Roman" w:eastAsia="Times New Roman" w:hAnsi="Times New Roman" w:cs="Times New Roman"/>
          <w:sz w:val="20"/>
        </w:rPr>
        <w:t xml:space="preserve"> consisted of incentive compensation payable pursuant to each individual’s employment agreement are reported in the “Non-Equity Incentive Plan Compensation” column of the Summary Compensation Table.</w:t>
      </w:r>
    </w:p>
    <w:p>
      <w:pPr>
        <w:keepNext w:val="0"/>
        <w:keepLines w:val="0"/>
        <w:pageBreakBefore w:val="0"/>
        <w:widowControl/>
        <w:numPr>
          <w:ilvl w:val="0"/>
          <w:numId w:val="0"/>
        </w:numPr>
        <w:tabs>
          <w:tab w:val="left" w:pos="360"/>
        </w:tabs>
        <w:spacing w:before="0" w:after="120" w:line="288" w:lineRule="auto"/>
        <w:ind w:left="36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vertAlign w:val="superscript"/>
        </w:rPr>
        <w:t xml:space="preserve">(3) </w:t>
      </w:r>
      <w:r>
        <w:rPr>
          <w:rFonts w:ascii="Times New Roman" w:eastAsia="Times New Roman" w:hAnsi="Times New Roman" w:cs="Times New Roman"/>
          <w:sz w:val="20"/>
        </w:rPr>
        <w:tab/>
      </w:r>
      <w:r>
        <w:rPr>
          <w:rFonts w:ascii="Times New Roman" w:eastAsia="Times New Roman" w:hAnsi="Times New Roman" w:cs="Times New Roman"/>
          <w:sz w:val="20"/>
        </w:rPr>
        <w:t>Represents insurance premiums paid by IZEA with respect to life insurance for the benefit of the Named Executive Officer.</w:t>
      </w:r>
    </w:p>
    <w:p>
      <w:pPr>
        <w:keepNext w:val="0"/>
        <w:keepLines w:val="0"/>
        <w:pageBreakBefore w:val="0"/>
        <w:widowControl/>
        <w:numPr>
          <w:ilvl w:val="0"/>
          <w:numId w:val="0"/>
        </w:numPr>
        <w:tabs>
          <w:tab w:val="left" w:pos="360"/>
        </w:tabs>
        <w:spacing w:before="0" w:after="120" w:line="288" w:lineRule="auto"/>
        <w:ind w:left="36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vertAlign w:val="superscript"/>
        </w:rPr>
        <w:t>(4)</w:t>
      </w:r>
      <w:r>
        <w:rPr>
          <w:rFonts w:ascii="Times New Roman" w:eastAsia="Times New Roman" w:hAnsi="Times New Roman" w:cs="Times New Roman"/>
          <w:sz w:val="20"/>
          <w:vertAlign w:val="superscript"/>
        </w:rPr>
        <w:tab/>
      </w:r>
      <w:r>
        <w:rPr>
          <w:rFonts w:ascii="Times New Roman" w:eastAsia="Times New Roman" w:hAnsi="Times New Roman" w:cs="Times New Roman"/>
          <w:sz w:val="20"/>
        </w:rPr>
        <w:t>For the year ended December 31, 2019, Mr. Murphy was awarded cash bonuses totaling $</w:t>
      </w:r>
      <w:r>
        <w:rPr>
          <w:rFonts w:ascii="Times New Roman" w:eastAsia="Times New Roman" w:hAnsi="Times New Roman" w:cs="Times New Roman"/>
          <w:sz w:val="20"/>
        </w:rPr>
        <w:t xml:space="preserve">118,604, </w:t>
      </w:r>
      <w:r>
        <w:rPr>
          <w:rFonts w:ascii="Times New Roman" w:eastAsia="Times New Roman" w:hAnsi="Times New Roman" w:cs="Times New Roman"/>
          <w:sz w:val="20"/>
        </w:rPr>
        <w:t>restricted stock units valued at $</w:t>
      </w:r>
      <w:r>
        <w:rPr>
          <w:rFonts w:ascii="Times New Roman" w:eastAsia="Times New Roman" w:hAnsi="Times New Roman" w:cs="Times New Roman"/>
          <w:sz w:val="20"/>
        </w:rPr>
        <w:t xml:space="preserve">159,170, restricted stock valued at </w:t>
      </w:r>
      <w:r>
        <w:rPr>
          <w:rFonts w:ascii="Times New Roman" w:eastAsia="Times New Roman" w:hAnsi="Times New Roman" w:cs="Times New Roman"/>
          <w:sz w:val="20"/>
        </w:rPr>
        <w:t>$</w:t>
      </w:r>
      <w:r>
        <w:rPr>
          <w:rFonts w:ascii="Times New Roman" w:eastAsia="Times New Roman" w:hAnsi="Times New Roman" w:cs="Times New Roman"/>
          <w:sz w:val="20"/>
        </w:rPr>
        <w:t>36,427</w:t>
      </w:r>
      <w:r>
        <w:rPr>
          <w:rFonts w:ascii="Times New Roman" w:eastAsia="Times New Roman" w:hAnsi="Times New Roman" w:cs="Times New Roman"/>
          <w:sz w:val="20"/>
        </w:rPr>
        <w:t>, and stock options with a fair value of $</w:t>
      </w:r>
      <w:r>
        <w:rPr>
          <w:rFonts w:ascii="Times New Roman" w:eastAsia="Times New Roman" w:hAnsi="Times New Roman" w:cs="Times New Roman"/>
          <w:sz w:val="20"/>
        </w:rPr>
        <w:t>183,299</w:t>
      </w:r>
      <w:r>
        <w:rPr>
          <w:rFonts w:ascii="Times New Roman" w:eastAsia="Times New Roman" w:hAnsi="Times New Roman" w:cs="Times New Roman"/>
          <w:sz w:val="20"/>
        </w:rPr>
        <w:t xml:space="preserve"> pursuant to quarterly and annual performance bonus awards </w:t>
      </w:r>
      <w:r>
        <w:rPr>
          <w:rFonts w:ascii="Times New Roman" w:eastAsia="Times New Roman" w:hAnsi="Times New Roman" w:cs="Times New Roman"/>
          <w:sz w:val="20"/>
        </w:rPr>
        <w:t>granted in his employ</w:t>
      </w:r>
      <w:r>
        <w:rPr>
          <w:rFonts w:ascii="Times New Roman" w:eastAsia="Times New Roman" w:hAnsi="Times New Roman" w:cs="Times New Roman"/>
          <w:sz w:val="20"/>
        </w:rPr>
        <w:t>ment agreement</w:t>
      </w:r>
      <w:r>
        <w:rPr>
          <w:rFonts w:ascii="Times New Roman" w:eastAsia="Times New Roman" w:hAnsi="Times New Roman" w:cs="Times New Roman"/>
          <w:sz w:val="20"/>
        </w:rPr>
        <w:t xml:space="preserve">. </w:t>
      </w:r>
      <w:r>
        <w:rPr>
          <w:rFonts w:ascii="Times New Roman" w:eastAsia="Times New Roman" w:hAnsi="Times New Roman" w:cs="Times New Roman"/>
          <w:sz w:val="20"/>
        </w:rPr>
        <w:t>For the year ended December 31, 20</w:t>
      </w:r>
      <w:r>
        <w:rPr>
          <w:rFonts w:ascii="Times New Roman" w:eastAsia="Times New Roman" w:hAnsi="Times New Roman" w:cs="Times New Roman"/>
          <w:sz w:val="20"/>
        </w:rPr>
        <w:t>20</w:t>
      </w:r>
      <w:r>
        <w:rPr>
          <w:rFonts w:ascii="Times New Roman" w:eastAsia="Times New Roman" w:hAnsi="Times New Roman" w:cs="Times New Roman"/>
          <w:sz w:val="20"/>
        </w:rPr>
        <w:t>, Mr. Murphy was awarded cash bonuses totaling $</w:t>
      </w:r>
      <w:r>
        <w:rPr>
          <w:rFonts w:ascii="Times New Roman" w:eastAsia="Times New Roman" w:hAnsi="Times New Roman" w:cs="Times New Roman"/>
          <w:sz w:val="20"/>
        </w:rPr>
        <w:t>66,5</w:t>
      </w:r>
      <w:r>
        <w:rPr>
          <w:rFonts w:ascii="Times New Roman" w:eastAsia="Times New Roman" w:hAnsi="Times New Roman" w:cs="Times New Roman"/>
          <w:sz w:val="20"/>
        </w:rPr>
        <w:t>72</w:t>
      </w:r>
      <w:r>
        <w:rPr>
          <w:rFonts w:ascii="Times New Roman" w:eastAsia="Times New Roman" w:hAnsi="Times New Roman" w:cs="Times New Roman"/>
          <w:sz w:val="20"/>
        </w:rPr>
        <w:t>, restricted stock un</w:t>
      </w:r>
      <w:r>
        <w:rPr>
          <w:rFonts w:ascii="Times New Roman" w:eastAsia="Times New Roman" w:hAnsi="Times New Roman" w:cs="Times New Roman"/>
          <w:sz w:val="20"/>
        </w:rPr>
        <w:t>its valued at $61,790, and stock options with a fair value of $227,010</w:t>
      </w:r>
      <w:r>
        <w:rPr>
          <w:rFonts w:ascii="Times New Roman" w:eastAsia="Times New Roman" w:hAnsi="Times New Roman" w:cs="Times New Roman"/>
          <w:sz w:val="20"/>
        </w:rPr>
        <w:t xml:space="preserve"> </w:t>
      </w:r>
      <w:r>
        <w:rPr>
          <w:rFonts w:ascii="Times New Roman" w:eastAsia="Times New Roman" w:hAnsi="Times New Roman" w:cs="Times New Roman"/>
          <w:sz w:val="20"/>
        </w:rPr>
        <w:t>pursuant to quarterly and annual performance bonus awards granted in his employment agreement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See </w:t>
      </w:r>
      <w:r>
        <w:rPr>
          <w:rFonts w:ascii="Times New Roman" w:eastAsia="Times New Roman" w:hAnsi="Times New Roman" w:cs="Times New Roman"/>
          <w:i/>
          <w:sz w:val="20"/>
        </w:rPr>
        <w:t>Employment Agreements</w:t>
      </w:r>
      <w:r>
        <w:rPr>
          <w:rFonts w:ascii="Times New Roman" w:eastAsia="Times New Roman" w:hAnsi="Times New Roman" w:cs="Times New Roman"/>
          <w:sz w:val="20"/>
        </w:rPr>
        <w:t xml:space="preserve"> below for details on Mr. Murphy's total compensation plan.</w:t>
      </w:r>
    </w:p>
    <w:p>
      <w:pPr>
        <w:keepNext w:val="0"/>
        <w:keepLines w:val="0"/>
        <w:pageBreakBefore w:val="0"/>
        <w:widowControl/>
        <w:numPr>
          <w:ilvl w:val="0"/>
          <w:numId w:val="0"/>
        </w:numPr>
        <w:tabs>
          <w:tab w:val="left" w:pos="360"/>
        </w:tabs>
        <w:spacing w:before="0" w:after="120" w:line="288" w:lineRule="auto"/>
        <w:ind w:left="36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vertAlign w:val="superscript"/>
        </w:rPr>
        <w:t>(5)</w:t>
      </w:r>
      <w:r>
        <w:rPr>
          <w:rFonts w:ascii="Times New Roman" w:eastAsia="Times New Roman" w:hAnsi="Times New Roman" w:cs="Times New Roman"/>
          <w:sz w:val="20"/>
          <w:vertAlign w:val="superscript"/>
        </w:rPr>
        <w:tab/>
      </w:r>
      <w:r>
        <w:rPr>
          <w:rFonts w:ascii="Times New Roman" w:eastAsia="Times New Roman" w:hAnsi="Times New Roman" w:cs="Times New Roman"/>
          <w:sz w:val="20"/>
        </w:rPr>
        <w:t>For the year ended December 31, 2019, Mr. Schram was awarded cash bonuses totaling $</w:t>
      </w:r>
      <w:r>
        <w:rPr>
          <w:rFonts w:ascii="Times New Roman" w:eastAsia="Times New Roman" w:hAnsi="Times New Roman" w:cs="Times New Roman"/>
          <w:sz w:val="20"/>
        </w:rPr>
        <w:t>128,41</w:t>
      </w:r>
      <w:r>
        <w:rPr>
          <w:rFonts w:ascii="Times New Roman" w:eastAsia="Times New Roman" w:hAnsi="Times New Roman" w:cs="Times New Roman"/>
          <w:sz w:val="20"/>
        </w:rPr>
        <w:t>5</w:t>
      </w:r>
      <w:r>
        <w:rPr>
          <w:rFonts w:ascii="Times New Roman" w:eastAsia="Times New Roman" w:hAnsi="Times New Roman" w:cs="Times New Roman"/>
          <w:sz w:val="20"/>
        </w:rPr>
        <w:t>,</w:t>
      </w:r>
      <w:r>
        <w:rPr>
          <w:rFonts w:ascii="Times New Roman" w:eastAsia="Times New Roman" w:hAnsi="Times New Roman" w:cs="Times New Roman"/>
          <w:sz w:val="20"/>
        </w:rPr>
        <w:t xml:space="preserve"> restricted stock valued at </w:t>
      </w:r>
      <w:r>
        <w:rPr>
          <w:rFonts w:ascii="Times New Roman" w:eastAsia="Times New Roman" w:hAnsi="Times New Roman" w:cs="Times New Roman"/>
          <w:sz w:val="20"/>
        </w:rPr>
        <w:t>$</w:t>
      </w:r>
      <w:r>
        <w:rPr>
          <w:rFonts w:ascii="Times New Roman" w:eastAsia="Times New Roman" w:hAnsi="Times New Roman" w:cs="Times New Roman"/>
          <w:sz w:val="20"/>
        </w:rPr>
        <w:t>6,124</w:t>
      </w:r>
      <w:r>
        <w:rPr>
          <w:rFonts w:ascii="Times New Roman" w:eastAsia="Times New Roman" w:hAnsi="Times New Roman" w:cs="Times New Roman"/>
          <w:sz w:val="20"/>
        </w:rPr>
        <w:t>, and stock options with a fair value of $</w:t>
      </w:r>
      <w:r>
        <w:rPr>
          <w:rFonts w:ascii="Times New Roman" w:eastAsia="Times New Roman" w:hAnsi="Times New Roman" w:cs="Times New Roman"/>
          <w:sz w:val="20"/>
        </w:rPr>
        <w:t>8,75</w:t>
      </w:r>
      <w:r>
        <w:rPr>
          <w:rFonts w:ascii="Times New Roman" w:eastAsia="Times New Roman" w:hAnsi="Times New Roman" w:cs="Times New Roman"/>
          <w:sz w:val="20"/>
        </w:rPr>
        <w:t>8</w:t>
      </w:r>
      <w:r>
        <w:rPr>
          <w:rFonts w:ascii="Times New Roman" w:eastAsia="Times New Roman" w:hAnsi="Times New Roman" w:cs="Times New Roman"/>
          <w:sz w:val="20"/>
        </w:rPr>
        <w:t xml:space="preserve"> pursuant to quarterly and annual performance bonus awards granted in his employment agreement. </w:t>
      </w:r>
      <w:r>
        <w:rPr>
          <w:rFonts w:ascii="Times New Roman" w:eastAsia="Times New Roman" w:hAnsi="Times New Roman" w:cs="Times New Roman"/>
          <w:sz w:val="20"/>
        </w:rPr>
        <w:t>For the year ended December 31, 20</w:t>
      </w:r>
      <w:r>
        <w:rPr>
          <w:rFonts w:ascii="Times New Roman" w:eastAsia="Times New Roman" w:hAnsi="Times New Roman" w:cs="Times New Roman"/>
          <w:sz w:val="20"/>
        </w:rPr>
        <w:t>20</w:t>
      </w:r>
      <w:r>
        <w:rPr>
          <w:rFonts w:ascii="Times New Roman" w:eastAsia="Times New Roman" w:hAnsi="Times New Roman" w:cs="Times New Roman"/>
          <w:sz w:val="20"/>
        </w:rPr>
        <w:t>, Mr. Schram was awarded cash bonuses totaling $</w:t>
      </w:r>
      <w:r>
        <w:rPr>
          <w:rFonts w:ascii="Times New Roman" w:eastAsia="Times New Roman" w:hAnsi="Times New Roman" w:cs="Times New Roman"/>
          <w:sz w:val="20"/>
        </w:rPr>
        <w:t>170</w:t>
      </w:r>
      <w:r>
        <w:rPr>
          <w:rFonts w:ascii="Times New Roman" w:eastAsia="Times New Roman" w:hAnsi="Times New Roman" w:cs="Times New Roman"/>
          <w:sz w:val="20"/>
        </w:rPr>
        <w:t>,</w:t>
      </w:r>
      <w:r>
        <w:rPr>
          <w:rFonts w:ascii="Times New Roman" w:eastAsia="Times New Roman" w:hAnsi="Times New Roman" w:cs="Times New Roman"/>
          <w:sz w:val="20"/>
        </w:rPr>
        <w:t>392</w:t>
      </w:r>
      <w:r>
        <w:rPr>
          <w:rFonts w:ascii="Times New Roman" w:eastAsia="Times New Roman" w:hAnsi="Times New Roman" w:cs="Times New Roman"/>
          <w:sz w:val="20"/>
        </w:rPr>
        <w:t xml:space="preserve">, restricted stock </w:t>
      </w:r>
      <w:r>
        <w:rPr>
          <w:rFonts w:ascii="Times New Roman" w:eastAsia="Times New Roman" w:hAnsi="Times New Roman" w:cs="Times New Roman"/>
          <w:sz w:val="20"/>
        </w:rPr>
        <w:t xml:space="preserve">units </w:t>
      </w:r>
      <w:r>
        <w:rPr>
          <w:rFonts w:ascii="Times New Roman" w:eastAsia="Times New Roman" w:hAnsi="Times New Roman" w:cs="Times New Roman"/>
          <w:sz w:val="20"/>
        </w:rPr>
        <w:t>valued at $6</w:t>
      </w:r>
      <w:r>
        <w:rPr>
          <w:rFonts w:ascii="Times New Roman" w:eastAsia="Times New Roman" w:hAnsi="Times New Roman" w:cs="Times New Roman"/>
          <w:sz w:val="20"/>
        </w:rPr>
        <w:t>5,721</w:t>
      </w:r>
      <w:r>
        <w:rPr>
          <w:rFonts w:ascii="Times New Roman" w:eastAsia="Times New Roman" w:hAnsi="Times New Roman" w:cs="Times New Roman"/>
          <w:sz w:val="20"/>
        </w:rPr>
        <w:t>, and stock options with a fair value of $</w:t>
      </w:r>
      <w:r>
        <w:rPr>
          <w:rFonts w:ascii="Times New Roman" w:eastAsia="Times New Roman" w:hAnsi="Times New Roman" w:cs="Times New Roman"/>
          <w:sz w:val="20"/>
        </w:rPr>
        <w:t>2,161</w:t>
      </w:r>
      <w:r>
        <w:rPr>
          <w:rFonts w:ascii="Times New Roman" w:eastAsia="Times New Roman" w:hAnsi="Times New Roman" w:cs="Times New Roman"/>
          <w:sz w:val="20"/>
        </w:rPr>
        <w:t xml:space="preserve"> pursuant to quarterly and annual performance bonus awards granted in his employment agreement. </w:t>
      </w:r>
      <w:r>
        <w:rPr>
          <w:rFonts w:ascii="Times New Roman" w:eastAsia="Times New Roman" w:hAnsi="Times New Roman" w:cs="Times New Roman"/>
          <w:sz w:val="20"/>
        </w:rPr>
        <w:t xml:space="preserve">See </w:t>
      </w:r>
      <w:r>
        <w:rPr>
          <w:rFonts w:ascii="Times New Roman" w:eastAsia="Times New Roman" w:hAnsi="Times New Roman" w:cs="Times New Roman"/>
          <w:i/>
          <w:sz w:val="20"/>
        </w:rPr>
        <w:t>Employment Agreements</w:t>
      </w:r>
      <w:r>
        <w:rPr>
          <w:rFonts w:ascii="Times New Roman" w:eastAsia="Times New Roman" w:hAnsi="Times New Roman" w:cs="Times New Roman"/>
          <w:sz w:val="20"/>
        </w:rPr>
        <w:t xml:space="preserve"> below for details on Mr. Schram's total compensation plan</w:t>
      </w:r>
      <w:r>
        <w:rPr>
          <w:rFonts w:ascii="Times New Roman" w:eastAsia="Times New Roman" w:hAnsi="Times New Roman" w:cs="Times New Roman"/>
          <w:sz w:val="20"/>
        </w:rPr>
        <w:t>.</w:t>
      </w:r>
    </w:p>
    <w:p>
      <w:pPr>
        <w:keepNext w:val="0"/>
        <w:keepLines w:val="0"/>
        <w:pageBreakBefore w:val="0"/>
        <w:widowControl/>
        <w:numPr>
          <w:ilvl w:val="0"/>
          <w:numId w:val="0"/>
        </w:numPr>
        <w:tabs>
          <w:tab w:val="left" w:pos="360"/>
        </w:tabs>
        <w:spacing w:before="0" w:after="120" w:line="288" w:lineRule="auto"/>
        <w:ind w:left="36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vertAlign w:val="superscript"/>
        </w:rPr>
        <w:t>(6)</w:t>
      </w:r>
      <w:r>
        <w:rPr>
          <w:rFonts w:ascii="Times New Roman" w:eastAsia="Times New Roman" w:hAnsi="Times New Roman" w:cs="Times New Roman"/>
          <w:sz w:val="20"/>
          <w:vertAlign w:val="superscript"/>
        </w:rPr>
        <w:tab/>
      </w:r>
      <w:r>
        <w:rPr>
          <w:rFonts w:ascii="Times New Roman" w:eastAsia="Times New Roman" w:hAnsi="Times New Roman" w:cs="Times New Roman"/>
          <w:sz w:val="20"/>
        </w:rPr>
        <w:t>Ms.</w:t>
      </w:r>
      <w:r>
        <w:rPr>
          <w:rFonts w:ascii="Times New Roman" w:eastAsia="Times New Roman" w:hAnsi="Times New Roman" w:cs="Times New Roman"/>
          <w:sz w:val="20"/>
        </w:rPr>
        <w:t xml:space="preserve"> Hitchcock </w:t>
      </w:r>
      <w:r>
        <w:rPr>
          <w:rFonts w:ascii="Times New Roman" w:eastAsia="Times New Roman" w:hAnsi="Times New Roman" w:cs="Times New Roman"/>
          <w:sz w:val="20"/>
        </w:rPr>
        <w:t xml:space="preserve">was appointed as our Interim Chief Financial Officer effective December 9, 2019. </w:t>
      </w: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8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Outstanding Equity Awards at Fiscal Year End</w:t>
      </w:r>
      <w:r>
        <w:rPr>
          <w:rFonts w:ascii="Times New Roman" w:eastAsia="Times New Roman" w:hAnsi="Times New Roman" w:cs="Times New Roman"/>
          <w:b/>
          <w:sz w:val="20"/>
        </w:rPr>
        <w:t xml:space="preserve"> </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Listed below is information with respect to unexercised options and equity incentive awards held by each Named Executive Officer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pursuant to our equity incentive plans: </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tbl>
      <w:tblPr>
        <w:tblW w:w="1022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00"/>
        <w:gridCol w:w="75"/>
        <w:gridCol w:w="1580"/>
        <w:gridCol w:w="100"/>
        <w:gridCol w:w="75"/>
        <w:gridCol w:w="1580"/>
        <w:gridCol w:w="100"/>
        <w:gridCol w:w="345"/>
        <w:gridCol w:w="160"/>
        <w:gridCol w:w="1135"/>
        <w:gridCol w:w="100"/>
        <w:gridCol w:w="75"/>
        <w:gridCol w:w="1395"/>
      </w:tblGrid>
      <w:tr>
        <w:tblPrEx>
          <w:tblW w:w="1022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3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645" w:type="dxa"/>
            <w:gridSpan w:val="11"/>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20"/>
              </w:rPr>
              <w:t>Option Awards</w:t>
            </w:r>
          </w:p>
        </w:tc>
      </w:tr>
      <w:tr>
        <w:tblPrEx>
          <w:tblW w:w="10220" w:type="dxa"/>
          <w:jc w:val="left"/>
          <w:tblInd w:w="0" w:type="dxa"/>
          <w:tblCellMar>
            <w:left w:w="108" w:type="dxa"/>
            <w:right w:w="108" w:type="dxa"/>
          </w:tblCellMar>
        </w:tblPrEx>
        <w:trPr>
          <w:cantSplit/>
          <w:trHeight w:hRule="exact" w:val="1185"/>
          <w:jc w:val="left"/>
        </w:trPr>
        <w:tc>
          <w:tcPr>
            <w:tcW w:w="330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18"/>
              </w:rPr>
              <w:t>Name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80"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Times New Roman" w:eastAsia="Times New Roman" w:hAnsi="Times New Roman" w:cs="Times New Roman"/>
                <w:b/>
                <w:color w:val="000000"/>
                <w:sz w:val="18"/>
              </w:rPr>
              <w:t xml:space="preserve">Number of Securities Underlying Unexercised Options: </w:t>
            </w:r>
          </w:p>
          <w:p>
            <w:pPr>
              <w:spacing w:after="30" w:line="240" w:lineRule="auto"/>
              <w:ind w:left="0" w:right="0"/>
              <w:jc w:val="center"/>
            </w:pPr>
            <w:r>
              <w:rPr>
                <w:rFonts w:ascii="Times New Roman" w:eastAsia="Times New Roman" w:hAnsi="Times New Roman" w:cs="Times New Roman"/>
                <w:b/>
                <w:color w:val="000000"/>
                <w:sz w:val="18"/>
              </w:rPr>
              <w:t>Exercisable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680"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line="240" w:lineRule="auto"/>
              <w:ind w:left="0" w:right="0"/>
              <w:jc w:val="center"/>
            </w:pPr>
            <w:r>
              <w:rPr>
                <w:rFonts w:ascii="Times New Roman" w:eastAsia="Times New Roman" w:hAnsi="Times New Roman" w:cs="Times New Roman"/>
                <w:b/>
                <w:color w:val="000000"/>
                <w:sz w:val="18"/>
              </w:rPr>
              <w:t xml:space="preserve">Number of Securities Underlying Unexercised Options: </w:t>
            </w:r>
          </w:p>
          <w:p>
            <w:pPr>
              <w:spacing w:after="30" w:line="240" w:lineRule="auto"/>
              <w:ind w:left="0" w:right="0"/>
              <w:jc w:val="center"/>
            </w:pPr>
            <w:r>
              <w:rPr>
                <w:rFonts w:ascii="Times New Roman" w:eastAsia="Times New Roman" w:hAnsi="Times New Roman" w:cs="Times New Roman"/>
                <w:b/>
                <w:color w:val="000000"/>
                <w:sz w:val="18"/>
              </w:rPr>
              <w:t>Unexercisable</w:t>
            </w:r>
          </w:p>
        </w:tc>
        <w:tc>
          <w:tcPr>
            <w:tcW w:w="34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center"/>
              <w:outlineLvl w:val="9"/>
              <w:rPr>
                <w:rFonts w:ascii="Times New Roman" w:eastAsia="Times New Roman" w:hAnsi="Times New Roman" w:cs="Times New Roman"/>
                <w:b/>
                <w:sz w:val="18"/>
              </w:rPr>
            </w:pPr>
            <w:r>
              <w:rPr>
                <w:rFonts w:ascii="Times New Roman" w:eastAsia="Times New Roman" w:hAnsi="Times New Roman" w:cs="Times New Roman"/>
                <w:b/>
                <w:sz w:val="18"/>
              </w:rPr>
              <w:t xml:space="preserve">Option Exercise Price </w:t>
            </w:r>
            <w:r>
              <w:rPr>
                <w:rFonts w:ascii="Times New Roman" w:eastAsia="Times New Roman" w:hAnsi="Times New Roman" w:cs="Times New Roman"/>
                <w:b/>
                <w:sz w:val="18"/>
                <w:vertAlign w:val="superscript"/>
              </w:rPr>
              <w:t xml:space="preserve"> (1)</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b/>
                <w:color w:val="000000"/>
                <w:sz w:val="18"/>
              </w:rPr>
              <w:t>Option Expiration Date</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single" w:sz="8" w:space="0" w:color="000000"/>
              <w:left w:val="nil"/>
              <w:bottom w:val="nil"/>
              <w:right w:val="nil"/>
            </w:tcBorders>
            <w:shd w:val="clear" w:color="auto" w:fill="FFFFFF"/>
            <w:tcMar>
              <w:top w:w="0" w:type="dxa"/>
              <w:left w:w="53" w:type="dxa"/>
              <w:bottom w:w="0" w:type="dxa"/>
              <w:right w:w="53" w:type="dxa"/>
            </w:tcMar>
            <w:vAlign w:val="top"/>
          </w:tcPr>
          <w:p>
            <w:pPr>
              <w:keepNext/>
              <w:pageBreakBefore w:val="0"/>
              <w:spacing w:before="55" w:after="30" w:line="240" w:lineRule="auto"/>
              <w:ind w:left="0"/>
              <w:jc w:val="left"/>
            </w:pPr>
            <w:r>
              <w:rPr>
                <w:rFonts w:ascii="Times New Roman" w:eastAsia="Times New Roman" w:hAnsi="Times New Roman" w:cs="Times New Roman"/>
                <w:color w:val="000000"/>
                <w:sz w:val="18"/>
              </w:rPr>
              <w:t>Edward H. (Ted) Murphy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single" w:sz="8" w:space="0" w:color="000000"/>
              <w:left w:val="nil"/>
              <w:bottom w:val="nil"/>
              <w:right w:val="nil"/>
            </w:tcBorders>
            <w:shd w:val="clear" w:color="auto" w:fill="FFFFFF"/>
            <w:tcMar>
              <w:top w:w="0" w:type="dxa"/>
              <w:left w:w="53" w:type="dxa"/>
              <w:bottom w:w="0" w:type="dxa"/>
              <w:right w:w="0" w:type="dxa"/>
            </w:tcMar>
            <w:vAlign w:val="top"/>
          </w:tcPr>
          <w:p>
            <w:pPr>
              <w:keepNext/>
              <w:pageBreakBefore w:val="0"/>
              <w:spacing w:before="55" w:after="30" w:line="240" w:lineRule="auto"/>
              <w:jc w:val="right"/>
            </w:pPr>
            <w:r>
              <w:rPr>
                <w:rFonts w:ascii="Times New Roman" w:eastAsia="Times New Roman" w:hAnsi="Times New Roman" w:cs="Times New Roman"/>
                <w:color w:val="000000"/>
                <w:sz w:val="18"/>
              </w:rPr>
              <w:t>25,000 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top"/>
          </w:tcPr>
          <w:p>
            <w:pPr>
              <w:keepNext/>
              <w:pageBreakBefore w:val="0"/>
              <w:spacing w:before="5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single" w:sz="8" w:space="0" w:color="000000"/>
              <w:left w:val="nil"/>
              <w:bottom w:val="nil"/>
              <w:right w:val="nil"/>
            </w:tcBorders>
            <w:shd w:val="clear" w:color="auto" w:fill="FFFFFF"/>
            <w:tcMar>
              <w:top w:w="0" w:type="dxa"/>
              <w:left w:w="53" w:type="dxa"/>
              <w:bottom w:w="0" w:type="dxa"/>
              <w:right w:w="0" w:type="dxa"/>
            </w:tcMar>
            <w:vAlign w:val="top"/>
          </w:tcPr>
          <w:p>
            <w:pPr>
              <w:keepNext/>
              <w:pageBreakBefore w:val="0"/>
              <w:spacing w:before="55" w:after="30" w:line="240" w:lineRule="auto"/>
              <w:jc w:val="right"/>
            </w:pPr>
            <w:r>
              <w:rPr>
                <w:rFonts w:ascii="Times New Roman" w:eastAsia="Times New Roman" w:hAnsi="Times New Roman" w:cs="Times New Roman"/>
                <w:color w:val="000000"/>
                <w:sz w:val="18"/>
              </w:rPr>
              <w:t>—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top"/>
          </w:tcPr>
          <w:p>
            <w:pPr>
              <w:keepNext/>
              <w:pageBreakBefore w:val="0"/>
              <w:spacing w:before="55" w:after="30" w:line="240" w:lineRule="auto"/>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top"/>
          </w:tcPr>
          <w:p>
            <w:pPr>
              <w:keepNext/>
              <w:pageBreakBefore w:val="0"/>
              <w:spacing w:before="55" w:after="30" w:line="240" w:lineRule="auto"/>
              <w:jc w:val="left"/>
            </w:pPr>
            <w:r>
              <w:rPr>
                <w:rFonts w:ascii="Times New Roman" w:eastAsia="Times New Roman" w:hAnsi="Times New Roman" w:cs="Times New Roman"/>
                <w:color w:val="000000"/>
                <w:sz w:val="18"/>
              </w:rPr>
              <w:t>$</w:t>
            </w:r>
          </w:p>
        </w:tc>
        <w:tc>
          <w:tcPr>
            <w:tcW w:w="1135" w:type="dxa"/>
            <w:tcBorders>
              <w:top w:val="single" w:sz="8" w:space="0" w:color="000000"/>
              <w:left w:val="nil"/>
              <w:bottom w:val="nil"/>
              <w:right w:val="nil"/>
            </w:tcBorders>
            <w:shd w:val="clear" w:color="auto" w:fill="FFFFFF"/>
            <w:tcMar>
              <w:top w:w="0" w:type="dxa"/>
              <w:left w:w="0" w:type="dxa"/>
              <w:bottom w:w="0" w:type="dxa"/>
              <w:right w:w="0" w:type="dxa"/>
            </w:tcMar>
            <w:vAlign w:val="top"/>
          </w:tcPr>
          <w:p>
            <w:pPr>
              <w:keepNext/>
              <w:pageBreakBefore w:val="0"/>
              <w:spacing w:before="55" w:after="30" w:line="240" w:lineRule="auto"/>
              <w:jc w:val="right"/>
            </w:pPr>
            <w:r>
              <w:rPr>
                <w:rFonts w:ascii="Times New Roman" w:eastAsia="Times New Roman" w:hAnsi="Times New Roman" w:cs="Times New Roman"/>
                <w:color w:val="000000"/>
                <w:sz w:val="18"/>
              </w:rPr>
              <w:t>5.00 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top"/>
          </w:tcPr>
          <w:p>
            <w:pPr>
              <w:keepNext/>
              <w:pageBreakBefore w:val="0"/>
              <w:spacing w:before="5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single" w:sz="8" w:space="0" w:color="000000"/>
              <w:left w:val="nil"/>
              <w:bottom w:val="nil"/>
              <w:right w:val="nil"/>
            </w:tcBorders>
            <w:shd w:val="clear" w:color="auto" w:fill="FFFFFF"/>
            <w:tcMar>
              <w:top w:w="0" w:type="dxa"/>
              <w:left w:w="53" w:type="dxa"/>
              <w:bottom w:w="0" w:type="dxa"/>
              <w:right w:w="53" w:type="dxa"/>
            </w:tcMar>
            <w:vAlign w:val="top"/>
          </w:tcPr>
          <w:p>
            <w:pPr>
              <w:keepNext/>
              <w:pageBreakBefore w:val="0"/>
              <w:spacing w:before="55" w:after="30" w:line="240" w:lineRule="auto"/>
              <w:ind w:left="0" w:right="0"/>
              <w:jc w:val="center"/>
            </w:pPr>
            <w:r>
              <w:rPr>
                <w:rFonts w:ascii="Times New Roman" w:eastAsia="Times New Roman" w:hAnsi="Times New Roman" w:cs="Times New Roman"/>
                <w:color w:val="000000"/>
                <w:sz w:val="18"/>
              </w:rPr>
              <w:t>3/1/2023</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i/>
                <w:color w:val="000000"/>
                <w:sz w:val="18"/>
              </w:rPr>
              <w:t>Chief Executive Officer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9,384 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5.00 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3/1/2023</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219,949 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5.00 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8/15/2023</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40,000 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5.20 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12/26/2024</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7,300 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7.80 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4/1/2025</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3,108 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8.40 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7/1/2025</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3,307 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8.00 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10/1/2025</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37,388 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7.80 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11/30/2025</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8,297 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6.91 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3/30/2026</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5,539 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5.75 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5/16/2026</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8,058 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7.22 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8/16/2026</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6,299 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4.72 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11/17/2026</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40,000 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4.75 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11/30/2026</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13,359 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890 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(4)</w:t>
            </w: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4.20 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3/31/2027</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10,649 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1,238 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(4)</w:t>
            </w: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2.75 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5/12/2027</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586 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27,527 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(2)</w:t>
            </w: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1.95 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8/14/2027</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30,833 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9,167 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w:t>
            </w: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4.65 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11/30/2027</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8,150 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4,470 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(2)</w:t>
            </w: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1.34 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6/5/2028</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10,954 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7,825 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(2)</w:t>
            </w: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1.10 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8/16/2028</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4,480 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4,121 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(2)</w:t>
            </w: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1.46 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11/16/2028</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20,833 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19,167 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w:t>
            </w: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1.33 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11/30/2028</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87,500 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112,500 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w:t>
            </w: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1.06 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4/23/2029</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16,225 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14,518 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(5)</w:t>
            </w: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0.65 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5/14/2029</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25,517 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31,897 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(5)</w:t>
            </w: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0.42 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8/14/2029</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70,834 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129,166 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w:t>
            </w: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0.31 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8/27/2029</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50,000 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150,000 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(5)</w:t>
            </w: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0.17 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4/1/2030</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19,479 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167,521 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w:t>
            </w: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1.26 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8/27/2030</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18"/>
              </w:rPr>
              <w:t>Ryan S. Schram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5,000 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5.00 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3/1/2023</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i/>
                <w:color w:val="000000"/>
                <w:sz w:val="18"/>
              </w:rPr>
              <w:t>Chief Operating Officer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3,750 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5.00 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3/1/2023</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6,667 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5.60 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1/1/2025</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1,217 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7.80 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4/1/2025</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511 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8.40 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7/1/2025</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560 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8.00 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10/1/2025</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6,355 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7.60 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1/1/2026</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1,383 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6.91 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3/30/2026</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923 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5.75 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5/16/2026</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1,343 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7.22 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8/16/2026</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1,050 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4.72 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11/17/2026</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6,667 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w:t>
            </w: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4.51 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1/1/2027</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2,227 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148 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(2)</w:t>
            </w: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4.20 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3/31/2027</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2,211 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201 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(2)</w:t>
            </w: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2.75 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5/12/2027</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89 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4,166 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(2)</w:t>
            </w: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1.95 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8/14/2027</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5,000 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1,667 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w:t>
            </w: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4.52 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1/1/2028</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1,810 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992 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(2)</w:t>
            </w: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1.34 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6/5/2028</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1,891 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1,350 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(2)</w:t>
            </w: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1.10 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8/16/2028</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325 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299 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(2)</w:t>
            </w: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1.46 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11/16/2028</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3,334 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3,333 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w:t>
            </w: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0.98 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1/1/2029</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2,576 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3,933 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(2)</w:t>
            </w: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0.65 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5/14/2029</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3,190 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6,379 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(2)</w:t>
            </w: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0.42 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8/14/2029</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1,667 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5,000 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w:t>
            </w:r>
          </w:p>
        </w:tc>
        <w:tc>
          <w:tcPr>
            <w:tcW w:w="160" w:type="dxa"/>
            <w:tcBorders>
              <w:top w:val="nil"/>
              <w:left w:val="nil"/>
              <w:bottom w:val="nil"/>
              <w:right w:val="nil"/>
            </w:tcBorders>
            <w:shd w:val="clear" w:color="auto" w:fill="FFFF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FFFF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0.24 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1/1/2030</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1,250 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5,417 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(2)</w:t>
            </w: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0.17 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4/1/2030</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0"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18"/>
              </w:rPr>
              <w:t>LeAnn C. Hitchcock</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125 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jc w:val="righ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top"/>
          </w:tcPr>
          <w:p>
            <w:pPr>
              <w:keepNext/>
              <w:pageBreakBefore w:val="0"/>
              <w:spacing w:before="75" w:after="30" w:line="240" w:lineRule="auto"/>
              <w:jc w:val="left"/>
            </w:pPr>
            <w:r>
              <w:rPr>
                <w:rFonts w:ascii="Times New Roman" w:eastAsia="Times New Roman" w:hAnsi="Times New Roman" w:cs="Times New Roman"/>
                <w:color w:val="000000"/>
                <w:sz w:val="18"/>
              </w:rPr>
              <w:t>$</w:t>
            </w:r>
          </w:p>
        </w:tc>
        <w:tc>
          <w:tcPr>
            <w:tcW w:w="1135" w:type="dxa"/>
            <w:tcBorders>
              <w:top w:val="nil"/>
              <w:left w:val="nil"/>
              <w:bottom w:val="nil"/>
              <w:right w:val="nil"/>
            </w:tcBorders>
            <w:shd w:val="clear" w:color="auto" w:fill="CCEEFF"/>
            <w:tcMar>
              <w:top w:w="0" w:type="dxa"/>
              <w:left w:w="0" w:type="dxa"/>
              <w:bottom w:w="0" w:type="dxa"/>
              <w:right w:w="0" w:type="dxa"/>
            </w:tcMar>
            <w:vAlign w:val="top"/>
          </w:tcPr>
          <w:p>
            <w:pPr>
              <w:keepNext/>
              <w:pageBreakBefore w:val="0"/>
              <w:spacing w:before="75" w:after="30" w:line="240" w:lineRule="auto"/>
              <w:jc w:val="right"/>
            </w:pPr>
            <w:r>
              <w:rPr>
                <w:rFonts w:ascii="Times New Roman" w:eastAsia="Times New Roman" w:hAnsi="Times New Roman" w:cs="Times New Roman"/>
                <w:color w:val="000000"/>
                <w:sz w:val="18"/>
              </w:rPr>
              <w:t>5.00 </w:t>
            </w:r>
          </w:p>
        </w:tc>
        <w:tc>
          <w:tcPr>
            <w:tcW w:w="100" w:type="dxa"/>
            <w:tcBorders>
              <w:top w:val="nil"/>
              <w:left w:val="nil"/>
              <w:bottom w:val="nil"/>
              <w:right w:val="nil"/>
            </w:tcBorders>
            <w:shd w:val="clear" w:color="auto" w:fill="CCEEFF"/>
            <w:tcMar>
              <w:top w:w="0" w:type="dxa"/>
              <w:left w:w="0" w:type="dxa"/>
              <w:bottom w:w="0" w:type="dxa"/>
              <w:right w:w="15" w:type="dxa"/>
            </w:tcMar>
            <w:vAlign w:val="top"/>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3/1/2023</w:t>
            </w:r>
          </w:p>
        </w:tc>
      </w:tr>
      <w:tr>
        <w:tblPrEx>
          <w:tblW w:w="10220" w:type="dxa"/>
          <w:jc w:val="left"/>
          <w:tblInd w:w="0" w:type="dxa"/>
          <w:tblCellMar>
            <w:left w:w="108" w:type="dxa"/>
            <w:right w:w="108" w:type="dxa"/>
          </w:tblCellMar>
        </w:tblPrEx>
        <w:trPr>
          <w:cantSplit/>
          <w:trHeight w:hRule="exact" w:val="240"/>
          <w:jc w:val="left"/>
        </w:trPr>
        <w:tc>
          <w:tcPr>
            <w:tcW w:w="3300"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Times New Roman" w:eastAsia="Times New Roman" w:hAnsi="Times New Roman" w:cs="Times New Roman"/>
                <w:i/>
                <w:color w:val="000000"/>
                <w:sz w:val="18"/>
              </w:rPr>
              <w:t>Interim Chief Financial Officer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80" w:type="dxa"/>
            <w:gridSpan w:val="2"/>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580" w:type="dxa"/>
            <w:tcBorders>
              <w:top w:val="nil"/>
              <w:left w:val="nil"/>
              <w:bottom w:val="nil"/>
              <w:right w:val="nil"/>
            </w:tcBorders>
            <w:shd w:val="clear" w:color="auto" w:fill="FFFFFF"/>
            <w:tcMar>
              <w:top w:w="0" w:type="dxa"/>
              <w:left w:w="53" w:type="dxa"/>
              <w:bottom w:w="0" w:type="dxa"/>
              <w:right w:w="0" w:type="dxa"/>
            </w:tcMar>
            <w:vAlign w:val="top"/>
          </w:tcPr>
          <w:p>
            <w:pPr>
              <w:pageBreakBefore w:val="0"/>
              <w:spacing w:before="75" w:after="30" w:line="240" w:lineRule="auto"/>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top"/>
          </w:tcPr>
          <w:p>
            <w:pPr>
              <w:pageBreakBefore w:val="0"/>
              <w:spacing w:before="75" w:after="30" w:line="240" w:lineRule="auto"/>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9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bl>
    <w:p>
      <w:pPr>
        <w:keepNext w:val="0"/>
        <w:keepLines w:val="0"/>
        <w:pageBreakBefore w:val="0"/>
        <w:widowControl/>
        <w:numPr>
          <w:ilvl w:val="0"/>
          <w:numId w:val="0"/>
        </w:numPr>
        <w:spacing w:before="0" w:after="6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40"/>
        </w:numPr>
        <w:spacing w:before="0" w:after="120" w:line="288" w:lineRule="auto"/>
        <w:ind w:left="72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Unless otherwise indicated, the option exercise price represents the closing price of our common stock on the date of grant</w:t>
      </w:r>
      <w:r>
        <w:rPr>
          <w:rFonts w:ascii="Times New Roman" w:eastAsia="Times New Roman" w:hAnsi="Times New Roman" w:cs="Times New Roman"/>
          <w:sz w:val="18"/>
        </w:rPr>
        <w:t xml:space="preserve"> or</w:t>
      </w:r>
      <w:r>
        <w:rPr>
          <w:rFonts w:ascii="Times New Roman" w:eastAsia="Times New Roman" w:hAnsi="Times New Roman" w:cs="Times New Roman"/>
          <w:sz w:val="18"/>
        </w:rPr>
        <w:t xml:space="preserve"> t</w:t>
      </w:r>
      <w:r>
        <w:rPr>
          <w:rFonts w:ascii="Times New Roman" w:eastAsia="Times New Roman" w:hAnsi="Times New Roman" w:cs="Times New Roman"/>
          <w:sz w:val="18"/>
        </w:rPr>
        <w:t xml:space="preserve">he </w:t>
      </w:r>
      <w:r>
        <w:rPr>
          <w:rFonts w:ascii="Times New Roman" w:eastAsia="Times New Roman" w:hAnsi="Times New Roman" w:cs="Times New Roman"/>
          <w:sz w:val="18"/>
        </w:rPr>
        <w:t>closing price of our com</w:t>
      </w:r>
      <w:r>
        <w:rPr>
          <w:rFonts w:ascii="Times New Roman" w:eastAsia="Times New Roman" w:hAnsi="Times New Roman" w:cs="Times New Roman"/>
          <w:sz w:val="18"/>
        </w:rPr>
        <w:t>mon stock on the last trading d</w:t>
      </w:r>
      <w:r>
        <w:rPr>
          <w:rFonts w:ascii="Times New Roman" w:eastAsia="Times New Roman" w:hAnsi="Times New Roman" w:cs="Times New Roman"/>
          <w:sz w:val="18"/>
        </w:rPr>
        <w:t>ay pr</w:t>
      </w:r>
      <w:r>
        <w:rPr>
          <w:rFonts w:ascii="Times New Roman" w:eastAsia="Times New Roman" w:hAnsi="Times New Roman" w:cs="Times New Roman"/>
          <w:sz w:val="18"/>
        </w:rPr>
        <w:t>ior to</w:t>
      </w:r>
      <w:r>
        <w:rPr>
          <w:rFonts w:ascii="Times New Roman" w:eastAsia="Times New Roman" w:hAnsi="Times New Roman" w:cs="Times New Roman"/>
          <w:sz w:val="18"/>
        </w:rPr>
        <w:t xml:space="preserve"> the grant date if the grant date falls on a non-trading day</w:t>
      </w:r>
      <w:r>
        <w:rPr>
          <w:rFonts w:ascii="Times New Roman" w:eastAsia="Times New Roman" w:hAnsi="Times New Roman" w:cs="Times New Roman"/>
          <w:sz w:val="18"/>
        </w:rPr>
        <w:t>. Each of these grants has a ten-year term, indicating that the grant date was 10 years prior to the indicated Option Expiration Date.</w:t>
      </w:r>
    </w:p>
    <w:p>
      <w:pPr>
        <w:keepNext w:val="0"/>
        <w:keepLines w:val="0"/>
        <w:pageBreakBefore w:val="0"/>
        <w:widowControl/>
        <w:numPr>
          <w:ilvl w:val="0"/>
          <w:numId w:val="40"/>
        </w:numPr>
        <w:spacing w:before="0" w:after="120" w:line="288" w:lineRule="auto"/>
        <w:ind w:left="72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 xml:space="preserve">Represents the unvested portion of annual or quarterly bonus awards </w:t>
      </w:r>
      <w:r>
        <w:rPr>
          <w:rFonts w:ascii="Times New Roman" w:eastAsia="Times New Roman" w:hAnsi="Times New Roman" w:cs="Times New Roman"/>
          <w:sz w:val="18"/>
        </w:rPr>
        <w:t>granted in accordance with the officer</w:t>
      </w:r>
      <w:r>
        <w:rPr>
          <w:rFonts w:ascii="Times New Roman" w:eastAsia="Times New Roman" w:hAnsi="Times New Roman" w:cs="Times New Roman"/>
          <w:sz w:val="18"/>
        </w:rPr>
        <w:t>’</w:t>
      </w:r>
      <w:r>
        <w:rPr>
          <w:rFonts w:ascii="Times New Roman" w:eastAsia="Times New Roman" w:hAnsi="Times New Roman" w:cs="Times New Roman"/>
          <w:sz w:val="18"/>
        </w:rPr>
        <w:t xml:space="preserve">s employment agreement </w:t>
      </w:r>
      <w:r>
        <w:rPr>
          <w:rFonts w:ascii="Times New Roman" w:eastAsia="Times New Roman" w:hAnsi="Times New Roman" w:cs="Times New Roman"/>
          <w:sz w:val="18"/>
        </w:rPr>
        <w:t xml:space="preserve">based on </w:t>
      </w:r>
      <w:r>
        <w:rPr>
          <w:rFonts w:ascii="Times New Roman" w:eastAsia="Times New Roman" w:hAnsi="Times New Roman" w:cs="Times New Roman"/>
          <w:sz w:val="18"/>
        </w:rPr>
        <w:t>achievement of certain k</w:t>
      </w:r>
      <w:r>
        <w:rPr>
          <w:rFonts w:ascii="Times New Roman" w:eastAsia="Times New Roman" w:hAnsi="Times New Roman" w:cs="Times New Roman"/>
          <w:sz w:val="18"/>
        </w:rPr>
        <w:t xml:space="preserve">ey </w:t>
      </w:r>
      <w:r>
        <w:rPr>
          <w:rFonts w:ascii="Times New Roman" w:eastAsia="Times New Roman" w:hAnsi="Times New Roman" w:cs="Times New Roman"/>
          <w:sz w:val="18"/>
        </w:rPr>
        <w:t>p</w:t>
      </w:r>
      <w:r>
        <w:rPr>
          <w:rFonts w:ascii="Times New Roman" w:eastAsia="Times New Roman" w:hAnsi="Times New Roman" w:cs="Times New Roman"/>
          <w:sz w:val="18"/>
        </w:rPr>
        <w:t xml:space="preserve">erformance </w:t>
      </w:r>
      <w:r>
        <w:rPr>
          <w:rFonts w:ascii="Times New Roman" w:eastAsia="Times New Roman" w:hAnsi="Times New Roman" w:cs="Times New Roman"/>
          <w:sz w:val="18"/>
        </w:rPr>
        <w:t>i</w:t>
      </w:r>
      <w:r>
        <w:rPr>
          <w:rFonts w:ascii="Times New Roman" w:eastAsia="Times New Roman" w:hAnsi="Times New Roman" w:cs="Times New Roman"/>
          <w:sz w:val="18"/>
        </w:rPr>
        <w:t>ndicators</w:t>
      </w:r>
      <w:r>
        <w:rPr>
          <w:rFonts w:ascii="Times New Roman" w:eastAsia="Times New Roman" w:hAnsi="Times New Roman" w:cs="Times New Roman"/>
          <w:sz w:val="18"/>
        </w:rPr>
        <w:t xml:space="preserve"> </w:t>
      </w:r>
      <w:r>
        <w:rPr>
          <w:rFonts w:ascii="Times New Roman" w:eastAsia="Times New Roman" w:hAnsi="Times New Roman" w:cs="Times New Roman"/>
          <w:sz w:val="18"/>
        </w:rPr>
        <w:t>set at t</w:t>
      </w:r>
      <w:r>
        <w:rPr>
          <w:rFonts w:ascii="Times New Roman" w:eastAsia="Times New Roman" w:hAnsi="Times New Roman" w:cs="Times New Roman"/>
          <w:sz w:val="18"/>
        </w:rPr>
        <w:t>he be</w:t>
      </w:r>
      <w:r>
        <w:rPr>
          <w:rFonts w:ascii="Times New Roman" w:eastAsia="Times New Roman" w:hAnsi="Times New Roman" w:cs="Times New Roman"/>
          <w:sz w:val="18"/>
        </w:rPr>
        <w:t>ginning of each year</w:t>
      </w:r>
      <w:r>
        <w:rPr>
          <w:rFonts w:ascii="Times New Roman" w:eastAsia="Times New Roman" w:hAnsi="Times New Roman" w:cs="Times New Roman"/>
          <w:sz w:val="18"/>
        </w:rPr>
        <w:t xml:space="preserve">, vesting in equal monthly installments over four years subsequent to the grant date. </w:t>
      </w:r>
    </w:p>
    <w:p>
      <w:pPr>
        <w:keepNext w:val="0"/>
        <w:keepLines w:val="0"/>
        <w:pageBreakBefore w:val="0"/>
        <w:widowControl/>
        <w:numPr>
          <w:ilvl w:val="0"/>
          <w:numId w:val="40"/>
        </w:numPr>
        <w:spacing w:before="0" w:after="120" w:line="288" w:lineRule="auto"/>
        <w:ind w:left="72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 xml:space="preserve">Represents the unvested portion of annual stock options granted pursuant to an employment agreement and vesting in equal monthly installments over four years subsequent to the grant date. </w:t>
      </w:r>
    </w:p>
    <w:p>
      <w:pPr>
        <w:keepNext w:val="0"/>
        <w:keepLines w:val="0"/>
        <w:pageBreakBefore w:val="0"/>
        <w:widowControl/>
        <w:numPr>
          <w:ilvl w:val="0"/>
          <w:numId w:val="40"/>
        </w:numPr>
        <w:spacing w:before="0" w:after="120" w:line="288" w:lineRule="auto"/>
        <w:ind w:left="72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 xml:space="preserve">As a result of quarterly and annual bonus awards </w:t>
      </w:r>
      <w:r>
        <w:rPr>
          <w:rFonts w:ascii="Times New Roman" w:eastAsia="Times New Roman" w:hAnsi="Times New Roman" w:cs="Times New Roman"/>
          <w:sz w:val="18"/>
        </w:rPr>
        <w:t>granted in accordance with the officer’s employment agreement based on achievement of certain key performance indicators set at the beginning of each year</w:t>
      </w:r>
      <w:r>
        <w:rPr>
          <w:rFonts w:ascii="Times New Roman" w:eastAsia="Times New Roman" w:hAnsi="Times New Roman" w:cs="Times New Roman"/>
          <w:sz w:val="18"/>
        </w:rPr>
        <w:t xml:space="preserve">, Mr. Murphy received incentive stock options on March 31, 2017 and May 12, 2017, totaling 26,136 shares. These options were subject to the approval of an increase in shares in our Equity Incentive Plan, which was approved on June 21, 2017. These options vested as to 1,139 shares on June 30, 2017. The remainder of the incentive stock options granted on March 31, 2017 vest over 45 equal monthly installments of approximately 297 shares thereafter, and the remainder of the incentive stock options granted on May 12, 2017 vest over 27 equal monthly installments of approximately 248 shares thereafter. </w:t>
      </w:r>
    </w:p>
    <w:p>
      <w:pPr>
        <w:keepNext w:val="0"/>
        <w:keepLines w:val="0"/>
        <w:pageBreakBefore w:val="0"/>
        <w:widowControl/>
        <w:numPr>
          <w:ilvl w:val="0"/>
          <w:numId w:val="40"/>
        </w:numPr>
        <w:spacing w:before="0" w:after="120" w:line="288" w:lineRule="auto"/>
        <w:ind w:left="72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 xml:space="preserve">Represents the unvested portion of annual or quarterly bonus awards </w:t>
      </w:r>
      <w:r>
        <w:rPr>
          <w:rFonts w:ascii="Times New Roman" w:eastAsia="Times New Roman" w:hAnsi="Times New Roman" w:cs="Times New Roman"/>
          <w:sz w:val="18"/>
        </w:rPr>
        <w:t>granted in accordance with the officer’s employment agreement based on achievement of certain key performance indicators set at the beginning of each year</w:t>
      </w:r>
      <w:r>
        <w:rPr>
          <w:rFonts w:ascii="Times New Roman" w:eastAsia="Times New Roman" w:hAnsi="Times New Roman" w:cs="Times New Roman"/>
          <w:sz w:val="18"/>
        </w:rPr>
        <w:t xml:space="preserve">, vesting in equal monthly installments over three years subsequent to the grant date. </w:t>
      </w:r>
    </w:p>
    <w:p>
      <w:pPr>
        <w:keepNext w:val="0"/>
        <w:keepLines w:val="0"/>
        <w:pageBreakBefore w:val="0"/>
        <w:widowControl/>
        <w:numPr>
          <w:ilvl w:val="0"/>
          <w:numId w:val="0"/>
        </w:numPr>
        <w:spacing w:before="0" w:after="120" w:line="288" w:lineRule="auto"/>
        <w:ind w:left="0" w:right="0" w:firstLine="0"/>
        <w:jc w:val="left"/>
        <w:outlineLvl w:val="9"/>
        <w:rPr>
          <w:rFonts w:ascii="Times New Roman" w:eastAsia="Times New Roman" w:hAnsi="Times New Roman" w:cs="Times New Roman"/>
          <w:sz w:val="18"/>
        </w:rPr>
      </w:pPr>
    </w:p>
    <w:p>
      <w:pPr>
        <w:keepNext w:val="0"/>
        <w:keepLines w:val="0"/>
        <w:pageBreakBefore w:val="0"/>
        <w:widowControl/>
        <w:numPr>
          <w:ilvl w:val="0"/>
          <w:numId w:val="0"/>
        </w:numPr>
        <w:spacing w:before="0" w:after="120" w:line="288" w:lineRule="auto"/>
        <w:ind w:left="0" w:right="0" w:firstLine="720"/>
        <w:jc w:val="left"/>
        <w:outlineLvl w:val="9"/>
        <w:rPr>
          <w:rFonts w:ascii="Times New Roman" w:eastAsia="Times New Roman" w:hAnsi="Times New Roman" w:cs="Times New Roman"/>
          <w:sz w:val="18"/>
        </w:rPr>
      </w:pPr>
      <w:r>
        <w:rPr>
          <w:rFonts w:ascii="Times New Roman" w:eastAsia="Times New Roman" w:hAnsi="Times New Roman" w:cs="Times New Roman"/>
          <w:sz w:val="20"/>
        </w:rPr>
        <w:t xml:space="preserve">Listed below is information with respect to unvested shares of restricted stock or restricted stock units held by each Named Executive Officer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pursuant to our equity incentive plans:</w:t>
      </w:r>
    </w:p>
    <w:tbl>
      <w:tblPr>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50"/>
        <w:gridCol w:w="345"/>
        <w:gridCol w:w="2795"/>
        <w:gridCol w:w="100"/>
        <w:gridCol w:w="75"/>
        <w:gridCol w:w="160"/>
        <w:gridCol w:w="2635"/>
        <w:gridCol w:w="100"/>
      </w:tblGrid>
      <w:tr>
        <w:tblPrEx>
          <w:tblW w:w="1046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05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5865" w:type="dxa"/>
            <w:gridSpan w:val="6"/>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20"/>
              </w:rPr>
              <w:t>Stock Awards</w:t>
            </w:r>
          </w:p>
        </w:tc>
      </w:tr>
      <w:tr>
        <w:tblPrEx>
          <w:tblW w:w="10465" w:type="dxa"/>
          <w:jc w:val="left"/>
          <w:tblInd w:w="0" w:type="dxa"/>
          <w:tblCellMar>
            <w:left w:w="108" w:type="dxa"/>
            <w:right w:w="108" w:type="dxa"/>
          </w:tblCellMar>
        </w:tblPrEx>
        <w:trPr>
          <w:cantSplit/>
          <w:trHeight w:hRule="exact" w:val="825"/>
          <w:jc w:val="left"/>
        </w:trPr>
        <w:tc>
          <w:tcPr>
            <w:tcW w:w="4050"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18"/>
              </w:rPr>
              <w:t>Name</w:t>
            </w:r>
          </w:p>
        </w:tc>
        <w:tc>
          <w:tcPr>
            <w:tcW w:w="3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9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b/>
                <w:color w:val="000000"/>
                <w:sz w:val="18"/>
              </w:rPr>
              <w:t>Equity Incentive Plan Awards: Number of Unearned Shares, Units or Other Rights That Have Not Vested</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28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b/>
                <w:color w:val="000000"/>
                <w:sz w:val="18"/>
              </w:rPr>
              <w:t>Equity Incentive Plan Awards: Market Value or Payout Value of Unearned Shares, Units or Other Rights That Have Not Vested</w:t>
            </w:r>
          </w:p>
        </w:tc>
      </w:tr>
      <w:tr>
        <w:tblPrEx>
          <w:tblW w:w="10465" w:type="dxa"/>
          <w:jc w:val="left"/>
          <w:tblInd w:w="0" w:type="dxa"/>
          <w:tblCellMar>
            <w:left w:w="108" w:type="dxa"/>
            <w:right w:w="108" w:type="dxa"/>
          </w:tblCellMar>
        </w:tblPrEx>
        <w:trPr>
          <w:cantSplit/>
          <w:trHeight w:hRule="exact" w:val="300"/>
          <w:jc w:val="left"/>
        </w:trPr>
        <w:tc>
          <w:tcPr>
            <w:tcW w:w="405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Edward H. (Ted) Murphy</w:t>
            </w:r>
          </w:p>
        </w:tc>
        <w:tc>
          <w:tcPr>
            <w:tcW w:w="34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w:t>
            </w:r>
          </w:p>
        </w:tc>
        <w:tc>
          <w:tcPr>
            <w:tcW w:w="27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26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854 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0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i/>
                <w:color w:val="000000"/>
                <w:sz w:val="20"/>
              </w:rPr>
              <w:t>Chief Executive Officer</w:t>
            </w:r>
          </w:p>
        </w:tc>
        <w:tc>
          <w:tcPr>
            <w:tcW w:w="34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w:t>
            </w:r>
          </w:p>
        </w:tc>
        <w:tc>
          <w:tcPr>
            <w:tcW w:w="27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1,729 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2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3,147 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0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34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(1)</w:t>
            </w:r>
          </w:p>
        </w:tc>
        <w:tc>
          <w:tcPr>
            <w:tcW w:w="27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7,209 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2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13,120 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0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34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(2)</w:t>
            </w:r>
          </w:p>
        </w:tc>
        <w:tc>
          <w:tcPr>
            <w:tcW w:w="27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58,327 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2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106,155 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0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34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(2)</w:t>
            </w:r>
          </w:p>
        </w:tc>
        <w:tc>
          <w:tcPr>
            <w:tcW w:w="27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166,827 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2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303,625 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05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34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(2)</w:t>
            </w:r>
          </w:p>
        </w:tc>
        <w:tc>
          <w:tcPr>
            <w:tcW w:w="27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49,140 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2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89,435 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05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34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(2)</w:t>
            </w:r>
          </w:p>
        </w:tc>
        <w:tc>
          <w:tcPr>
            <w:tcW w:w="27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11,592 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2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21,097 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05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34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(2)</w:t>
            </w:r>
          </w:p>
        </w:tc>
        <w:tc>
          <w:tcPr>
            <w:tcW w:w="27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13,826 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2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25,163 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05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34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(2)</w:t>
            </w:r>
          </w:p>
        </w:tc>
        <w:tc>
          <w:tcPr>
            <w:tcW w:w="27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25,228 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2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45,915 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0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34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right="0"/>
              <w:jc w:val="center"/>
            </w:pPr>
          </w:p>
        </w:tc>
        <w:tc>
          <w:tcPr>
            <w:tcW w:w="2895" w:type="dxa"/>
            <w:gridSpan w:val="2"/>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895"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r>
      <w:tr>
        <w:tblPrEx>
          <w:tblW w:w="10465" w:type="dxa"/>
          <w:jc w:val="left"/>
          <w:tblInd w:w="0" w:type="dxa"/>
          <w:tblCellMar>
            <w:left w:w="108" w:type="dxa"/>
            <w:right w:w="108" w:type="dxa"/>
          </w:tblCellMar>
        </w:tblPrEx>
        <w:trPr>
          <w:cantSplit/>
          <w:trHeight w:hRule="exact" w:val="300"/>
          <w:jc w:val="left"/>
        </w:trPr>
        <w:tc>
          <w:tcPr>
            <w:tcW w:w="40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Ryan S. Schram</w:t>
            </w:r>
          </w:p>
        </w:tc>
        <w:tc>
          <w:tcPr>
            <w:tcW w:w="34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w:t>
            </w:r>
          </w:p>
        </w:tc>
        <w:tc>
          <w:tcPr>
            <w:tcW w:w="27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2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0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i/>
                <w:color w:val="000000"/>
                <w:sz w:val="20"/>
              </w:rPr>
              <w:t>Chief Operating Officer</w:t>
            </w:r>
          </w:p>
        </w:tc>
        <w:tc>
          <w:tcPr>
            <w:tcW w:w="34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w:t>
            </w:r>
          </w:p>
        </w:tc>
        <w:tc>
          <w:tcPr>
            <w:tcW w:w="27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2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0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34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w:t>
            </w:r>
          </w:p>
        </w:tc>
        <w:tc>
          <w:tcPr>
            <w:tcW w:w="27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1,290 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2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2,348 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0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p>
        </w:tc>
        <w:tc>
          <w:tcPr>
            <w:tcW w:w="34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(3)</w:t>
            </w:r>
          </w:p>
        </w:tc>
        <w:tc>
          <w:tcPr>
            <w:tcW w:w="27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2,571 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2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4,679 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05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34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(4)</w:t>
            </w:r>
          </w:p>
        </w:tc>
        <w:tc>
          <w:tcPr>
            <w:tcW w:w="27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63,756 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2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116,036 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05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34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(4)</w:t>
            </w:r>
          </w:p>
        </w:tc>
        <w:tc>
          <w:tcPr>
            <w:tcW w:w="27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2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182,000 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05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34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(4)</w:t>
            </w:r>
          </w:p>
        </w:tc>
        <w:tc>
          <w:tcPr>
            <w:tcW w:w="27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25,389 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2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46,208 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05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34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(4)</w:t>
            </w:r>
          </w:p>
        </w:tc>
        <w:tc>
          <w:tcPr>
            <w:tcW w:w="27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2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5,096 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05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34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(4)</w:t>
            </w:r>
          </w:p>
        </w:tc>
        <w:tc>
          <w:tcPr>
            <w:tcW w:w="27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2,451 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263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4,461 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05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34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18"/>
              </w:rPr>
              <w:t>(4)</w:t>
            </w:r>
          </w:p>
        </w:tc>
        <w:tc>
          <w:tcPr>
            <w:tcW w:w="27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4,278 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2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7,786 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285"/>
          <w:jc w:val="left"/>
        </w:trPr>
        <w:tc>
          <w:tcPr>
            <w:tcW w:w="405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40" w:lineRule="auto"/>
              <w:ind w:left="0"/>
              <w:jc w:val="lef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895" w:type="dxa"/>
            <w:gridSpan w:val="2"/>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289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left="0"/>
              <w:jc w:val="left"/>
            </w:pPr>
          </w:p>
        </w:tc>
      </w:tr>
      <w:tr>
        <w:tblPrEx>
          <w:tblW w:w="10465" w:type="dxa"/>
          <w:jc w:val="left"/>
          <w:tblInd w:w="0" w:type="dxa"/>
          <w:tblCellMar>
            <w:left w:w="108" w:type="dxa"/>
            <w:right w:w="108" w:type="dxa"/>
          </w:tblCellMar>
        </w:tblPrEx>
        <w:trPr>
          <w:cantSplit/>
          <w:trHeight w:hRule="exact" w:val="300"/>
          <w:jc w:val="left"/>
        </w:trPr>
        <w:tc>
          <w:tcPr>
            <w:tcW w:w="405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LeAnn C. Hitchcock</w:t>
            </w:r>
          </w:p>
        </w:tc>
        <w:tc>
          <w:tcPr>
            <w:tcW w:w="3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27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26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65" w:type="dxa"/>
          <w:jc w:val="left"/>
          <w:tblInd w:w="0" w:type="dxa"/>
          <w:tblCellMar>
            <w:left w:w="108" w:type="dxa"/>
            <w:right w:w="108" w:type="dxa"/>
          </w:tblCellMar>
        </w:tblPrEx>
        <w:trPr>
          <w:cantSplit/>
          <w:trHeight w:hRule="exact" w:val="300"/>
          <w:jc w:val="left"/>
        </w:trPr>
        <w:tc>
          <w:tcPr>
            <w:tcW w:w="405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i/>
                <w:color w:val="000000"/>
                <w:sz w:val="20"/>
              </w:rPr>
              <w:t>Interim Chief Financial Officer</w:t>
            </w:r>
          </w:p>
        </w:tc>
        <w:tc>
          <w:tcPr>
            <w:tcW w:w="34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2895" w:type="dxa"/>
            <w:gridSpan w:val="2"/>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2895" w:type="dxa"/>
            <w:gridSpan w:val="3"/>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p>
        </w:tc>
      </w:tr>
    </w:tb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8"/>
          <w:vertAlign w:val="superscript"/>
        </w:rPr>
      </w:pPr>
    </w:p>
    <w:p>
      <w:pPr>
        <w:keepNext w:val="0"/>
        <w:keepLines w:val="0"/>
        <w:pageBreakBefore w:val="0"/>
        <w:widowControl/>
        <w:numPr>
          <w:ilvl w:val="0"/>
          <w:numId w:val="62"/>
        </w:numPr>
        <w:spacing w:before="0" w:after="120" w:line="288" w:lineRule="auto"/>
        <w:ind w:left="72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20"/>
        </w:rPr>
        <w:t xml:space="preserve">We issued 2,812 shares and 7,543 shares of restricted stock to Mr. Murphy for </w:t>
      </w:r>
      <w:r>
        <w:rPr>
          <w:rFonts w:ascii="Times New Roman" w:eastAsia="Times New Roman" w:hAnsi="Times New Roman" w:cs="Times New Roman"/>
          <w:sz w:val="20"/>
        </w:rPr>
        <w:t xml:space="preserve">his second and third quarter 2017 performance bonus on August 14, 2017 and November 9, 2017, respectively. The stock was initially valued at $36,411 and vests in equal monthly installments over 48 months </w:t>
      </w:r>
      <w:r>
        <w:rPr>
          <w:rFonts w:ascii="Times New Roman" w:eastAsia="Times New Roman" w:hAnsi="Times New Roman" w:cs="Times New Roman"/>
          <w:sz w:val="20"/>
        </w:rPr>
        <w:t xml:space="preserve">after </w:t>
      </w:r>
      <w:r>
        <w:rPr>
          <w:rFonts w:ascii="Times New Roman" w:eastAsia="Times New Roman" w:hAnsi="Times New Roman" w:cs="Times New Roman"/>
          <w:sz w:val="20"/>
        </w:rPr>
        <w:t xml:space="preserve">issuance. On May 3, 2018, we issued 21,628 shares of restricted stock </w:t>
      </w:r>
      <w:r>
        <w:rPr>
          <w:rFonts w:ascii="Times New Roman" w:eastAsia="Times New Roman" w:hAnsi="Times New Roman" w:cs="Times New Roman"/>
          <w:sz w:val="20"/>
        </w:rPr>
        <w:t xml:space="preserve">for </w:t>
      </w:r>
      <w:r>
        <w:rPr>
          <w:rFonts w:ascii="Times New Roman" w:eastAsia="Times New Roman" w:hAnsi="Times New Roman" w:cs="Times New Roman"/>
          <w:sz w:val="20"/>
        </w:rPr>
        <w:t xml:space="preserve">Mr. Murphy’s 2017 annual performance bonus. </w:t>
      </w:r>
      <w:r>
        <w:rPr>
          <w:rFonts w:ascii="Times New Roman" w:eastAsia="Times New Roman" w:hAnsi="Times New Roman" w:cs="Times New Roman"/>
          <w:sz w:val="20"/>
        </w:rPr>
        <w:t>The stock was initially valued at $</w:t>
      </w:r>
      <w:r>
        <w:rPr>
          <w:rFonts w:ascii="Times New Roman" w:eastAsia="Times New Roman" w:hAnsi="Times New Roman" w:cs="Times New Roman"/>
          <w:sz w:val="20"/>
        </w:rPr>
        <w:t>46,715</w:t>
      </w:r>
      <w:r>
        <w:rPr>
          <w:rFonts w:ascii="Times New Roman" w:eastAsia="Times New Roman" w:hAnsi="Times New Roman" w:cs="Times New Roman"/>
          <w:sz w:val="20"/>
        </w:rPr>
        <w:t xml:space="preserve"> and vests in equal monthly installments over 48 months </w:t>
      </w:r>
      <w:r>
        <w:rPr>
          <w:rFonts w:ascii="Times New Roman" w:eastAsia="Times New Roman" w:hAnsi="Times New Roman" w:cs="Times New Roman"/>
          <w:sz w:val="20"/>
        </w:rPr>
        <w:t xml:space="preserve">after </w:t>
      </w:r>
      <w:r>
        <w:rPr>
          <w:rFonts w:ascii="Times New Roman" w:eastAsia="Times New Roman" w:hAnsi="Times New Roman" w:cs="Times New Roman"/>
          <w:sz w:val="20"/>
        </w:rPr>
        <w:t xml:space="preserve">issuance. </w:t>
      </w:r>
      <w:r>
        <w:rPr>
          <w:rFonts w:ascii="Times New Roman" w:eastAsia="Times New Roman" w:hAnsi="Times New Roman" w:cs="Times New Roman"/>
          <w:sz w:val="20"/>
        </w:rPr>
        <w:t>As of December 31, 20</w:t>
      </w:r>
      <w:r>
        <w:rPr>
          <w:rFonts w:ascii="Times New Roman" w:eastAsia="Times New Roman" w:hAnsi="Times New Roman" w:cs="Times New Roman"/>
          <w:sz w:val="20"/>
        </w:rPr>
        <w:t>20</w:t>
      </w:r>
      <w:r>
        <w:rPr>
          <w:rFonts w:ascii="Times New Roman" w:eastAsia="Times New Roman" w:hAnsi="Times New Roman" w:cs="Times New Roman"/>
          <w:sz w:val="20"/>
        </w:rPr>
        <w:t xml:space="preserve">, </w:t>
      </w:r>
      <w:r>
        <w:rPr>
          <w:rFonts w:ascii="Times New Roman" w:eastAsia="Times New Roman" w:hAnsi="Times New Roman" w:cs="Times New Roman"/>
          <w:sz w:val="20"/>
        </w:rPr>
        <w:t>9,407</w:t>
      </w:r>
      <w:r>
        <w:rPr>
          <w:rFonts w:ascii="Times New Roman" w:eastAsia="Times New Roman" w:hAnsi="Times New Roman" w:cs="Times New Roman"/>
          <w:sz w:val="20"/>
        </w:rPr>
        <w:t xml:space="preserve"> issued shares of restricted stock are unvested with a total market value of $</w:t>
      </w:r>
      <w:r>
        <w:rPr>
          <w:rFonts w:ascii="Times New Roman" w:eastAsia="Times New Roman" w:hAnsi="Times New Roman" w:cs="Times New Roman"/>
          <w:sz w:val="20"/>
        </w:rPr>
        <w:t>17,121</w:t>
      </w:r>
      <w:r>
        <w:rPr>
          <w:rFonts w:ascii="Times New Roman" w:eastAsia="Times New Roman" w:hAnsi="Times New Roman" w:cs="Times New Roman"/>
          <w:sz w:val="20"/>
        </w:rPr>
        <w:t xml:space="preserve"> based on the closing stock price of $</w:t>
      </w:r>
      <w:r>
        <w:rPr>
          <w:rFonts w:ascii="Times New Roman" w:eastAsia="Times New Roman" w:hAnsi="Times New Roman" w:cs="Times New Roman"/>
          <w:sz w:val="20"/>
        </w:rPr>
        <w:t>1.82</w:t>
      </w:r>
      <w:r>
        <w:rPr>
          <w:rFonts w:ascii="Times New Roman" w:eastAsia="Times New Roman" w:hAnsi="Times New Roman" w:cs="Times New Roman"/>
          <w:sz w:val="20"/>
        </w:rPr>
        <w:t xml:space="preserve"> on December 31, 20</w:t>
      </w:r>
      <w:r>
        <w:rPr>
          <w:rFonts w:ascii="Times New Roman" w:eastAsia="Times New Roman" w:hAnsi="Times New Roman" w:cs="Times New Roman"/>
          <w:sz w:val="20"/>
        </w:rPr>
        <w:t>20</w:t>
      </w:r>
      <w:r>
        <w:rPr>
          <w:rFonts w:ascii="Times New Roman" w:eastAsia="Times New Roman" w:hAnsi="Times New Roman" w:cs="Times New Roman"/>
          <w:sz w:val="20"/>
        </w:rPr>
        <w:t>.</w:t>
      </w:r>
    </w:p>
    <w:p>
      <w:pPr>
        <w:keepNext w:val="0"/>
        <w:keepLines w:val="0"/>
        <w:pageBreakBefore w:val="0"/>
        <w:widowControl/>
        <w:numPr>
          <w:ilvl w:val="0"/>
          <w:numId w:val="62"/>
        </w:numPr>
        <w:spacing w:before="0" w:after="120" w:line="288" w:lineRule="auto"/>
        <w:ind w:left="720" w:right="0" w:hanging="360"/>
        <w:jc w:val="left"/>
        <w:outlineLvl w:val="9"/>
        <w:rPr>
          <w:rFonts w:ascii="Times New Roman" w:eastAsia="Times New Roman" w:hAnsi="Times New Roman" w:cs="Times New Roman"/>
          <w:sz w:val="20"/>
          <w:vertAlign w:val="superscript"/>
        </w:rPr>
      </w:pPr>
      <w:r>
        <w:rPr>
          <w:rFonts w:ascii="Times New Roman" w:eastAsia="Times New Roman" w:hAnsi="Times New Roman" w:cs="Times New Roman"/>
          <w:sz w:val="20"/>
        </w:rPr>
        <w:t xml:space="preserve">All </w:t>
      </w:r>
      <w:r>
        <w:rPr>
          <w:rFonts w:ascii="Times New Roman" w:eastAsia="Times New Roman" w:hAnsi="Times New Roman" w:cs="Times New Roman"/>
          <w:sz w:val="20"/>
        </w:rPr>
        <w:t>restricted stock units</w:t>
      </w:r>
      <w:r>
        <w:rPr>
          <w:rFonts w:ascii="Times New Roman" w:eastAsia="Times New Roman" w:hAnsi="Times New Roman" w:cs="Times New Roman"/>
          <w:sz w:val="20"/>
        </w:rPr>
        <w:t xml:space="preserve"> convert to an equal number common stock shares upon vesting</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On May 17, 2019, we issued 131,235 restricted stock units</w:t>
      </w:r>
      <w:r>
        <w:rPr>
          <w:rFonts w:ascii="Times New Roman" w:eastAsia="Times New Roman" w:hAnsi="Times New Roman" w:cs="Times New Roman"/>
          <w:sz w:val="20"/>
        </w:rPr>
        <w:t xml:space="preserve"> for </w:t>
      </w:r>
      <w:r>
        <w:rPr>
          <w:rFonts w:ascii="Times New Roman" w:eastAsia="Times New Roman" w:hAnsi="Times New Roman" w:cs="Times New Roman"/>
          <w:sz w:val="20"/>
        </w:rPr>
        <w:t xml:space="preserve">Mr. Murphy’s 2019 stock bonus award under his employment agreement. The stock was initially valued at $76,510 and vests in equal monthly installments over 36 months </w:t>
      </w:r>
      <w:r>
        <w:rPr>
          <w:rFonts w:ascii="Times New Roman" w:eastAsia="Times New Roman" w:hAnsi="Times New Roman" w:cs="Times New Roman"/>
          <w:sz w:val="20"/>
        </w:rPr>
        <w:t xml:space="preserve">after </w:t>
      </w:r>
      <w:r>
        <w:rPr>
          <w:rFonts w:ascii="Times New Roman" w:eastAsia="Times New Roman" w:hAnsi="Times New Roman" w:cs="Times New Roman"/>
          <w:sz w:val="20"/>
        </w:rPr>
        <w:t xml:space="preserve">issuance. On August 29, 2019, we issued 258,312 restricted stock units for </w:t>
      </w:r>
      <w:r>
        <w:rPr>
          <w:rFonts w:ascii="Times New Roman" w:eastAsia="Times New Roman" w:hAnsi="Times New Roman" w:cs="Times New Roman"/>
          <w:sz w:val="20"/>
        </w:rPr>
        <w:t xml:space="preserve">Mr. Murphy’s annual stock bonus award under his employment agreement. The stock was initially valued at $82,660 and vests in equal monthly installments over </w:t>
      </w:r>
      <w:r>
        <w:rPr>
          <w:rFonts w:ascii="Times New Roman" w:eastAsia="Times New Roman" w:hAnsi="Times New Roman" w:cs="Times New Roman"/>
          <w:sz w:val="20"/>
        </w:rPr>
        <w:t>48</w:t>
      </w:r>
      <w:r>
        <w:rPr>
          <w:rFonts w:ascii="Times New Roman" w:eastAsia="Times New Roman" w:hAnsi="Times New Roman" w:cs="Times New Roman"/>
          <w:sz w:val="20"/>
        </w:rPr>
        <w:t xml:space="preserve"> months </w:t>
      </w:r>
      <w:r>
        <w:rPr>
          <w:rFonts w:ascii="Times New Roman" w:eastAsia="Times New Roman" w:hAnsi="Times New Roman" w:cs="Times New Roman"/>
          <w:sz w:val="20"/>
        </w:rPr>
        <w:t xml:space="preserve">after </w:t>
      </w:r>
      <w:r>
        <w:rPr>
          <w:rFonts w:ascii="Times New Roman" w:eastAsia="Times New Roman" w:hAnsi="Times New Roman" w:cs="Times New Roman"/>
          <w:sz w:val="20"/>
        </w:rPr>
        <w:t xml:space="preserve">issuance. </w:t>
      </w:r>
      <w:r>
        <w:rPr>
          <w:rFonts w:ascii="Times New Roman" w:eastAsia="Times New Roman" w:hAnsi="Times New Roman" w:cs="Times New Roman"/>
          <w:sz w:val="20"/>
        </w:rPr>
        <w:t xml:space="preserve">On April </w:t>
      </w:r>
      <w:r>
        <w:rPr>
          <w:rFonts w:ascii="Times New Roman" w:eastAsia="Times New Roman" w:hAnsi="Times New Roman" w:cs="Times New Roman"/>
          <w:sz w:val="20"/>
        </w:rPr>
        <w:t>3</w:t>
      </w:r>
      <w:r>
        <w:rPr>
          <w:rFonts w:ascii="Times New Roman" w:eastAsia="Times New Roman" w:hAnsi="Times New Roman" w:cs="Times New Roman"/>
          <w:sz w:val="20"/>
        </w:rPr>
        <w:t xml:space="preserve">, 2020, May 31, 2020, August 31, 2020 and November 30, 2020, </w:t>
      </w:r>
      <w:r>
        <w:rPr>
          <w:rFonts w:ascii="Times New Roman" w:eastAsia="Times New Roman" w:hAnsi="Times New Roman" w:cs="Times New Roman"/>
          <w:sz w:val="20"/>
        </w:rPr>
        <w:t xml:space="preserve">we issued </w:t>
      </w:r>
      <w:r>
        <w:rPr>
          <w:rFonts w:ascii="Times New Roman" w:eastAsia="Times New Roman" w:hAnsi="Times New Roman" w:cs="Times New Roman"/>
          <w:sz w:val="20"/>
        </w:rPr>
        <w:t>65,531, 14918, 16</w:t>
      </w:r>
      <w:r>
        <w:rPr>
          <w:rFonts w:ascii="Times New Roman" w:eastAsia="Times New Roman" w:hAnsi="Times New Roman" w:cs="Times New Roman"/>
          <w:sz w:val="20"/>
        </w:rPr>
        <w:t>,</w:t>
      </w:r>
      <w:r>
        <w:rPr>
          <w:rFonts w:ascii="Times New Roman" w:eastAsia="Times New Roman" w:hAnsi="Times New Roman" w:cs="Times New Roman"/>
          <w:sz w:val="20"/>
        </w:rPr>
        <w:t>072 and 26,707</w:t>
      </w:r>
      <w:r>
        <w:rPr>
          <w:rFonts w:ascii="Times New Roman" w:eastAsia="Times New Roman" w:hAnsi="Times New Roman" w:cs="Times New Roman"/>
          <w:sz w:val="20"/>
        </w:rPr>
        <w:t xml:space="preserve"> restricted stock units</w:t>
      </w:r>
      <w:r>
        <w:rPr>
          <w:rFonts w:ascii="Times New Roman" w:eastAsia="Times New Roman" w:hAnsi="Times New Roman" w:cs="Times New Roman"/>
          <w:sz w:val="20"/>
        </w:rPr>
        <w:t>, respe</w:t>
      </w:r>
      <w:r>
        <w:rPr>
          <w:rFonts w:ascii="Times New Roman" w:eastAsia="Times New Roman" w:hAnsi="Times New Roman" w:cs="Times New Roman"/>
          <w:sz w:val="20"/>
        </w:rPr>
        <w:t>ctively,</w:t>
      </w:r>
      <w:r>
        <w:rPr>
          <w:rFonts w:ascii="Times New Roman" w:eastAsia="Times New Roman" w:hAnsi="Times New Roman" w:cs="Times New Roman"/>
          <w:sz w:val="20"/>
        </w:rPr>
        <w:t xml:space="preserve"> for </w:t>
      </w:r>
      <w:r>
        <w:rPr>
          <w:rFonts w:ascii="Times New Roman" w:eastAsia="Times New Roman" w:hAnsi="Times New Roman" w:cs="Times New Roman"/>
          <w:sz w:val="20"/>
        </w:rPr>
        <w:t xml:space="preserve">Mr. Murphy’s 2019 </w:t>
      </w:r>
      <w:r>
        <w:rPr>
          <w:rFonts w:ascii="Times New Roman" w:eastAsia="Times New Roman" w:hAnsi="Times New Roman" w:cs="Times New Roman"/>
          <w:sz w:val="20"/>
        </w:rPr>
        <w:t>ann</w:t>
      </w:r>
      <w:r>
        <w:rPr>
          <w:rFonts w:ascii="Times New Roman" w:eastAsia="Times New Roman" w:hAnsi="Times New Roman" w:cs="Times New Roman"/>
          <w:sz w:val="20"/>
        </w:rPr>
        <w:t xml:space="preserve">ual </w:t>
      </w:r>
      <w:r>
        <w:rPr>
          <w:rFonts w:ascii="Times New Roman" w:eastAsia="Times New Roman" w:hAnsi="Times New Roman" w:cs="Times New Roman"/>
          <w:sz w:val="20"/>
        </w:rPr>
        <w:t xml:space="preserve">stock bonus award </w:t>
      </w:r>
      <w:r>
        <w:rPr>
          <w:rFonts w:ascii="Times New Roman" w:eastAsia="Times New Roman" w:hAnsi="Times New Roman" w:cs="Times New Roman"/>
          <w:sz w:val="20"/>
        </w:rPr>
        <w:t xml:space="preserve">and his 2020 quarterly stock bonus awards </w:t>
      </w:r>
      <w:r>
        <w:rPr>
          <w:rFonts w:ascii="Times New Roman" w:eastAsia="Times New Roman" w:hAnsi="Times New Roman" w:cs="Times New Roman"/>
          <w:sz w:val="20"/>
        </w:rPr>
        <w:t>under his employment agreement</w:t>
      </w:r>
      <w:r>
        <w:rPr>
          <w:rFonts w:ascii="Times New Roman" w:eastAsia="Times New Roman" w:hAnsi="Times New Roman" w:cs="Times New Roman"/>
          <w:sz w:val="20"/>
        </w:rPr>
        <w:t xml:space="preserve">. </w:t>
      </w:r>
      <w:r>
        <w:rPr>
          <w:rFonts w:ascii="Times New Roman" w:eastAsia="Times New Roman" w:hAnsi="Times New Roman" w:cs="Times New Roman"/>
          <w:sz w:val="20"/>
        </w:rPr>
        <w:t>The stock was initially valued at $</w:t>
      </w:r>
      <w:r>
        <w:rPr>
          <w:rFonts w:ascii="Times New Roman" w:eastAsia="Times New Roman" w:hAnsi="Times New Roman" w:cs="Times New Roman"/>
          <w:sz w:val="20"/>
        </w:rPr>
        <w:t xml:space="preserve">10,138, </w:t>
      </w:r>
      <w:r>
        <w:rPr>
          <w:rFonts w:ascii="Times New Roman" w:eastAsia="Times New Roman" w:hAnsi="Times New Roman" w:cs="Times New Roman"/>
          <w:sz w:val="20"/>
        </w:rPr>
        <w:t>$</w:t>
      </w:r>
      <w:r>
        <w:rPr>
          <w:rFonts w:ascii="Times New Roman" w:eastAsia="Times New Roman" w:hAnsi="Times New Roman" w:cs="Times New Roman"/>
          <w:sz w:val="20"/>
        </w:rPr>
        <w:t>9,</w:t>
      </w:r>
      <w:r>
        <w:rPr>
          <w:rFonts w:ascii="Times New Roman" w:eastAsia="Times New Roman" w:hAnsi="Times New Roman" w:cs="Times New Roman"/>
          <w:sz w:val="20"/>
        </w:rPr>
        <w:t>09</w:t>
      </w:r>
      <w:r>
        <w:rPr>
          <w:rFonts w:ascii="Times New Roman" w:eastAsia="Times New Roman" w:hAnsi="Times New Roman" w:cs="Times New Roman"/>
          <w:sz w:val="20"/>
        </w:rPr>
        <w:t xml:space="preserve">7, </w:t>
      </w:r>
      <w:r>
        <w:rPr>
          <w:rFonts w:ascii="Times New Roman" w:eastAsia="Times New Roman" w:hAnsi="Times New Roman" w:cs="Times New Roman"/>
          <w:sz w:val="20"/>
        </w:rPr>
        <w:t>$</w:t>
      </w:r>
      <w:r>
        <w:rPr>
          <w:rFonts w:ascii="Times New Roman" w:eastAsia="Times New Roman" w:hAnsi="Times New Roman" w:cs="Times New Roman"/>
          <w:sz w:val="20"/>
        </w:rPr>
        <w:t>18,161 a</w:t>
      </w:r>
      <w:r>
        <w:rPr>
          <w:rFonts w:ascii="Times New Roman" w:eastAsia="Times New Roman" w:hAnsi="Times New Roman" w:cs="Times New Roman"/>
          <w:sz w:val="20"/>
        </w:rPr>
        <w:t>nd</w:t>
      </w:r>
      <w:r>
        <w:rPr>
          <w:rFonts w:ascii="Times New Roman" w:eastAsia="Times New Roman" w:hAnsi="Times New Roman" w:cs="Times New Roman"/>
          <w:sz w:val="20"/>
        </w:rPr>
        <w:t xml:space="preserve"> </w:t>
      </w:r>
      <w:r>
        <w:rPr>
          <w:rFonts w:ascii="Times New Roman" w:eastAsia="Times New Roman" w:hAnsi="Times New Roman" w:cs="Times New Roman"/>
          <w:sz w:val="20"/>
        </w:rPr>
        <w:t>$</w:t>
      </w:r>
      <w:r>
        <w:rPr>
          <w:rFonts w:ascii="Times New Roman" w:eastAsia="Times New Roman" w:hAnsi="Times New Roman" w:cs="Times New Roman"/>
          <w:sz w:val="20"/>
        </w:rPr>
        <w:t>24,394</w:t>
      </w:r>
      <w:r>
        <w:rPr>
          <w:rFonts w:ascii="Times New Roman" w:eastAsia="Times New Roman" w:hAnsi="Times New Roman" w:cs="Times New Roman"/>
          <w:sz w:val="20"/>
        </w:rPr>
        <w:t xml:space="preserve"> and vests in equal monthly installments over </w:t>
      </w:r>
      <w:r>
        <w:rPr>
          <w:rFonts w:ascii="Times New Roman" w:eastAsia="Times New Roman" w:hAnsi="Times New Roman" w:cs="Times New Roman"/>
          <w:sz w:val="20"/>
        </w:rPr>
        <w:t>36</w:t>
      </w:r>
      <w:r>
        <w:rPr>
          <w:rFonts w:ascii="Times New Roman" w:eastAsia="Times New Roman" w:hAnsi="Times New Roman" w:cs="Times New Roman"/>
          <w:sz w:val="20"/>
        </w:rPr>
        <w:t xml:space="preserve"> months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after </w:t>
      </w:r>
      <w:r>
        <w:rPr>
          <w:rFonts w:ascii="Times New Roman" w:eastAsia="Times New Roman" w:hAnsi="Times New Roman" w:cs="Times New Roman"/>
          <w:sz w:val="20"/>
        </w:rPr>
        <w:t xml:space="preserve">issuance. </w:t>
      </w:r>
      <w:r>
        <w:rPr>
          <w:rFonts w:ascii="Times New Roman" w:eastAsia="Times New Roman" w:hAnsi="Times New Roman" w:cs="Times New Roman"/>
          <w:sz w:val="20"/>
        </w:rPr>
        <w:t>As of December 31, 20</w:t>
      </w:r>
      <w:r>
        <w:rPr>
          <w:rFonts w:ascii="Times New Roman" w:eastAsia="Times New Roman" w:hAnsi="Times New Roman" w:cs="Times New Roman"/>
          <w:sz w:val="20"/>
        </w:rPr>
        <w:t>20</w:t>
      </w:r>
      <w:r>
        <w:rPr>
          <w:rFonts w:ascii="Times New Roman" w:eastAsia="Times New Roman" w:hAnsi="Times New Roman" w:cs="Times New Roman"/>
          <w:sz w:val="20"/>
        </w:rPr>
        <w:t xml:space="preserve">, </w:t>
      </w:r>
      <w:r>
        <w:rPr>
          <w:rFonts w:ascii="Times New Roman" w:eastAsia="Times New Roman" w:hAnsi="Times New Roman" w:cs="Times New Roman"/>
          <w:sz w:val="20"/>
        </w:rPr>
        <w:t>324,940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restricted stock </w:t>
      </w:r>
      <w:r>
        <w:rPr>
          <w:rFonts w:ascii="Times New Roman" w:eastAsia="Times New Roman" w:hAnsi="Times New Roman" w:cs="Times New Roman"/>
          <w:sz w:val="20"/>
        </w:rPr>
        <w:t xml:space="preserve">units </w:t>
      </w:r>
      <w:r>
        <w:rPr>
          <w:rFonts w:ascii="Times New Roman" w:eastAsia="Times New Roman" w:hAnsi="Times New Roman" w:cs="Times New Roman"/>
          <w:sz w:val="20"/>
        </w:rPr>
        <w:t>are unvested with a total market value of $</w:t>
      </w:r>
      <w:r>
        <w:rPr>
          <w:rFonts w:ascii="Times New Roman" w:eastAsia="Times New Roman" w:hAnsi="Times New Roman" w:cs="Times New Roman"/>
          <w:sz w:val="20"/>
        </w:rPr>
        <w:t>591,391</w:t>
      </w:r>
      <w:r>
        <w:rPr>
          <w:rFonts w:ascii="Times New Roman" w:eastAsia="Times New Roman" w:hAnsi="Times New Roman" w:cs="Times New Roman"/>
          <w:sz w:val="20"/>
        </w:rPr>
        <w:t xml:space="preserve"> based on the closing stock price of $</w:t>
      </w:r>
      <w:r>
        <w:rPr>
          <w:rFonts w:ascii="Times New Roman" w:eastAsia="Times New Roman" w:hAnsi="Times New Roman" w:cs="Times New Roman"/>
          <w:sz w:val="20"/>
        </w:rPr>
        <w:t>1.82</w:t>
      </w:r>
      <w:r>
        <w:rPr>
          <w:rFonts w:ascii="Times New Roman" w:eastAsia="Times New Roman" w:hAnsi="Times New Roman" w:cs="Times New Roman"/>
          <w:sz w:val="20"/>
        </w:rPr>
        <w:t xml:space="preserve"> on December 31, 20</w:t>
      </w:r>
      <w:r>
        <w:rPr>
          <w:rFonts w:ascii="Times New Roman" w:eastAsia="Times New Roman" w:hAnsi="Times New Roman" w:cs="Times New Roman"/>
          <w:sz w:val="20"/>
        </w:rPr>
        <w:t>20</w:t>
      </w:r>
      <w:r>
        <w:rPr>
          <w:rFonts w:ascii="Times New Roman" w:eastAsia="Times New Roman" w:hAnsi="Times New Roman" w:cs="Times New Roman"/>
          <w:sz w:val="20"/>
        </w:rPr>
        <w:t>.</w:t>
      </w:r>
    </w:p>
    <w:p>
      <w:pPr>
        <w:keepNext w:val="0"/>
        <w:keepLines w:val="0"/>
        <w:pageBreakBefore w:val="0"/>
        <w:widowControl/>
        <w:numPr>
          <w:ilvl w:val="0"/>
          <w:numId w:val="62"/>
        </w:numPr>
        <w:spacing w:before="0" w:after="120" w:line="288" w:lineRule="auto"/>
        <w:ind w:left="720" w:right="0" w:hanging="360"/>
        <w:jc w:val="left"/>
        <w:outlineLvl w:val="9"/>
        <w:rPr>
          <w:rFonts w:ascii="Times New Roman" w:eastAsia="Times New Roman" w:hAnsi="Times New Roman" w:cs="Times New Roman"/>
          <w:sz w:val="20"/>
          <w:vertAlign w:val="superscript"/>
        </w:rPr>
      </w:pPr>
      <w:r>
        <w:rPr>
          <w:rFonts w:ascii="Times New Roman" w:eastAsia="Times New Roman" w:hAnsi="Times New Roman" w:cs="Times New Roman"/>
          <w:sz w:val="20"/>
        </w:rPr>
        <w:t xml:space="preserve">We issued 662 shares and 1,257 shares of restricted stock on August 14, 2017 and November 9, 2017, respectively, to Mr. Schram for </w:t>
      </w:r>
      <w:r>
        <w:rPr>
          <w:rFonts w:ascii="Times New Roman" w:eastAsia="Times New Roman" w:hAnsi="Times New Roman" w:cs="Times New Roman"/>
          <w:sz w:val="20"/>
        </w:rPr>
        <w:t xml:space="preserve">his second and third quarter 2017 performance bonus. The stock was initially valued at $6,446 and vests in equal monthly installments over 48 months </w:t>
      </w:r>
      <w:r>
        <w:rPr>
          <w:rFonts w:ascii="Times New Roman" w:eastAsia="Times New Roman" w:hAnsi="Times New Roman" w:cs="Times New Roman"/>
          <w:sz w:val="20"/>
        </w:rPr>
        <w:t xml:space="preserve">after </w:t>
      </w:r>
      <w:r>
        <w:rPr>
          <w:rFonts w:ascii="Times New Roman" w:eastAsia="Times New Roman" w:hAnsi="Times New Roman" w:cs="Times New Roman"/>
          <w:sz w:val="20"/>
        </w:rPr>
        <w:t xml:space="preserve">issuance. On May 3, 2018, we issued 3,870 shares of restricted stock for </w:t>
      </w:r>
      <w:r>
        <w:rPr>
          <w:rFonts w:ascii="Times New Roman" w:eastAsia="Times New Roman" w:hAnsi="Times New Roman" w:cs="Times New Roman"/>
          <w:sz w:val="20"/>
        </w:rPr>
        <w:t xml:space="preserve">Mr. Schram’s 2017 annual performance bonus. The stock was initially valued at $8,360 and vests in equal monthly installments over 48 months </w:t>
      </w:r>
      <w:r>
        <w:rPr>
          <w:rFonts w:ascii="Times New Roman" w:eastAsia="Times New Roman" w:hAnsi="Times New Roman" w:cs="Times New Roman"/>
          <w:sz w:val="20"/>
        </w:rPr>
        <w:t xml:space="preserve">after </w:t>
      </w:r>
      <w:r>
        <w:rPr>
          <w:rFonts w:ascii="Times New Roman" w:eastAsia="Times New Roman" w:hAnsi="Times New Roman" w:cs="Times New Roman"/>
          <w:sz w:val="20"/>
        </w:rPr>
        <w:t>issuance. On March 28, 2019, we issued 4,570 shares of restricted stock for</w:t>
      </w:r>
      <w:r>
        <w:rPr>
          <w:rFonts w:ascii="Times New Roman" w:eastAsia="Times New Roman" w:hAnsi="Times New Roman" w:cs="Times New Roman"/>
          <w:sz w:val="20"/>
        </w:rPr>
        <w:t xml:space="preserve"> Mr. Schram’s 2018 annual performance bonus. The stock was initially valued at $6,124 and vests in equal monthly installments over 48 months </w:t>
      </w:r>
      <w:r>
        <w:rPr>
          <w:rFonts w:ascii="Times New Roman" w:eastAsia="Times New Roman" w:hAnsi="Times New Roman" w:cs="Times New Roman"/>
          <w:sz w:val="20"/>
        </w:rPr>
        <w:t xml:space="preserve">after </w:t>
      </w:r>
      <w:r>
        <w:rPr>
          <w:rFonts w:ascii="Times New Roman" w:eastAsia="Times New Roman" w:hAnsi="Times New Roman" w:cs="Times New Roman"/>
          <w:sz w:val="20"/>
        </w:rPr>
        <w:t>issuance. As of December 31, 20</w:t>
      </w:r>
      <w:r>
        <w:rPr>
          <w:rFonts w:ascii="Times New Roman" w:eastAsia="Times New Roman" w:hAnsi="Times New Roman" w:cs="Times New Roman"/>
          <w:sz w:val="20"/>
        </w:rPr>
        <w:t>20</w:t>
      </w:r>
      <w:r>
        <w:rPr>
          <w:rFonts w:ascii="Times New Roman" w:eastAsia="Times New Roman" w:hAnsi="Times New Roman" w:cs="Times New Roman"/>
          <w:sz w:val="20"/>
        </w:rPr>
        <w:t xml:space="preserve">, </w:t>
      </w:r>
      <w:r>
        <w:rPr>
          <w:rFonts w:ascii="Times New Roman" w:eastAsia="Times New Roman" w:hAnsi="Times New Roman" w:cs="Times New Roman"/>
          <w:sz w:val="20"/>
        </w:rPr>
        <w:t>4,259</w:t>
      </w:r>
      <w:r>
        <w:rPr>
          <w:rFonts w:ascii="Times New Roman" w:eastAsia="Times New Roman" w:hAnsi="Times New Roman" w:cs="Times New Roman"/>
          <w:sz w:val="20"/>
        </w:rPr>
        <w:t xml:space="preserve"> issued shares of restricted stock are unvested with a total market value of $</w:t>
      </w:r>
      <w:r>
        <w:rPr>
          <w:rFonts w:ascii="Times New Roman" w:eastAsia="Times New Roman" w:hAnsi="Times New Roman" w:cs="Times New Roman"/>
          <w:sz w:val="20"/>
        </w:rPr>
        <w:t>7,751</w:t>
      </w:r>
      <w:r>
        <w:rPr>
          <w:rFonts w:ascii="Times New Roman" w:eastAsia="Times New Roman" w:hAnsi="Times New Roman" w:cs="Times New Roman"/>
          <w:sz w:val="20"/>
        </w:rPr>
        <w:t xml:space="preserve"> based on the closing stock price of $</w:t>
      </w:r>
      <w:r>
        <w:rPr>
          <w:rFonts w:ascii="Times New Roman" w:eastAsia="Times New Roman" w:hAnsi="Times New Roman" w:cs="Times New Roman"/>
          <w:sz w:val="20"/>
        </w:rPr>
        <w:t>1.82</w:t>
      </w:r>
      <w:r>
        <w:rPr>
          <w:rFonts w:ascii="Times New Roman" w:eastAsia="Times New Roman" w:hAnsi="Times New Roman" w:cs="Times New Roman"/>
          <w:sz w:val="20"/>
        </w:rPr>
        <w:t xml:space="preserve"> on December 31, 20</w:t>
      </w:r>
      <w:r>
        <w:rPr>
          <w:rFonts w:ascii="Times New Roman" w:eastAsia="Times New Roman" w:hAnsi="Times New Roman" w:cs="Times New Roman"/>
          <w:sz w:val="20"/>
        </w:rPr>
        <w:t>20</w:t>
      </w:r>
      <w:r>
        <w:rPr>
          <w:rFonts w:ascii="Times New Roman" w:eastAsia="Times New Roman" w:hAnsi="Times New Roman" w:cs="Times New Roman"/>
          <w:sz w:val="20"/>
        </w:rPr>
        <w:t>.</w:t>
      </w:r>
    </w:p>
    <w:p>
      <w:pPr>
        <w:keepNext w:val="0"/>
        <w:keepLines w:val="0"/>
        <w:pageBreakBefore w:val="0"/>
        <w:widowControl/>
        <w:numPr>
          <w:ilvl w:val="0"/>
          <w:numId w:val="62"/>
        </w:numPr>
        <w:spacing w:before="0" w:after="240" w:line="288" w:lineRule="auto"/>
        <w:ind w:left="720" w:right="0" w:hanging="360"/>
        <w:jc w:val="left"/>
        <w:outlineLvl w:val="9"/>
        <w:rPr>
          <w:rFonts w:ascii="Times New Roman" w:eastAsia="Times New Roman" w:hAnsi="Times New Roman" w:cs="Times New Roman"/>
          <w:sz w:val="20"/>
          <w:vertAlign w:val="superscript"/>
        </w:rPr>
      </w:pPr>
      <w:r>
        <w:rPr>
          <w:rFonts w:ascii="Times New Roman" w:eastAsia="Times New Roman" w:hAnsi="Times New Roman" w:cs="Times New Roman"/>
          <w:sz w:val="20"/>
        </w:rPr>
        <w:t xml:space="preserve">All restricted stock units convert to an equal number common stock shares upon vesting. </w:t>
      </w:r>
      <w:r>
        <w:rPr>
          <w:rFonts w:ascii="Times New Roman" w:eastAsia="Times New Roman" w:hAnsi="Times New Roman" w:cs="Times New Roman"/>
          <w:sz w:val="20"/>
        </w:rPr>
        <w:t xml:space="preserve">On </w:t>
      </w:r>
      <w:r>
        <w:rPr>
          <w:rFonts w:ascii="Times New Roman" w:eastAsia="Times New Roman" w:hAnsi="Times New Roman" w:cs="Times New Roman"/>
          <w:sz w:val="20"/>
        </w:rPr>
        <w:t>January 3, 2020</w:t>
      </w:r>
      <w:r>
        <w:rPr>
          <w:rFonts w:ascii="Times New Roman" w:eastAsia="Times New Roman" w:hAnsi="Times New Roman" w:cs="Times New Roman"/>
          <w:sz w:val="20"/>
        </w:rPr>
        <w:t xml:space="preserve">, we issued 100,000 </w:t>
      </w:r>
      <w:r>
        <w:rPr>
          <w:rFonts w:ascii="Times New Roman" w:eastAsia="Times New Roman" w:hAnsi="Times New Roman" w:cs="Times New Roman"/>
          <w:sz w:val="20"/>
        </w:rPr>
        <w:t>r</w:t>
      </w:r>
      <w:r>
        <w:rPr>
          <w:rFonts w:ascii="Times New Roman" w:eastAsia="Times New Roman" w:hAnsi="Times New Roman" w:cs="Times New Roman"/>
          <w:sz w:val="20"/>
        </w:rPr>
        <w:t>estricted stock units</w:t>
      </w:r>
      <w:r>
        <w:rPr>
          <w:rFonts w:ascii="Times New Roman" w:eastAsia="Times New Roman" w:hAnsi="Times New Roman" w:cs="Times New Roman"/>
          <w:sz w:val="20"/>
        </w:rPr>
        <w:t xml:space="preserve"> as a one-time bonus award to Mr. Schram. </w:t>
      </w:r>
      <w:r>
        <w:rPr>
          <w:rFonts w:ascii="Times New Roman" w:eastAsia="Times New Roman" w:hAnsi="Times New Roman" w:cs="Times New Roman"/>
          <w:sz w:val="20"/>
        </w:rPr>
        <w:t xml:space="preserve">The stock was initially valued at </w:t>
      </w:r>
      <w:r>
        <w:rPr>
          <w:rFonts w:ascii="Times New Roman" w:eastAsia="Times New Roman" w:hAnsi="Times New Roman" w:cs="Times New Roman"/>
          <w:sz w:val="20"/>
        </w:rPr>
        <w:t xml:space="preserve">$27,930 and </w:t>
      </w:r>
      <w:r>
        <w:rPr>
          <w:rFonts w:ascii="Times New Roman" w:eastAsia="Times New Roman" w:hAnsi="Times New Roman" w:cs="Times New Roman"/>
          <w:sz w:val="20"/>
        </w:rPr>
        <w:t>h</w:t>
      </w:r>
      <w:r>
        <w:rPr>
          <w:rFonts w:ascii="Times New Roman" w:eastAsia="Times New Roman" w:hAnsi="Times New Roman" w:cs="Times New Roman"/>
          <w:sz w:val="20"/>
        </w:rPr>
        <w:t xml:space="preserve">as a cliff vesting </w:t>
      </w:r>
      <w:r>
        <w:rPr>
          <w:rFonts w:ascii="Times New Roman" w:eastAsia="Times New Roman" w:hAnsi="Times New Roman" w:cs="Times New Roman"/>
          <w:sz w:val="20"/>
        </w:rPr>
        <w:t>o</w:t>
      </w:r>
      <w:r>
        <w:rPr>
          <w:rFonts w:ascii="Times New Roman" w:eastAsia="Times New Roman" w:hAnsi="Times New Roman" w:cs="Times New Roman"/>
          <w:sz w:val="20"/>
        </w:rPr>
        <w:t>n</w:t>
      </w:r>
      <w:r>
        <w:rPr>
          <w:rFonts w:ascii="Times New Roman" w:eastAsia="Times New Roman" w:hAnsi="Times New Roman" w:cs="Times New Roman"/>
          <w:sz w:val="20"/>
        </w:rPr>
        <w:t xml:space="preserve">e year </w:t>
      </w:r>
      <w:r>
        <w:rPr>
          <w:rFonts w:ascii="Times New Roman" w:eastAsia="Times New Roman" w:hAnsi="Times New Roman" w:cs="Times New Roman"/>
          <w:sz w:val="20"/>
        </w:rPr>
        <w:t>from issuance.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On January 3, 2020, we issued </w:t>
      </w:r>
      <w:r>
        <w:rPr>
          <w:rFonts w:ascii="Times New Roman" w:eastAsia="Times New Roman" w:hAnsi="Times New Roman" w:cs="Times New Roman"/>
          <w:sz w:val="20"/>
        </w:rPr>
        <w:t>84,994</w:t>
      </w:r>
      <w:r>
        <w:rPr>
          <w:rFonts w:ascii="Times New Roman" w:eastAsia="Times New Roman" w:hAnsi="Times New Roman" w:cs="Times New Roman"/>
          <w:sz w:val="20"/>
        </w:rPr>
        <w:t xml:space="preserve"> restricted stock units </w:t>
      </w:r>
      <w:r>
        <w:rPr>
          <w:rFonts w:ascii="Times New Roman" w:eastAsia="Times New Roman" w:hAnsi="Times New Roman" w:cs="Times New Roman"/>
          <w:sz w:val="20"/>
        </w:rPr>
        <w:t xml:space="preserve">for </w:t>
      </w:r>
      <w:r>
        <w:rPr>
          <w:rFonts w:ascii="Times New Roman" w:eastAsia="Times New Roman" w:hAnsi="Times New Roman" w:cs="Times New Roman"/>
          <w:sz w:val="20"/>
        </w:rPr>
        <w:t xml:space="preserve">Mr. </w:t>
      </w:r>
      <w:r>
        <w:rPr>
          <w:rFonts w:ascii="Times New Roman" w:eastAsia="Times New Roman" w:hAnsi="Times New Roman" w:cs="Times New Roman"/>
          <w:sz w:val="20"/>
        </w:rPr>
        <w:t>Schram</w:t>
      </w:r>
      <w:r>
        <w:rPr>
          <w:rFonts w:ascii="Times New Roman" w:eastAsia="Times New Roman" w:hAnsi="Times New Roman" w:cs="Times New Roman"/>
          <w:sz w:val="20"/>
        </w:rPr>
        <w:t>’s annual stock bonus award under his employment agreement.</w:t>
      </w:r>
      <w:r>
        <w:rPr>
          <w:rFonts w:ascii="Times New Roman" w:eastAsia="Times New Roman" w:hAnsi="Times New Roman" w:cs="Times New Roman"/>
          <w:sz w:val="20"/>
        </w:rPr>
        <w:t xml:space="preserve"> The stock was initially valued at $2</w:t>
      </w:r>
      <w:r>
        <w:rPr>
          <w:rFonts w:ascii="Times New Roman" w:eastAsia="Times New Roman" w:hAnsi="Times New Roman" w:cs="Times New Roman"/>
          <w:sz w:val="20"/>
        </w:rPr>
        <w:t>3,739</w:t>
      </w:r>
      <w:r>
        <w:rPr>
          <w:rFonts w:ascii="Times New Roman" w:eastAsia="Times New Roman" w:hAnsi="Times New Roman" w:cs="Times New Roman"/>
          <w:sz w:val="20"/>
        </w:rPr>
        <w:t xml:space="preserve"> and </w:t>
      </w:r>
      <w:r>
        <w:rPr>
          <w:rFonts w:ascii="Times New Roman" w:eastAsia="Times New Roman" w:hAnsi="Times New Roman" w:cs="Times New Roman"/>
          <w:sz w:val="20"/>
        </w:rPr>
        <w:t>vests in equal monthly installments over 48 months</w:t>
      </w:r>
      <w:r>
        <w:rPr>
          <w:rFonts w:ascii="Times New Roman" w:eastAsia="Times New Roman" w:hAnsi="Times New Roman" w:cs="Times New Roman"/>
          <w:sz w:val="20"/>
        </w:rPr>
        <w:t xml:space="preserve"> a</w:t>
      </w:r>
      <w:r>
        <w:rPr>
          <w:rFonts w:ascii="Times New Roman" w:eastAsia="Times New Roman" w:hAnsi="Times New Roman" w:cs="Times New Roman"/>
          <w:sz w:val="20"/>
        </w:rPr>
        <w:t xml:space="preserve">fter </w:t>
      </w:r>
      <w:r>
        <w:rPr>
          <w:rFonts w:ascii="Times New Roman" w:eastAsia="Times New Roman" w:hAnsi="Times New Roman" w:cs="Times New Roman"/>
          <w:sz w:val="20"/>
        </w:rPr>
        <w:t>issuance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On </w:t>
      </w:r>
      <w:r>
        <w:rPr>
          <w:rFonts w:ascii="Times New Roman" w:eastAsia="Times New Roman" w:hAnsi="Times New Roman" w:cs="Times New Roman"/>
          <w:sz w:val="20"/>
        </w:rPr>
        <w:t xml:space="preserve">April </w:t>
      </w:r>
      <w:r>
        <w:rPr>
          <w:rFonts w:ascii="Times New Roman" w:eastAsia="Times New Roman" w:hAnsi="Times New Roman" w:cs="Times New Roman"/>
          <w:sz w:val="20"/>
        </w:rPr>
        <w:t>3</w:t>
      </w:r>
      <w:r>
        <w:rPr>
          <w:rFonts w:ascii="Times New Roman" w:eastAsia="Times New Roman" w:hAnsi="Times New Roman" w:cs="Times New Roman"/>
          <w:sz w:val="20"/>
        </w:rPr>
        <w:t xml:space="preserve">, 2020, May 31, 2020, August 31, 2020 and November 30, 2020, we issued </w:t>
      </w:r>
      <w:r>
        <w:rPr>
          <w:rFonts w:ascii="Times New Roman" w:eastAsia="Times New Roman" w:hAnsi="Times New Roman" w:cs="Times New Roman"/>
          <w:sz w:val="20"/>
        </w:rPr>
        <w:t>31,271</w:t>
      </w:r>
      <w:r>
        <w:rPr>
          <w:rFonts w:ascii="Times New Roman" w:eastAsia="Times New Roman" w:hAnsi="Times New Roman" w:cs="Times New Roman"/>
          <w:sz w:val="20"/>
        </w:rPr>
        <w:t xml:space="preserve">, </w:t>
      </w:r>
      <w:r>
        <w:rPr>
          <w:rFonts w:ascii="Times New Roman" w:eastAsia="Times New Roman" w:hAnsi="Times New Roman" w:cs="Times New Roman"/>
          <w:sz w:val="20"/>
        </w:rPr>
        <w:t>3,347</w:t>
      </w:r>
      <w:r>
        <w:rPr>
          <w:rFonts w:ascii="Times New Roman" w:eastAsia="Times New Roman" w:hAnsi="Times New Roman" w:cs="Times New Roman"/>
          <w:sz w:val="20"/>
        </w:rPr>
        <w:t xml:space="preserve">, </w:t>
      </w:r>
      <w:r>
        <w:rPr>
          <w:rFonts w:ascii="Times New Roman" w:eastAsia="Times New Roman" w:hAnsi="Times New Roman" w:cs="Times New Roman"/>
          <w:sz w:val="20"/>
        </w:rPr>
        <w:t>2,730</w:t>
      </w:r>
      <w:r>
        <w:rPr>
          <w:rFonts w:ascii="Times New Roman" w:eastAsia="Times New Roman" w:hAnsi="Times New Roman" w:cs="Times New Roman"/>
          <w:sz w:val="20"/>
        </w:rPr>
        <w:t xml:space="preserve"> and </w:t>
      </w:r>
      <w:r>
        <w:rPr>
          <w:rFonts w:ascii="Times New Roman" w:eastAsia="Times New Roman" w:hAnsi="Times New Roman" w:cs="Times New Roman"/>
          <w:sz w:val="20"/>
        </w:rPr>
        <w:t>4,476</w:t>
      </w:r>
      <w:r>
        <w:rPr>
          <w:rFonts w:ascii="Times New Roman" w:eastAsia="Times New Roman" w:hAnsi="Times New Roman" w:cs="Times New Roman"/>
          <w:sz w:val="20"/>
        </w:rPr>
        <w:t xml:space="preserve"> restricted stock units, respectively, for </w:t>
      </w:r>
      <w:r>
        <w:rPr>
          <w:rFonts w:ascii="Times New Roman" w:eastAsia="Times New Roman" w:hAnsi="Times New Roman" w:cs="Times New Roman"/>
          <w:sz w:val="20"/>
        </w:rPr>
        <w:t xml:space="preserve">Mr. </w:t>
      </w:r>
      <w:r>
        <w:rPr>
          <w:rFonts w:ascii="Times New Roman" w:eastAsia="Times New Roman" w:hAnsi="Times New Roman" w:cs="Times New Roman"/>
          <w:sz w:val="20"/>
        </w:rPr>
        <w:t>Schram</w:t>
      </w:r>
      <w:r>
        <w:rPr>
          <w:rFonts w:ascii="Times New Roman" w:eastAsia="Times New Roman" w:hAnsi="Times New Roman" w:cs="Times New Roman"/>
          <w:sz w:val="20"/>
        </w:rPr>
        <w:t>’s 2019 annual stock bonus award and his 2020 quarterly stock bonus awards under his employment agreement. The stock was initially valued at $</w:t>
      </w:r>
      <w:r>
        <w:rPr>
          <w:rFonts w:ascii="Times New Roman" w:eastAsia="Times New Roman" w:hAnsi="Times New Roman" w:cs="Times New Roman"/>
          <w:sz w:val="20"/>
        </w:rPr>
        <w:t>4,838</w:t>
      </w:r>
      <w:r>
        <w:rPr>
          <w:rFonts w:ascii="Times New Roman" w:eastAsia="Times New Roman" w:hAnsi="Times New Roman" w:cs="Times New Roman"/>
          <w:sz w:val="20"/>
        </w:rPr>
        <w:t>, $</w:t>
      </w:r>
      <w:r>
        <w:rPr>
          <w:rFonts w:ascii="Times New Roman" w:eastAsia="Times New Roman" w:hAnsi="Times New Roman" w:cs="Times New Roman"/>
          <w:sz w:val="20"/>
        </w:rPr>
        <w:t>2,041</w:t>
      </w:r>
      <w:r>
        <w:rPr>
          <w:rFonts w:ascii="Times New Roman" w:eastAsia="Times New Roman" w:hAnsi="Times New Roman" w:cs="Times New Roman"/>
          <w:sz w:val="20"/>
        </w:rPr>
        <w:t>, $</w:t>
      </w:r>
      <w:r>
        <w:rPr>
          <w:rFonts w:ascii="Times New Roman" w:eastAsia="Times New Roman" w:hAnsi="Times New Roman" w:cs="Times New Roman"/>
          <w:sz w:val="20"/>
        </w:rPr>
        <w:t>3,085</w:t>
      </w:r>
      <w:r>
        <w:rPr>
          <w:rFonts w:ascii="Times New Roman" w:eastAsia="Times New Roman" w:hAnsi="Times New Roman" w:cs="Times New Roman"/>
          <w:sz w:val="20"/>
        </w:rPr>
        <w:t xml:space="preserve"> and $</w:t>
      </w:r>
      <w:r>
        <w:rPr>
          <w:rFonts w:ascii="Times New Roman" w:eastAsia="Times New Roman" w:hAnsi="Times New Roman" w:cs="Times New Roman"/>
          <w:sz w:val="20"/>
        </w:rPr>
        <w:t>4,088</w:t>
      </w:r>
      <w:r>
        <w:rPr>
          <w:rFonts w:ascii="Times New Roman" w:eastAsia="Times New Roman" w:hAnsi="Times New Roman" w:cs="Times New Roman"/>
          <w:sz w:val="20"/>
        </w:rPr>
        <w:t xml:space="preserve"> and vests in equal monthly installments over </w:t>
      </w:r>
      <w:r>
        <w:rPr>
          <w:rFonts w:ascii="Times New Roman" w:eastAsia="Times New Roman" w:hAnsi="Times New Roman" w:cs="Times New Roman"/>
          <w:sz w:val="20"/>
        </w:rPr>
        <w:t>48</w:t>
      </w:r>
      <w:r>
        <w:rPr>
          <w:rFonts w:ascii="Times New Roman" w:eastAsia="Times New Roman" w:hAnsi="Times New Roman" w:cs="Times New Roman"/>
          <w:sz w:val="20"/>
        </w:rPr>
        <w:t xml:space="preserve"> months </w:t>
      </w:r>
      <w:r>
        <w:rPr>
          <w:rFonts w:ascii="Times New Roman" w:eastAsia="Times New Roman" w:hAnsi="Times New Roman" w:cs="Times New Roman"/>
          <w:sz w:val="20"/>
        </w:rPr>
        <w:t>after</w:t>
      </w:r>
      <w:r>
        <w:rPr>
          <w:rFonts w:ascii="Times New Roman" w:eastAsia="Times New Roman" w:hAnsi="Times New Roman" w:cs="Times New Roman"/>
          <w:sz w:val="20"/>
        </w:rPr>
        <w:t xml:space="preserve"> issuance. As of December 31, 2020, </w:t>
      </w:r>
      <w:r>
        <w:rPr>
          <w:rFonts w:ascii="Times New Roman" w:eastAsia="Times New Roman" w:hAnsi="Times New Roman" w:cs="Times New Roman"/>
          <w:sz w:val="20"/>
        </w:rPr>
        <w:t>198,674</w:t>
      </w:r>
      <w:r>
        <w:rPr>
          <w:rFonts w:ascii="Times New Roman" w:eastAsia="Times New Roman" w:hAnsi="Times New Roman" w:cs="Times New Roman"/>
          <w:sz w:val="20"/>
        </w:rPr>
        <w:t xml:space="preserve"> restricted stock units are unvested with a total market value of $</w:t>
      </w:r>
      <w:r>
        <w:rPr>
          <w:rFonts w:ascii="Times New Roman" w:eastAsia="Times New Roman" w:hAnsi="Times New Roman" w:cs="Times New Roman"/>
          <w:sz w:val="20"/>
        </w:rPr>
        <w:t>361,587</w:t>
      </w:r>
      <w:r>
        <w:rPr>
          <w:rFonts w:ascii="Times New Roman" w:eastAsia="Times New Roman" w:hAnsi="Times New Roman" w:cs="Times New Roman"/>
          <w:sz w:val="20"/>
        </w:rPr>
        <w:t xml:space="preserve"> based on the closing stock price of $1.82 on December 31, 2020.</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Employment Agreements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following is a summary of the employment arrangements with our Named Executive Officers.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i/>
          <w:sz w:val="20"/>
        </w:rPr>
        <w:t xml:space="preserve">Edward H. (Ted) Murphy. </w:t>
      </w:r>
      <w:r>
        <w:rPr>
          <w:rFonts w:ascii="Times New Roman" w:eastAsia="Times New Roman" w:hAnsi="Times New Roman" w:cs="Times New Roman"/>
          <w:sz w:val="20"/>
        </w:rPr>
        <w:t xml:space="preserve">On December 26, 2014, the Board signed an employment agreement (the “Previous Employment Agreement”) with Edward H. (Ted) Murphy with an initial term commencing on December 1, 2014 and ending on November 30, 2017, auto-renewing for successive one-year periods if no termination notice is provided. Pursuant to the Previous Employment Agreement, Mr. Murphy received an annual base salary of $225,000 with a guaranteed base salary increase of no less than 2% in April of each year and annual stock options with a fair value of $150,000 vesting over four years in equal monthly installments, subject to a maximum of 40,000 underlying shares. In the event that the fair market value of the stock option grant was less than $150,000, as limited by the 40,000 share cap, Mr. Murphy was entitled to receive either 50% of the difference in fair market value in cash or 100% of the value in shares of restricted stock with the same vesting schedule as the stock options, at the sole discretion of the Board. Additionally, he was eligible for annual bonus distributions up to $85,000 in cash and $150,000 in stock options as determined by the Board, based on meeting and exceeding mutually agreed upon annual performance goals.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Effective April 21, 2019, we entered into a new employment agreement with Mr. Murphy (the “New Employment Agreement”), with an initial term commencing April 21, 2019 and ending on April 20, 2022, which superseded the Previous Employment Agreement. Following the initial term, the New Employment Agreement will automatically renew for successive one-year terms unless the Company or Mr. Murphy provides written notice of non-renewal at least 60 days prior to the end of the current term or the New Employment Agreement is otherwise terminated pursuant to its terms. Pursuant to the New Employment Agreement, Mr. Murphy receives an annual base salary of $249,900 with a guaranteed base salary increase of no less than 2% in April of each year and an automatic increase of 20% in the event that the Company reaches a market cap of $50 million for a specified amount of time. The New Employment Agreement provides for annual stock options with a fair value of $200,000 vesting over four years in equal monthly installments, subject to a maximum of 200,000 underlying shares. In the event the fair market value of the stock option grant is less than $200,000 as limited by the 200,000 share maximum, Mr. Murphy is entitled to receive the difference in fair market value through a combination of cash and restricted stock units with the same vesting schedule as the stock options, at the sole discretion of the Board. Additionally, he is eligible for an annual bonus of no less than $85,000 in cash and up to $150,000 in stock options (subject to a 200,000-share maximum, with any resulting difference in value to be paid in a combination of cash and restricted stock units, at the sole discretion of the Board), in each case paid quarterly pursuant to the terms of the New Employment Agreement. Such annual bonus will be based on the achievement of specified annual performance goals. Each such grant of stock options shall vest over three years in equal monthly installments.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Mr. Murphy's New Employment Agreement is subject to early termination (i) by the Company or Mr. Murphy for any reason upon written notice, (ii) by the Company for cause (as such term is defined in the New Employment Agreement), (iii) by Mr. Murphy for good reason (as such term is defined in the New Employment Agreement), and (iv) in the case of death or disability. If terminated, for any reason other than death, disability or cause, Mr. Murphy will be entitled to a severance of six months of his current salary and twelve months of COBRA payments. In the case of termination due to disability, Mr. Murphy will be entitled to a severance of his current salary until such time (but no more than 120 days after such disability) that disability insurance plan payments commence. If there is a change of control (as defined in the New Employment Agreement) and Mr. Murphy's employment terminates within six months following the change of control for reasons other than for cause, then Mr. Murphy will be entitled to such amount equal to twelve months of his then current base salary and twelve months of COBRA payments. The New Employment Agreement also provides for Mr. Murphy’s eligibility to receive benefits substantially similar to those of the Company’s other executives.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connection with the New Employment Agreement, Mr. Murphy received an option to purchase up to 200,000 shares at an exercise price of $1.06 per share with an initial fair value of $123,490 vesting in equal monthly installments over 48 months from issuance.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i/>
          <w:sz w:val="20"/>
        </w:rPr>
        <w:t xml:space="preserve">LeAnn C. Hitchcock. </w:t>
      </w:r>
      <w:r>
        <w:rPr>
          <w:rFonts w:ascii="Times New Roman" w:eastAsia="Times New Roman" w:hAnsi="Times New Roman" w:cs="Times New Roman"/>
          <w:sz w:val="20"/>
        </w:rPr>
        <w:t xml:space="preserve">Ms. Hitchcock joined us in September 2011 as a financial consultant and was appointed as our Chief Financial Officer in August 2014 until she resigned on August 15, 2018. </w:t>
      </w:r>
      <w:r>
        <w:rPr>
          <w:rFonts w:ascii="Times New Roman" w:eastAsia="Times New Roman" w:hAnsi="Times New Roman" w:cs="Times New Roman"/>
          <w:sz w:val="20"/>
        </w:rPr>
        <w:t xml:space="preserve">Ms. Hitchcock </w:t>
      </w:r>
      <w:r>
        <w:rPr>
          <w:rFonts w:ascii="Times New Roman" w:eastAsia="Times New Roman" w:hAnsi="Times New Roman" w:cs="Times New Roman"/>
          <w:sz w:val="20"/>
        </w:rPr>
        <w:t xml:space="preserve">was re-appointed as our Interim Chief Financial Officer effective December 9, 2019. We paid Ms. Hitchcock an aggregate of </w:t>
      </w:r>
      <w:r>
        <w:rPr>
          <w:rFonts w:ascii="Times New Roman" w:eastAsia="Times New Roman" w:hAnsi="Times New Roman" w:cs="Times New Roman"/>
          <w:sz w:val="20"/>
        </w:rPr>
        <w:t xml:space="preserve">$267,639 and </w:t>
      </w:r>
      <w:r>
        <w:rPr>
          <w:rFonts w:ascii="Times New Roman" w:eastAsia="Times New Roman" w:hAnsi="Times New Roman" w:cs="Times New Roman"/>
          <w:sz w:val="20"/>
        </w:rPr>
        <w:t xml:space="preserve">$70,624 </w:t>
      </w:r>
      <w:r>
        <w:rPr>
          <w:rFonts w:ascii="Times New Roman" w:eastAsia="Times New Roman" w:hAnsi="Times New Roman" w:cs="Times New Roman"/>
          <w:sz w:val="20"/>
        </w:rPr>
        <w:t>for her consulting services for the years ended December 31, 20</w:t>
      </w:r>
      <w:r>
        <w:rPr>
          <w:rFonts w:ascii="Times New Roman" w:eastAsia="Times New Roman" w:hAnsi="Times New Roman" w:cs="Times New Roman"/>
          <w:sz w:val="20"/>
        </w:rPr>
        <w:t>20</w:t>
      </w:r>
      <w:r>
        <w:rPr>
          <w:rFonts w:ascii="Times New Roman" w:eastAsia="Times New Roman" w:hAnsi="Times New Roman" w:cs="Times New Roman"/>
          <w:sz w:val="20"/>
        </w:rPr>
        <w:t xml:space="preserve"> and 201</w:t>
      </w:r>
      <w:r>
        <w:rPr>
          <w:rFonts w:ascii="Times New Roman" w:eastAsia="Times New Roman" w:hAnsi="Times New Roman" w:cs="Times New Roman"/>
          <w:sz w:val="20"/>
        </w:rPr>
        <w:t>9</w:t>
      </w:r>
      <w:r>
        <w:rPr>
          <w:rFonts w:ascii="Times New Roman" w:eastAsia="Times New Roman" w:hAnsi="Times New Roman" w:cs="Times New Roman"/>
          <w:sz w:val="20"/>
        </w:rPr>
        <w:t xml:space="preserve">, respectively.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ab/>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i/>
          <w:sz w:val="20"/>
        </w:rPr>
        <w:t xml:space="preserve">Ryan S. Schram. </w:t>
      </w:r>
      <w:r>
        <w:rPr>
          <w:rFonts w:ascii="Times New Roman" w:eastAsia="Times New Roman" w:hAnsi="Times New Roman" w:cs="Times New Roman"/>
          <w:sz w:val="20"/>
        </w:rPr>
        <w:t>On January 25, 2015, we entered into an amended and restated executive employment agreement, effective January 1, 2015, with Ryan S. Schram to serve as our Chief Operating Officer through December 31, 2017. The agreement auto-renew</w:t>
      </w:r>
      <w:r>
        <w:rPr>
          <w:rFonts w:ascii="Times New Roman" w:eastAsia="Times New Roman" w:hAnsi="Times New Roman" w:cs="Times New Roman"/>
          <w:sz w:val="20"/>
        </w:rPr>
        <w:t>ed</w:t>
      </w:r>
      <w:r>
        <w:rPr>
          <w:rFonts w:ascii="Times New Roman" w:eastAsia="Times New Roman" w:hAnsi="Times New Roman" w:cs="Times New Roman"/>
          <w:sz w:val="20"/>
        </w:rPr>
        <w:t xml:space="preserve"> for successive one-year periods if no termination notice is provided. Per the agreement, Mr. Schram receive</w:t>
      </w:r>
      <w:r>
        <w:rPr>
          <w:rFonts w:ascii="Times New Roman" w:eastAsia="Times New Roman" w:hAnsi="Times New Roman" w:cs="Times New Roman"/>
          <w:sz w:val="20"/>
        </w:rPr>
        <w:t>d</w:t>
      </w:r>
      <w:r>
        <w:rPr>
          <w:rFonts w:ascii="Times New Roman" w:eastAsia="Times New Roman" w:hAnsi="Times New Roman" w:cs="Times New Roman"/>
          <w:sz w:val="20"/>
        </w:rPr>
        <w:t xml:space="preserve"> an annual base salary of $240,000 with an annual increase of no less than 2% on April 1st of each year beginning on April 1, 2015. Additionally, on January 1st each year, Mr. Schram receive</w:t>
      </w:r>
      <w:r>
        <w:rPr>
          <w:rFonts w:ascii="Times New Roman" w:eastAsia="Times New Roman" w:hAnsi="Times New Roman" w:cs="Times New Roman"/>
          <w:sz w:val="20"/>
        </w:rPr>
        <w:t>d</w:t>
      </w:r>
      <w:r>
        <w:rPr>
          <w:rFonts w:ascii="Times New Roman" w:eastAsia="Times New Roman" w:hAnsi="Times New Roman" w:cs="Times New Roman"/>
          <w:sz w:val="20"/>
        </w:rPr>
        <w:t xml:space="preserve"> annual stock options with a fair value of $25,000 vesting over four years in equal monthly installments. However, the number of underlying shares of common stock </w:t>
      </w:r>
      <w:r>
        <w:rPr>
          <w:rFonts w:ascii="Times New Roman" w:eastAsia="Times New Roman" w:hAnsi="Times New Roman" w:cs="Times New Roman"/>
          <w:sz w:val="20"/>
        </w:rPr>
        <w:t>could</w:t>
      </w:r>
      <w:r>
        <w:rPr>
          <w:rFonts w:ascii="Times New Roman" w:eastAsia="Times New Roman" w:hAnsi="Times New Roman" w:cs="Times New Roman"/>
          <w:sz w:val="20"/>
        </w:rPr>
        <w:t xml:space="preserve"> not exceed 6,667 shares. In the event the fair market value of the stock option grant </w:t>
      </w:r>
      <w:r>
        <w:rPr>
          <w:rFonts w:ascii="Times New Roman" w:eastAsia="Times New Roman" w:hAnsi="Times New Roman" w:cs="Times New Roman"/>
          <w:sz w:val="20"/>
        </w:rPr>
        <w:t>was</w:t>
      </w:r>
      <w:r>
        <w:rPr>
          <w:rFonts w:ascii="Times New Roman" w:eastAsia="Times New Roman" w:hAnsi="Times New Roman" w:cs="Times New Roman"/>
          <w:sz w:val="20"/>
        </w:rPr>
        <w:t xml:space="preserve"> less than $25,000 as limited by the 6,667 share cap, Mr. Schram </w:t>
      </w:r>
      <w:r>
        <w:rPr>
          <w:rFonts w:ascii="Times New Roman" w:eastAsia="Times New Roman" w:hAnsi="Times New Roman" w:cs="Times New Roman"/>
          <w:sz w:val="20"/>
        </w:rPr>
        <w:t>would</w:t>
      </w:r>
      <w:r>
        <w:rPr>
          <w:rFonts w:ascii="Times New Roman" w:eastAsia="Times New Roman" w:hAnsi="Times New Roman" w:cs="Times New Roman"/>
          <w:sz w:val="20"/>
        </w:rPr>
        <w:t xml:space="preserve"> be entitled to receive either 50% of the difference in fair market value in cash or 100% of the difference in fair market value in restricted stock with the same vesting schedule as the stock options, at the sole discretion of the Board. Mr. Schram </w:t>
      </w:r>
      <w:r>
        <w:rPr>
          <w:rFonts w:ascii="Times New Roman" w:eastAsia="Times New Roman" w:hAnsi="Times New Roman" w:cs="Times New Roman"/>
          <w:sz w:val="20"/>
        </w:rPr>
        <w:t>was</w:t>
      </w:r>
      <w:r>
        <w:rPr>
          <w:rFonts w:ascii="Times New Roman" w:eastAsia="Times New Roman" w:hAnsi="Times New Roman" w:cs="Times New Roman"/>
          <w:sz w:val="20"/>
        </w:rPr>
        <w:t xml:space="preserve"> also be eligible for annual bonus distributions up to $100,000 in cash and $25,000 in stock options based on meeting certain key performance indicators set forth in his employment agreement, as well as an annual override cash bonus of 0.4% or 0.65% based on our gross revenue. If Mr. Schram </w:t>
      </w:r>
      <w:r>
        <w:rPr>
          <w:rFonts w:ascii="Times New Roman" w:eastAsia="Times New Roman" w:hAnsi="Times New Roman" w:cs="Times New Roman"/>
          <w:sz w:val="20"/>
        </w:rPr>
        <w:t>was</w:t>
      </w:r>
      <w:r>
        <w:rPr>
          <w:rFonts w:ascii="Times New Roman" w:eastAsia="Times New Roman" w:hAnsi="Times New Roman" w:cs="Times New Roman"/>
          <w:sz w:val="20"/>
        </w:rPr>
        <w:t xml:space="preserve"> terminated for any reason other than death, disability or cause, or if he resign</w:t>
      </w:r>
      <w:r>
        <w:rPr>
          <w:rFonts w:ascii="Times New Roman" w:eastAsia="Times New Roman" w:hAnsi="Times New Roman" w:cs="Times New Roman"/>
          <w:sz w:val="20"/>
        </w:rPr>
        <w:t>ed</w:t>
      </w:r>
      <w:r>
        <w:rPr>
          <w:rFonts w:ascii="Times New Roman" w:eastAsia="Times New Roman" w:hAnsi="Times New Roman" w:cs="Times New Roman"/>
          <w:sz w:val="20"/>
        </w:rPr>
        <w:t xml:space="preserve"> for good reason (as those terms are defined in his employment agreement), Mr. Schram </w:t>
      </w:r>
      <w:r>
        <w:rPr>
          <w:rFonts w:ascii="Times New Roman" w:eastAsia="Times New Roman" w:hAnsi="Times New Roman" w:cs="Times New Roman"/>
          <w:sz w:val="20"/>
        </w:rPr>
        <w:t>would</w:t>
      </w:r>
      <w:r>
        <w:rPr>
          <w:rFonts w:ascii="Times New Roman" w:eastAsia="Times New Roman" w:hAnsi="Times New Roman" w:cs="Times New Roman"/>
          <w:sz w:val="20"/>
        </w:rPr>
        <w:t xml:space="preserve"> be entitled to severance of six months’ current salary and bonus and override bonus as in effect on the date of termination. A change of control, under which Mr. Schram fail</w:t>
      </w:r>
      <w:r>
        <w:rPr>
          <w:rFonts w:ascii="Times New Roman" w:eastAsia="Times New Roman" w:hAnsi="Times New Roman" w:cs="Times New Roman"/>
          <w:sz w:val="20"/>
        </w:rPr>
        <w:t>ed</w:t>
      </w:r>
      <w:r>
        <w:rPr>
          <w:rFonts w:ascii="Times New Roman" w:eastAsia="Times New Roman" w:hAnsi="Times New Roman" w:cs="Times New Roman"/>
          <w:sz w:val="20"/>
        </w:rPr>
        <w:t xml:space="preserve"> to retain his responsibilities, </w:t>
      </w:r>
      <w:r>
        <w:rPr>
          <w:rFonts w:ascii="Times New Roman" w:eastAsia="Times New Roman" w:hAnsi="Times New Roman" w:cs="Times New Roman"/>
          <w:sz w:val="20"/>
        </w:rPr>
        <w:t>would</w:t>
      </w:r>
      <w:r>
        <w:rPr>
          <w:rFonts w:ascii="Times New Roman" w:eastAsia="Times New Roman" w:hAnsi="Times New Roman" w:cs="Times New Roman"/>
          <w:sz w:val="20"/>
        </w:rPr>
        <w:t xml:space="preserve"> be deemed to constitute good reason under his employment agreement. </w:t>
      </w:r>
      <w:r>
        <w:rPr>
          <w:rFonts w:ascii="Times New Roman" w:eastAsia="Times New Roman" w:hAnsi="Times New Roman" w:cs="Times New Roman"/>
          <w:sz w:val="20"/>
        </w:rPr>
        <w:t>Effective January 1, 2021, the Company entered into a new employment agreement with Mr. Schram</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76" w:lineRule="auto"/>
        <w:ind w:left="0" w:right="0" w:firstLine="72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Equity I</w:t>
      </w:r>
      <w:r>
        <w:rPr>
          <w:rFonts w:ascii="Times New Roman" w:eastAsia="Times New Roman" w:hAnsi="Times New Roman" w:cs="Times New Roman"/>
          <w:b/>
          <w:sz w:val="20"/>
        </w:rPr>
        <w:t>ncentive Plans</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In May 2011, the Board adopted the 2011 Equity Incentive Plan of IZEA, Inc., which was amended and restated in 20</w:t>
      </w:r>
      <w:r>
        <w:rPr>
          <w:rFonts w:ascii="Times New Roman" w:eastAsia="Times New Roman" w:hAnsi="Times New Roman" w:cs="Times New Roman"/>
          <w:sz w:val="20"/>
        </w:rPr>
        <w:t>20</w:t>
      </w:r>
      <w:r>
        <w:rPr>
          <w:rFonts w:ascii="Times New Roman" w:eastAsia="Times New Roman" w:hAnsi="Times New Roman" w:cs="Times New Roman"/>
          <w:sz w:val="20"/>
        </w:rPr>
        <w:t xml:space="preserve"> (the “May 2011 Plan”). </w:t>
      </w:r>
      <w:r>
        <w:rPr>
          <w:rFonts w:ascii="Times New Roman" w:eastAsia="Times New Roman" w:hAnsi="Times New Roman" w:cs="Times New Roman"/>
          <w:sz w:val="20"/>
        </w:rPr>
        <w:t>The</w:t>
      </w:r>
      <w:r>
        <w:rPr>
          <w:rFonts w:ascii="Times New Roman" w:eastAsia="Times New Roman" w:hAnsi="Times New Roman" w:cs="Times New Roman"/>
          <w:sz w:val="20"/>
        </w:rPr>
        <w:t xml:space="preserve"> May 2011 Plan</w:t>
      </w:r>
      <w:r>
        <w:rPr>
          <w:rFonts w:ascii="Times New Roman" w:eastAsia="Times New Roman" w:hAnsi="Times New Roman" w:cs="Times New Roman"/>
          <w:sz w:val="20"/>
        </w:rPr>
        <w:t xml:space="preserve"> allows us to award restricted stock, restricted stock units and stock options, covering up to </w:t>
      </w:r>
      <w:r>
        <w:rPr>
          <w:rFonts w:ascii="Times New Roman" w:eastAsia="Times New Roman" w:hAnsi="Times New Roman" w:cs="Times New Roman"/>
          <w:sz w:val="20"/>
        </w:rPr>
        <w:t>7,500,000</w:t>
      </w:r>
      <w:r>
        <w:rPr>
          <w:rFonts w:ascii="Times New Roman" w:eastAsia="Times New Roman" w:hAnsi="Times New Roman" w:cs="Times New Roman"/>
          <w:sz w:val="20"/>
        </w:rPr>
        <w:t xml:space="preserve"> shares of common stock as incentive compensation for our employees and consultants. On August 22, 2011, </w:t>
      </w:r>
      <w:r>
        <w:rPr>
          <w:rFonts w:ascii="Times New Roman" w:eastAsia="Times New Roman" w:hAnsi="Times New Roman" w:cs="Times New Roman"/>
          <w:sz w:val="20"/>
        </w:rPr>
        <w:t>the Board</w:t>
      </w:r>
      <w:r>
        <w:rPr>
          <w:rFonts w:ascii="Times New Roman" w:eastAsia="Times New Roman" w:hAnsi="Times New Roman" w:cs="Times New Roman"/>
          <w:sz w:val="20"/>
        </w:rPr>
        <w:t xml:space="preserve"> adopted the 2011 B Equity Incentive Plan (the “August 2011 Plan”) reserving </w:t>
      </w:r>
      <w:r>
        <w:rPr>
          <w:rFonts w:ascii="Times New Roman" w:eastAsia="Times New Roman" w:hAnsi="Times New Roman" w:cs="Times New Roman"/>
          <w:sz w:val="20"/>
        </w:rPr>
        <w:t>4,375</w:t>
      </w:r>
      <w:r>
        <w:rPr>
          <w:rFonts w:ascii="Times New Roman" w:eastAsia="Times New Roman" w:hAnsi="Times New Roman" w:cs="Times New Roman"/>
          <w:sz w:val="20"/>
        </w:rPr>
        <w:t xml:space="preserve"> shares of common stock for issuance under the August 2011 Plan.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an aggregate of </w:t>
      </w:r>
      <w:r>
        <w:rPr>
          <w:rFonts w:ascii="Times New Roman" w:eastAsia="Times New Roman" w:hAnsi="Times New Roman" w:cs="Times New Roman"/>
          <w:sz w:val="20"/>
        </w:rPr>
        <w:t>1,003,917</w:t>
      </w:r>
      <w:r>
        <w:rPr>
          <w:rFonts w:ascii="Times New Roman" w:eastAsia="Times New Roman" w:hAnsi="Times New Roman" w:cs="Times New Roman"/>
          <w:sz w:val="20"/>
        </w:rPr>
        <w:t xml:space="preserve"> shares of common stock have been issued in respect of exercised and vested awards under the May 2011 Plan and the August 2011 Plan. </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Under both the May 2011 Plan and the August 2011 Plan, the Board determines the exercise price to be paid for the option shares, the period within which each award may be exercised, and the terms and conditions of each award, including any future vesting restrictions. The exercise price of incentive and non-qualified stock options may not be less than 100% of the fair market value per share of our common stock on the grant date. If an individual owns stock representing more than 10% of the outstanding shares, the price of each share of an incentive stock option must be equal to or exceed 110% of fair market value. Unless otherwise determined by the Board at the time of grant, the purchase price is set at the fair market value of our common stock on the grant date (or the last trading day prior to the grant date, if it is awarded on a non-trading day). </w:t>
      </w:r>
      <w:r>
        <w:rPr>
          <w:rFonts w:ascii="Times New Roman" w:eastAsia="Times New Roman" w:hAnsi="Times New Roman" w:cs="Times New Roman"/>
          <w:sz w:val="20"/>
        </w:rPr>
        <w:t>Additionally, the term is set at ten years and the option typically vests on a straight-line basis over the requisite service period as follows: 25% one year from the date of grant with the remaining vesting monthly, in equal increments over the following three years. We issue new shares for any stock awards or options exercised under our 2011 Equity Incentive Plans.</w:t>
      </w:r>
    </w:p>
    <w:p>
      <w:pPr>
        <w:keepNext w:val="0"/>
        <w:keepLines w:val="0"/>
        <w:pageBreakBefore w:val="0"/>
        <w:widowControl/>
        <w:numPr>
          <w:ilvl w:val="0"/>
          <w:numId w:val="0"/>
        </w:numPr>
        <w:spacing w:before="0" w:after="0" w:line="28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w:t>
      </w:r>
      <w:r>
        <w:rPr>
          <w:rFonts w:ascii="Times New Roman" w:eastAsia="Times New Roman" w:hAnsi="Times New Roman" w:cs="Times New Roman"/>
          <w:sz w:val="20"/>
        </w:rPr>
        <w:t xml:space="preserve"> 2014 Employee Stock Purchase Plan (the “ESPP”) </w:t>
      </w:r>
      <w:r>
        <w:rPr>
          <w:rFonts w:ascii="Times New Roman" w:eastAsia="Times New Roman" w:hAnsi="Times New Roman" w:cs="Times New Roman"/>
          <w:sz w:val="20"/>
        </w:rPr>
        <w:t>provides for the issuance of up to 500,000 shares of our common stock</w:t>
      </w:r>
      <w:r>
        <w:rPr>
          <w:rFonts w:ascii="Times New Roman" w:eastAsia="Times New Roman" w:hAnsi="Times New Roman" w:cs="Times New Roman"/>
          <w:sz w:val="20"/>
        </w:rPr>
        <w:t xml:space="preserve">. Any employee regularly employed by us for 90 days or more on a full-time or part-time basis (20 hours or more per week on a regular schedule) is eligible to participate in the ESPP. The ESPP operates in successive six-month offering periods commencing at the beginning of each fiscal year half. Each eligible employee who has elected to participate may purchase up to 10% of their annual compensation in common stock not to exceed $21,250 annually or 2,000 shares per offering period. The purchase price will be the lower of (i) 85% of the fair market value of a share of common stock on the first day of the offering period or (ii) 85% of the fair market value of a share of common stock on the last day of the offering period. The ESPP will continue until January 1, 2024, unless otherwise terminated by our Board.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r>
        <w:rPr>
          <w:rFonts w:ascii="Times New Roman" w:eastAsia="Times New Roman" w:hAnsi="Times New Roman" w:cs="Times New Roman"/>
          <w:sz w:val="20"/>
        </w:rPr>
        <w:t>104,387</w:t>
      </w:r>
      <w:r>
        <w:rPr>
          <w:rFonts w:ascii="Times New Roman" w:eastAsia="Times New Roman" w:hAnsi="Times New Roman" w:cs="Times New Roman"/>
          <w:sz w:val="20"/>
        </w:rPr>
        <w:t xml:space="preserve"> shares have been issued under the ESPP.</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following table sets forth information regarding the securities authorized for issuance under our equity compensation plans as of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p>
    <w:tbl>
      <w:tblPr>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65"/>
        <w:gridCol w:w="75"/>
        <w:gridCol w:w="1580"/>
        <w:gridCol w:w="100"/>
        <w:gridCol w:w="75"/>
        <w:gridCol w:w="160"/>
        <w:gridCol w:w="1420"/>
        <w:gridCol w:w="100"/>
        <w:gridCol w:w="75"/>
        <w:gridCol w:w="1580"/>
        <w:gridCol w:w="100"/>
      </w:tblGrid>
      <w:tr>
        <w:tblPrEx>
          <w:tblW w:w="1043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755"/>
          <w:jc w:val="left"/>
        </w:trPr>
        <w:tc>
          <w:tcPr>
            <w:tcW w:w="4965" w:type="dxa"/>
            <w:vMerge w:val="restart"/>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18"/>
              </w:rPr>
              <w:t>Plan Category</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80"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18"/>
              </w:rPr>
              <w:t>Number of securities to be issued upon exercise of outstanding options, warrants and rights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8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18"/>
              </w:rPr>
              <w:t>Weighted-average exercise price of outstanding options, warrants and rights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80"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18"/>
              </w:rPr>
              <w:t>Number of securities remaining available for future issuance under equity compensation plans  (excluding securities reflected in column (a))</w:t>
            </w:r>
          </w:p>
        </w:tc>
      </w:tr>
      <w:tr>
        <w:tblPrEx>
          <w:tblW w:w="10435" w:type="dxa"/>
          <w:jc w:val="left"/>
          <w:tblInd w:w="0" w:type="dxa"/>
          <w:tblCellMar>
            <w:left w:w="108" w:type="dxa"/>
            <w:right w:w="108" w:type="dxa"/>
          </w:tblCellMar>
        </w:tblPrEx>
        <w:trPr>
          <w:cantSplit/>
          <w:trHeight w:hRule="exact" w:val="300"/>
          <w:jc w:val="left"/>
        </w:trPr>
        <w:tc>
          <w:tcPr>
            <w:tcW w:w="4965" w:type="dxa"/>
            <w:vMerge/>
            <w:tcBorders>
              <w:top w:val="nil"/>
              <w:left w:val="nil"/>
              <w:bottom w:val="single" w:sz="8" w:space="0" w:color="000000"/>
              <w:right w:val="nil"/>
            </w:tcBorders>
          </w:tcPr>
          <w:p>
            <w:pPr>
              <w:keepNext/>
              <w:pageBreakBefore w:val="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80" w:type="dxa"/>
            <w:gridSpan w:val="2"/>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(a)</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80" w:type="dxa"/>
            <w:gridSpan w:val="3"/>
            <w:tcBorders>
              <w:top w:val="nil"/>
              <w:left w:val="nil"/>
              <w:bottom w:val="single" w:sz="8" w:space="0" w:color="000000"/>
              <w:right w:val="nil"/>
            </w:tcBorders>
            <w:tcMar>
              <w:top w:w="0" w:type="dxa"/>
              <w:left w:w="53" w:type="dxa"/>
              <w:bottom w:w="0" w:type="dxa"/>
              <w:right w:w="15"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(b)</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80"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 </w:t>
            </w:r>
            <w:r>
              <w:rPr>
                <w:rFonts w:ascii="Times New Roman" w:eastAsia="Times New Roman" w:hAnsi="Times New Roman" w:cs="Times New Roman"/>
                <w:sz w:val="20"/>
                <w:vertAlign w:val="superscript"/>
              </w:rPr>
              <w:t>(1)</w:t>
            </w:r>
          </w:p>
        </w:tc>
      </w:tr>
      <w:tr>
        <w:tblPrEx>
          <w:tblW w:w="10435" w:type="dxa"/>
          <w:jc w:val="left"/>
          <w:tblInd w:w="0" w:type="dxa"/>
          <w:tblCellMar>
            <w:left w:w="108" w:type="dxa"/>
            <w:right w:w="108" w:type="dxa"/>
          </w:tblCellMar>
        </w:tblPrEx>
        <w:trPr>
          <w:cantSplit/>
          <w:trHeight w:hRule="exact" w:val="300"/>
          <w:jc w:val="left"/>
        </w:trPr>
        <w:tc>
          <w:tcPr>
            <w:tcW w:w="496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Equity compensation plans approved by security holders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2,683,155 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4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2.56 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4,212,916 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496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Equity compensation plans not approved by security holders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8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435" w:type="dxa"/>
          <w:jc w:val="left"/>
          <w:tblInd w:w="0" w:type="dxa"/>
          <w:tblCellMar>
            <w:left w:w="108" w:type="dxa"/>
            <w:right w:w="108" w:type="dxa"/>
          </w:tblCellMar>
        </w:tblPrEx>
        <w:trPr>
          <w:cantSplit/>
          <w:trHeight w:hRule="exact" w:val="300"/>
          <w:jc w:val="left"/>
        </w:trPr>
        <w:tc>
          <w:tcPr>
            <w:tcW w:w="496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Total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8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2,683,155 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4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2.56 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8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4,212,916 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r>
    </w:tbl>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_______________</w:t>
      </w:r>
    </w:p>
    <w:p>
      <w:pPr>
        <w:keepNext w:val="0"/>
        <w:keepLines/>
        <w:pageBreakBefore w:val="0"/>
        <w:widowControl w:val="0"/>
        <w:numPr>
          <w:ilvl w:val="0"/>
          <w:numId w:val="0"/>
        </w:numPr>
        <w:tabs>
          <w:tab w:val="left" w:pos="360"/>
        </w:tabs>
        <w:spacing w:before="120" w:after="0" w:line="288" w:lineRule="auto"/>
        <w:ind w:left="36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8"/>
        </w:rPr>
        <w:t xml:space="preserve">As of </w:t>
      </w:r>
      <w:r>
        <w:rPr>
          <w:rFonts w:ascii="Times New Roman" w:eastAsia="Times New Roman" w:hAnsi="Times New Roman" w:cs="Times New Roman"/>
          <w:sz w:val="20"/>
        </w:rPr>
        <w:t>December 31, 2020</w:t>
      </w:r>
      <w:r>
        <w:rPr>
          <w:rFonts w:ascii="Times New Roman" w:eastAsia="Times New Roman" w:hAnsi="Times New Roman" w:cs="Times New Roman"/>
          <w:sz w:val="18"/>
        </w:rPr>
        <w:t xml:space="preserve">, we had </w:t>
      </w:r>
      <w:r>
        <w:rPr>
          <w:rFonts w:ascii="Times New Roman" w:eastAsia="Times New Roman" w:hAnsi="Times New Roman" w:cs="Times New Roman"/>
          <w:sz w:val="18"/>
        </w:rPr>
        <w:t>3,812,928</w:t>
      </w:r>
      <w:r>
        <w:rPr>
          <w:rFonts w:ascii="Times New Roman" w:eastAsia="Times New Roman" w:hAnsi="Times New Roman" w:cs="Times New Roman"/>
          <w:sz w:val="18"/>
        </w:rPr>
        <w:t xml:space="preserve"> shares of common stock available for future issuance under our May 2011 Equity Incentive Plan, </w:t>
      </w:r>
      <w:r>
        <w:rPr>
          <w:rFonts w:ascii="Times New Roman" w:eastAsia="Times New Roman" w:hAnsi="Times New Roman" w:cs="Times New Roman"/>
          <w:sz w:val="18"/>
        </w:rPr>
        <w:t>4,375</w:t>
      </w:r>
      <w:r>
        <w:rPr>
          <w:rFonts w:ascii="Times New Roman" w:eastAsia="Times New Roman" w:hAnsi="Times New Roman" w:cs="Times New Roman"/>
          <w:sz w:val="18"/>
        </w:rPr>
        <w:t xml:space="preserve"> shares of common stock available for future issuance under our August 2011 Equity Incentive Plan and </w:t>
      </w:r>
      <w:r>
        <w:rPr>
          <w:rFonts w:ascii="Times New Roman" w:eastAsia="Times New Roman" w:hAnsi="Times New Roman" w:cs="Times New Roman"/>
          <w:sz w:val="18"/>
        </w:rPr>
        <w:t>395,613</w:t>
      </w:r>
      <w:r>
        <w:rPr>
          <w:rFonts w:ascii="Times New Roman" w:eastAsia="Times New Roman" w:hAnsi="Times New Roman" w:cs="Times New Roman"/>
          <w:sz w:val="18"/>
        </w:rPr>
        <w:t xml:space="preserve"> shares of common stock available for future issuance under our 2014 Employee Stock Purchase Plan. </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March 26, 2021</w:t>
      </w:r>
      <w:r>
        <w:rPr>
          <w:rFonts w:ascii="Times New Roman" w:eastAsia="Times New Roman" w:hAnsi="Times New Roman" w:cs="Times New Roman"/>
          <w:sz w:val="20"/>
        </w:rPr>
        <w:t xml:space="preserve">, we had </w:t>
      </w:r>
      <w:r>
        <w:rPr>
          <w:rFonts w:ascii="Times New Roman" w:eastAsia="Times New Roman" w:hAnsi="Times New Roman" w:cs="Times New Roman"/>
          <w:sz w:val="20"/>
        </w:rPr>
        <w:t>59,129,390</w:t>
      </w:r>
      <w:r>
        <w:rPr>
          <w:rFonts w:ascii="Times New Roman" w:eastAsia="Times New Roman" w:hAnsi="Times New Roman" w:cs="Times New Roman"/>
          <w:sz w:val="20"/>
        </w:rPr>
        <w:t xml:space="preserve"> shares of common stock issued, which includes </w:t>
      </w:r>
      <w:r>
        <w:rPr>
          <w:rFonts w:ascii="Times New Roman" w:eastAsia="Times New Roman" w:hAnsi="Times New Roman" w:cs="Times New Roman"/>
          <w:sz w:val="20"/>
        </w:rPr>
        <w:t>37,620</w:t>
      </w:r>
      <w:r>
        <w:rPr>
          <w:rFonts w:ascii="Times New Roman" w:eastAsia="Times New Roman" w:hAnsi="Times New Roman" w:cs="Times New Roman"/>
          <w:sz w:val="20"/>
        </w:rPr>
        <w:t xml:space="preserve"> shares of unvested restricted stock, outstanding stock options to purchase </w:t>
      </w:r>
      <w:r>
        <w:rPr>
          <w:rFonts w:ascii="Times New Roman" w:eastAsia="Times New Roman" w:hAnsi="Times New Roman" w:cs="Times New Roman"/>
          <w:sz w:val="20"/>
        </w:rPr>
        <w:t>1,742,303</w:t>
      </w:r>
      <w:r>
        <w:rPr>
          <w:rFonts w:ascii="Times New Roman" w:eastAsia="Times New Roman" w:hAnsi="Times New Roman" w:cs="Times New Roman"/>
          <w:sz w:val="20"/>
        </w:rPr>
        <w:t xml:space="preserve"> shares of our common stock at an average exercise price of </w:t>
      </w:r>
      <w:r>
        <w:rPr>
          <w:rFonts w:ascii="Times New Roman" w:eastAsia="Times New Roman" w:hAnsi="Times New Roman" w:cs="Times New Roman"/>
          <w:sz w:val="20"/>
        </w:rPr>
        <w:t>$2.55</w:t>
      </w:r>
      <w:r>
        <w:rPr>
          <w:rFonts w:ascii="Times New Roman" w:eastAsia="Times New Roman" w:hAnsi="Times New Roman" w:cs="Times New Roman"/>
          <w:sz w:val="20"/>
        </w:rPr>
        <w:t xml:space="preserve"> per share and unvested restricted stock units of </w:t>
      </w:r>
      <w:r>
        <w:rPr>
          <w:rFonts w:ascii="Times New Roman" w:eastAsia="Times New Roman" w:hAnsi="Times New Roman" w:cs="Times New Roman"/>
          <w:sz w:val="20"/>
        </w:rPr>
        <w:t>569,934</w:t>
      </w:r>
      <w:r>
        <w:rPr>
          <w:rFonts w:ascii="Times New Roman" w:eastAsia="Times New Roman" w:hAnsi="Times New Roman" w:cs="Times New Roman"/>
          <w:sz w:val="20"/>
        </w:rPr>
        <w:t xml:space="preserve"> shares with an intrinsic value of </w:t>
      </w:r>
      <w:r>
        <w:rPr>
          <w:rFonts w:ascii="Times New Roman" w:eastAsia="Times New Roman" w:hAnsi="Times New Roman" w:cs="Times New Roman"/>
          <w:sz w:val="20"/>
        </w:rPr>
        <w:t>$2,308,233</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Director Compensation</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88" w:lineRule="auto"/>
        <w:ind w:left="0" w:right="0" w:firstLine="72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20"/>
        </w:rPr>
        <w:t xml:space="preserve">The following table sets forth the cash compensation, as well as certain other compensation earned by each person who served as a non-employee director of IZEA during the year ended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w:t>
      </w:r>
    </w:p>
    <w:tbl>
      <w:tblPr>
        <w:tblW w:w="10419"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95"/>
        <w:gridCol w:w="75"/>
        <w:gridCol w:w="160"/>
        <w:gridCol w:w="1195"/>
        <w:gridCol w:w="100"/>
        <w:gridCol w:w="75"/>
        <w:gridCol w:w="160"/>
        <w:gridCol w:w="1195"/>
        <w:gridCol w:w="100"/>
        <w:gridCol w:w="75"/>
        <w:gridCol w:w="160"/>
        <w:gridCol w:w="1195"/>
        <w:gridCol w:w="100"/>
        <w:gridCol w:w="75"/>
        <w:gridCol w:w="160"/>
        <w:gridCol w:w="1195"/>
        <w:gridCol w:w="100"/>
      </w:tblGrid>
      <w:tr>
        <w:tblPrEx>
          <w:tblW w:w="10419"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409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18"/>
              </w:rPr>
              <w:t>Name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5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18"/>
              </w:rPr>
              <w:t>Fees Earned or Paid in Cash</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5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18"/>
              </w:rPr>
              <w:t>Stock Awards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5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18"/>
              </w:rPr>
              <w:t>Option Awards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55"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18"/>
              </w:rPr>
              <w:t> Total</w:t>
            </w:r>
          </w:p>
        </w:tc>
      </w:tr>
      <w:tr>
        <w:tblPrEx>
          <w:tblW w:w="10419" w:type="dxa"/>
          <w:jc w:val="left"/>
          <w:tblInd w:w="0" w:type="dxa"/>
          <w:tblCellMar>
            <w:left w:w="108" w:type="dxa"/>
            <w:right w:w="108" w:type="dxa"/>
          </w:tblCellMar>
        </w:tblPrEx>
        <w:trPr>
          <w:cantSplit/>
          <w:trHeight w:hRule="exact" w:val="300"/>
          <w:jc w:val="left"/>
        </w:trPr>
        <w:tc>
          <w:tcPr>
            <w:tcW w:w="40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Brian W. Brady </w:t>
            </w:r>
            <w:r>
              <w:rPr>
                <w:rFonts w:ascii="Times New Roman" w:eastAsia="Times New Roman" w:hAnsi="Times New Roman" w:cs="Times New Roman"/>
                <w:sz w:val="20"/>
                <w:vertAlign w:val="superscript"/>
              </w:rPr>
              <w:t>(1)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24,950 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25,000 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1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49,950 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419" w:type="dxa"/>
          <w:jc w:val="left"/>
          <w:tblInd w:w="0" w:type="dxa"/>
          <w:tblCellMar>
            <w:left w:w="108" w:type="dxa"/>
            <w:right w:w="108" w:type="dxa"/>
          </w:tblCellMar>
        </w:tblPrEx>
        <w:trPr>
          <w:cantSplit/>
          <w:trHeight w:hRule="exact" w:val="300"/>
          <w:jc w:val="left"/>
        </w:trPr>
        <w:tc>
          <w:tcPr>
            <w:tcW w:w="40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John H. Caron </w:t>
            </w:r>
            <w:r>
              <w:rPr>
                <w:rFonts w:ascii="Times New Roman" w:eastAsia="Times New Roman" w:hAnsi="Times New Roman" w:cs="Times New Roman"/>
                <w:sz w:val="20"/>
                <w:vertAlign w:val="superscript"/>
              </w:rPr>
              <w:t>(2)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1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28,950 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1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25,000 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1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1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53,950 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19" w:type="dxa"/>
          <w:jc w:val="left"/>
          <w:tblInd w:w="0" w:type="dxa"/>
          <w:tblCellMar>
            <w:left w:w="108" w:type="dxa"/>
            <w:right w:w="108" w:type="dxa"/>
          </w:tblCellMar>
        </w:tblPrEx>
        <w:trPr>
          <w:cantSplit/>
          <w:trHeight w:hRule="exact" w:val="300"/>
          <w:jc w:val="left"/>
        </w:trPr>
        <w:tc>
          <w:tcPr>
            <w:tcW w:w="409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Lindsay A. Gardner </w:t>
            </w:r>
            <w:r>
              <w:rPr>
                <w:rFonts w:ascii="Times New Roman" w:eastAsia="Times New Roman" w:hAnsi="Times New Roman" w:cs="Times New Roman"/>
                <w:sz w:val="20"/>
                <w:vertAlign w:val="superscript"/>
              </w:rPr>
              <w:t>(3)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1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24,950 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1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25,000 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1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19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49,950 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19" w:type="dxa"/>
          <w:jc w:val="left"/>
          <w:tblInd w:w="0" w:type="dxa"/>
          <w:tblCellMar>
            <w:left w:w="108" w:type="dxa"/>
            <w:right w:w="108" w:type="dxa"/>
          </w:tblCellMar>
        </w:tblPrEx>
        <w:trPr>
          <w:cantSplit/>
          <w:trHeight w:hRule="exact" w:val="300"/>
          <w:jc w:val="left"/>
        </w:trPr>
        <w:tc>
          <w:tcPr>
            <w:tcW w:w="409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Daniel R. Rua </w:t>
            </w:r>
            <w:r>
              <w:rPr>
                <w:rFonts w:ascii="Times New Roman" w:eastAsia="Times New Roman" w:hAnsi="Times New Roman" w:cs="Times New Roman"/>
                <w:sz w:val="20"/>
                <w:vertAlign w:val="superscript"/>
              </w:rPr>
              <w:t>(5)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1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28,950 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1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25,000 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1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left"/>
            </w:pPr>
            <w:r>
              <w:rPr>
                <w:rFonts w:ascii="Times New Roman" w:eastAsia="Times New Roman" w:hAnsi="Times New Roman" w:cs="Times New Roman"/>
                <w:color w:val="000000"/>
                <w:sz w:val="20"/>
              </w:rPr>
              <w:t>$</w:t>
            </w:r>
          </w:p>
        </w:tc>
        <w:tc>
          <w:tcPr>
            <w:tcW w:w="119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53,950 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ind w:right="0"/>
              <w:jc w:val="right"/>
            </w:pPr>
          </w:p>
        </w:tc>
      </w:tr>
      <w:tr>
        <w:tblPrEx>
          <w:tblW w:w="10419" w:type="dxa"/>
          <w:jc w:val="left"/>
          <w:tblInd w:w="0" w:type="dxa"/>
          <w:tblCellMar>
            <w:left w:w="108" w:type="dxa"/>
            <w:right w:w="108" w:type="dxa"/>
          </w:tblCellMar>
        </w:tblPrEx>
        <w:trPr>
          <w:cantSplit/>
          <w:trHeight w:hRule="exact" w:val="300"/>
          <w:jc w:val="left"/>
        </w:trPr>
        <w:tc>
          <w:tcPr>
            <w:tcW w:w="409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Patrick J. Venetucci </w:t>
            </w:r>
            <w:r>
              <w:rPr>
                <w:rFonts w:ascii="Times New Roman" w:eastAsia="Times New Roman" w:hAnsi="Times New Roman" w:cs="Times New Roman"/>
                <w:sz w:val="20"/>
                <w:vertAlign w:val="superscript"/>
              </w:rPr>
              <w:t>(6)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1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28,950 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1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25,000 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1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left"/>
            </w:pPr>
            <w:r>
              <w:rPr>
                <w:rFonts w:ascii="Times New Roman" w:eastAsia="Times New Roman" w:hAnsi="Times New Roman" w:cs="Times New Roman"/>
                <w:color w:val="000000"/>
                <w:sz w:val="20"/>
              </w:rPr>
              <w:t>$</w:t>
            </w:r>
          </w:p>
        </w:tc>
        <w:tc>
          <w:tcPr>
            <w:tcW w:w="119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53,950 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ind w:right="0"/>
              <w:jc w:val="right"/>
            </w:pPr>
          </w:p>
        </w:tc>
      </w:tr>
    </w:tbl>
    <w:p>
      <w:pPr>
        <w:keepNext/>
        <w:keepLines/>
        <w:pageBreakBefore w:val="0"/>
        <w:widowControl w:val="0"/>
        <w:numPr>
          <w:ilvl w:val="0"/>
          <w:numId w:val="0"/>
        </w:numPr>
        <w:spacing w:before="0" w:after="6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_______________</w:t>
      </w:r>
    </w:p>
    <w:p>
      <w:pPr>
        <w:keepNext w:val="0"/>
        <w:keepLines/>
        <w:pageBreakBefore w:val="0"/>
        <w:widowControl w:val="0"/>
        <w:numPr>
          <w:ilvl w:val="0"/>
          <w:numId w:val="71"/>
        </w:numPr>
        <w:spacing w:before="120" w:after="120" w:line="288" w:lineRule="auto"/>
        <w:ind w:left="36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 xml:space="preserve">In </w:t>
      </w:r>
      <w:r>
        <w:rPr>
          <w:rFonts w:ascii="Times New Roman" w:eastAsia="Times New Roman" w:hAnsi="Times New Roman" w:cs="Times New Roman"/>
          <w:sz w:val="18"/>
        </w:rPr>
        <w:t>2020</w:t>
      </w:r>
      <w:r>
        <w:rPr>
          <w:rFonts w:ascii="Times New Roman" w:eastAsia="Times New Roman" w:hAnsi="Times New Roman" w:cs="Times New Roman"/>
          <w:sz w:val="18"/>
        </w:rPr>
        <w:t xml:space="preserve">, Mr. Brady received </w:t>
      </w:r>
      <w:r>
        <w:rPr>
          <w:rFonts w:ascii="Times New Roman" w:eastAsia="Times New Roman" w:hAnsi="Times New Roman" w:cs="Times New Roman"/>
          <w:sz w:val="18"/>
        </w:rPr>
        <w:t>78,125</w:t>
      </w:r>
      <w:r>
        <w:rPr>
          <w:rFonts w:ascii="Times New Roman" w:eastAsia="Times New Roman" w:hAnsi="Times New Roman" w:cs="Times New Roman"/>
          <w:sz w:val="18"/>
        </w:rPr>
        <w:t xml:space="preserve"> shares of restricted stock originally valued at $25,000 upon issuance. The value of these shares was expensed as the shares vested in equal monthly installments from January through December 20</w:t>
      </w:r>
      <w:r>
        <w:rPr>
          <w:rFonts w:ascii="Times New Roman" w:eastAsia="Times New Roman" w:hAnsi="Times New Roman" w:cs="Times New Roman"/>
          <w:sz w:val="18"/>
        </w:rPr>
        <w:t>20</w:t>
      </w:r>
      <w:r>
        <w:rPr>
          <w:rFonts w:ascii="Times New Roman" w:eastAsia="Times New Roman" w:hAnsi="Times New Roman" w:cs="Times New Roman"/>
          <w:sz w:val="18"/>
        </w:rPr>
        <w:t>. Mr. Brady also received cash compensation of $2</w:t>
      </w:r>
      <w:r>
        <w:rPr>
          <w:rFonts w:ascii="Times New Roman" w:eastAsia="Times New Roman" w:hAnsi="Times New Roman" w:cs="Times New Roman"/>
          <w:sz w:val="18"/>
        </w:rPr>
        <w:t>4,950</w:t>
      </w:r>
      <w:r>
        <w:rPr>
          <w:rFonts w:ascii="Times New Roman" w:eastAsia="Times New Roman" w:hAnsi="Times New Roman" w:cs="Times New Roman"/>
          <w:sz w:val="18"/>
        </w:rPr>
        <w:t xml:space="preserve"> in accordance with the non-employee director compensation program effected in March 2013. </w:t>
      </w:r>
    </w:p>
    <w:p>
      <w:pPr>
        <w:keepNext w:val="0"/>
        <w:keepLines w:val="0"/>
        <w:pageBreakBefore w:val="0"/>
        <w:widowControl/>
        <w:numPr>
          <w:ilvl w:val="0"/>
          <w:numId w:val="71"/>
        </w:numPr>
        <w:spacing w:before="0" w:after="120" w:line="288" w:lineRule="auto"/>
        <w:ind w:left="36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 xml:space="preserve">In </w:t>
      </w:r>
      <w:r>
        <w:rPr>
          <w:rFonts w:ascii="Times New Roman" w:eastAsia="Times New Roman" w:hAnsi="Times New Roman" w:cs="Times New Roman"/>
          <w:sz w:val="18"/>
        </w:rPr>
        <w:t>2020</w:t>
      </w:r>
      <w:r>
        <w:rPr>
          <w:rFonts w:ascii="Times New Roman" w:eastAsia="Times New Roman" w:hAnsi="Times New Roman" w:cs="Times New Roman"/>
          <w:sz w:val="18"/>
        </w:rPr>
        <w:t xml:space="preserve">, Mr. Caron received </w:t>
      </w:r>
      <w:r>
        <w:rPr>
          <w:rFonts w:ascii="Times New Roman" w:eastAsia="Times New Roman" w:hAnsi="Times New Roman" w:cs="Times New Roman"/>
          <w:sz w:val="18"/>
        </w:rPr>
        <w:t>78,125</w:t>
      </w:r>
      <w:r>
        <w:rPr>
          <w:rFonts w:ascii="Times New Roman" w:eastAsia="Times New Roman" w:hAnsi="Times New Roman" w:cs="Times New Roman"/>
          <w:sz w:val="18"/>
        </w:rPr>
        <w:t xml:space="preserve"> shares of restricted stock originally valued at $25,000 upon issuance. The value of these shares was expensed as the shares vested in equal monthly installments from January through December 20</w:t>
      </w:r>
      <w:r>
        <w:rPr>
          <w:rFonts w:ascii="Times New Roman" w:eastAsia="Times New Roman" w:hAnsi="Times New Roman" w:cs="Times New Roman"/>
          <w:sz w:val="18"/>
        </w:rPr>
        <w:t>20</w:t>
      </w:r>
      <w:r>
        <w:rPr>
          <w:rFonts w:ascii="Times New Roman" w:eastAsia="Times New Roman" w:hAnsi="Times New Roman" w:cs="Times New Roman"/>
          <w:sz w:val="18"/>
        </w:rPr>
        <w:t xml:space="preserve">. Mr. Caron also received cash compensation of </w:t>
      </w:r>
      <w:r>
        <w:rPr>
          <w:rFonts w:ascii="Times New Roman" w:eastAsia="Times New Roman" w:hAnsi="Times New Roman" w:cs="Times New Roman"/>
          <w:sz w:val="18"/>
        </w:rPr>
        <w:t xml:space="preserve"> $2</w:t>
      </w:r>
      <w:r>
        <w:rPr>
          <w:rFonts w:ascii="Times New Roman" w:eastAsia="Times New Roman" w:hAnsi="Times New Roman" w:cs="Times New Roman"/>
          <w:sz w:val="18"/>
        </w:rPr>
        <w:t>8</w:t>
      </w:r>
      <w:r>
        <w:rPr>
          <w:rFonts w:ascii="Times New Roman" w:eastAsia="Times New Roman" w:hAnsi="Times New Roman" w:cs="Times New Roman"/>
          <w:sz w:val="18"/>
        </w:rPr>
        <w:t>,950</w:t>
      </w:r>
      <w:r>
        <w:rPr>
          <w:rFonts w:ascii="Times New Roman" w:eastAsia="Times New Roman" w:hAnsi="Times New Roman" w:cs="Times New Roman"/>
          <w:sz w:val="18"/>
        </w:rPr>
        <w:t xml:space="preserve"> in accordance with the non-employee director compensation program effected in March 2013. </w:t>
      </w:r>
    </w:p>
    <w:p>
      <w:pPr>
        <w:keepNext w:val="0"/>
        <w:keepLines w:val="0"/>
        <w:pageBreakBefore w:val="0"/>
        <w:widowControl/>
        <w:numPr>
          <w:ilvl w:val="0"/>
          <w:numId w:val="71"/>
        </w:numPr>
        <w:spacing w:before="0" w:after="120" w:line="288" w:lineRule="auto"/>
        <w:ind w:left="36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 xml:space="preserve">In </w:t>
      </w:r>
      <w:r>
        <w:rPr>
          <w:rFonts w:ascii="Times New Roman" w:eastAsia="Times New Roman" w:hAnsi="Times New Roman" w:cs="Times New Roman"/>
          <w:sz w:val="18"/>
        </w:rPr>
        <w:t>2020</w:t>
      </w:r>
      <w:r>
        <w:rPr>
          <w:rFonts w:ascii="Times New Roman" w:eastAsia="Times New Roman" w:hAnsi="Times New Roman" w:cs="Times New Roman"/>
          <w:sz w:val="18"/>
        </w:rPr>
        <w:t xml:space="preserve">, Mr. Gardner received </w:t>
      </w:r>
      <w:r>
        <w:rPr>
          <w:rFonts w:ascii="Times New Roman" w:eastAsia="Times New Roman" w:hAnsi="Times New Roman" w:cs="Times New Roman"/>
          <w:sz w:val="18"/>
        </w:rPr>
        <w:t>78,125</w:t>
      </w:r>
      <w:r>
        <w:rPr>
          <w:rFonts w:ascii="Times New Roman" w:eastAsia="Times New Roman" w:hAnsi="Times New Roman" w:cs="Times New Roman"/>
          <w:sz w:val="18"/>
        </w:rPr>
        <w:t xml:space="preserve"> shares of restricted stock originally valued at $25,000 upon issuance. The value of these shares was expensed as the shares vested in equal monthly installments from January through December 20</w:t>
      </w:r>
      <w:r>
        <w:rPr>
          <w:rFonts w:ascii="Times New Roman" w:eastAsia="Times New Roman" w:hAnsi="Times New Roman" w:cs="Times New Roman"/>
          <w:sz w:val="18"/>
        </w:rPr>
        <w:t>20</w:t>
      </w:r>
      <w:r>
        <w:rPr>
          <w:rFonts w:ascii="Times New Roman" w:eastAsia="Times New Roman" w:hAnsi="Times New Roman" w:cs="Times New Roman"/>
          <w:sz w:val="18"/>
        </w:rPr>
        <w:t xml:space="preserve">. Mr. Gardner also received cash compensation of </w:t>
      </w:r>
      <w:r>
        <w:rPr>
          <w:rFonts w:ascii="Times New Roman" w:eastAsia="Times New Roman" w:hAnsi="Times New Roman" w:cs="Times New Roman"/>
          <w:sz w:val="18"/>
        </w:rPr>
        <w:t>$24,950</w:t>
      </w:r>
      <w:r>
        <w:rPr>
          <w:rFonts w:ascii="Times New Roman" w:eastAsia="Times New Roman" w:hAnsi="Times New Roman" w:cs="Times New Roman"/>
          <w:sz w:val="18"/>
        </w:rPr>
        <w:t xml:space="preserve"> in accordance with the non-employee director compensation program effected in March 2013. </w:t>
      </w:r>
    </w:p>
    <w:p>
      <w:pPr>
        <w:keepNext w:val="0"/>
        <w:keepLines w:val="0"/>
        <w:pageBreakBefore w:val="0"/>
        <w:widowControl/>
        <w:numPr>
          <w:ilvl w:val="0"/>
          <w:numId w:val="71"/>
        </w:numPr>
        <w:spacing w:before="0" w:after="120" w:line="288" w:lineRule="auto"/>
        <w:ind w:left="36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 xml:space="preserve">In </w:t>
      </w:r>
      <w:r>
        <w:rPr>
          <w:rFonts w:ascii="Times New Roman" w:eastAsia="Times New Roman" w:hAnsi="Times New Roman" w:cs="Times New Roman"/>
          <w:sz w:val="18"/>
        </w:rPr>
        <w:t>2020</w:t>
      </w:r>
      <w:r>
        <w:rPr>
          <w:rFonts w:ascii="Times New Roman" w:eastAsia="Times New Roman" w:hAnsi="Times New Roman" w:cs="Times New Roman"/>
          <w:sz w:val="18"/>
        </w:rPr>
        <w:t xml:space="preserve">, Mr. Rua received </w:t>
      </w:r>
      <w:r>
        <w:rPr>
          <w:rFonts w:ascii="Times New Roman" w:eastAsia="Times New Roman" w:hAnsi="Times New Roman" w:cs="Times New Roman"/>
          <w:sz w:val="18"/>
        </w:rPr>
        <w:t>78,125</w:t>
      </w:r>
      <w:r>
        <w:rPr>
          <w:rFonts w:ascii="Times New Roman" w:eastAsia="Times New Roman" w:hAnsi="Times New Roman" w:cs="Times New Roman"/>
          <w:sz w:val="18"/>
        </w:rPr>
        <w:t xml:space="preserve"> shares of restricted stock originally valued at $25,000 upon issuance. The value of these shares was expensed as the shares vested in equal monthly installments from January through December 20</w:t>
      </w:r>
      <w:r>
        <w:rPr>
          <w:rFonts w:ascii="Times New Roman" w:eastAsia="Times New Roman" w:hAnsi="Times New Roman" w:cs="Times New Roman"/>
          <w:sz w:val="18"/>
        </w:rPr>
        <w:t>20</w:t>
      </w:r>
      <w:r>
        <w:rPr>
          <w:rFonts w:ascii="Times New Roman" w:eastAsia="Times New Roman" w:hAnsi="Times New Roman" w:cs="Times New Roman"/>
          <w:sz w:val="18"/>
        </w:rPr>
        <w:t xml:space="preserve">. Mr. Rua also received cash compensation of </w:t>
      </w:r>
      <w:r>
        <w:rPr>
          <w:rFonts w:ascii="Times New Roman" w:eastAsia="Times New Roman" w:hAnsi="Times New Roman" w:cs="Times New Roman"/>
          <w:sz w:val="18"/>
        </w:rPr>
        <w:t>$28,950</w:t>
      </w:r>
      <w:r>
        <w:rPr>
          <w:rFonts w:ascii="Times New Roman" w:eastAsia="Times New Roman" w:hAnsi="Times New Roman" w:cs="Times New Roman"/>
          <w:sz w:val="18"/>
        </w:rPr>
        <w:t xml:space="preserve"> in accordance with the non-employee director compensation program effected in March 2013.</w:t>
      </w:r>
    </w:p>
    <w:p>
      <w:pPr>
        <w:keepNext w:val="0"/>
        <w:keepLines w:val="0"/>
        <w:pageBreakBefore w:val="0"/>
        <w:widowControl/>
        <w:numPr>
          <w:ilvl w:val="0"/>
          <w:numId w:val="71"/>
        </w:numPr>
        <w:spacing w:before="0" w:after="0" w:line="288" w:lineRule="auto"/>
        <w:ind w:left="36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 xml:space="preserve">In </w:t>
      </w:r>
      <w:r>
        <w:rPr>
          <w:rFonts w:ascii="Times New Roman" w:eastAsia="Times New Roman" w:hAnsi="Times New Roman" w:cs="Times New Roman"/>
          <w:sz w:val="18"/>
        </w:rPr>
        <w:t>2020</w:t>
      </w:r>
      <w:r>
        <w:rPr>
          <w:rFonts w:ascii="Times New Roman" w:eastAsia="Times New Roman" w:hAnsi="Times New Roman" w:cs="Times New Roman"/>
          <w:sz w:val="18"/>
        </w:rPr>
        <w:t xml:space="preserve">, Mr. Venetucci received </w:t>
      </w:r>
      <w:r>
        <w:rPr>
          <w:rFonts w:ascii="Times New Roman" w:eastAsia="Times New Roman" w:hAnsi="Times New Roman" w:cs="Times New Roman"/>
          <w:sz w:val="18"/>
        </w:rPr>
        <w:t>78,125</w:t>
      </w:r>
      <w:r>
        <w:rPr>
          <w:rFonts w:ascii="Times New Roman" w:eastAsia="Times New Roman" w:hAnsi="Times New Roman" w:cs="Times New Roman"/>
          <w:sz w:val="18"/>
        </w:rPr>
        <w:t xml:space="preserve"> shares of restricted stock originally valued at $25,000 upon issuance. The value of these shares was expensed as the shares vested in equal monthly installments from January through December 20</w:t>
      </w:r>
      <w:r>
        <w:rPr>
          <w:rFonts w:ascii="Times New Roman" w:eastAsia="Times New Roman" w:hAnsi="Times New Roman" w:cs="Times New Roman"/>
          <w:sz w:val="18"/>
        </w:rPr>
        <w:t>20</w:t>
      </w:r>
      <w:r>
        <w:rPr>
          <w:rFonts w:ascii="Times New Roman" w:eastAsia="Times New Roman" w:hAnsi="Times New Roman" w:cs="Times New Roman"/>
          <w:sz w:val="18"/>
        </w:rPr>
        <w:t xml:space="preserve">. Mr. Rua also received cash compensation of </w:t>
      </w:r>
      <w:r>
        <w:rPr>
          <w:rFonts w:ascii="Times New Roman" w:eastAsia="Times New Roman" w:hAnsi="Times New Roman" w:cs="Times New Roman"/>
          <w:sz w:val="18"/>
        </w:rPr>
        <w:t>$28,950</w:t>
      </w:r>
      <w:r>
        <w:rPr>
          <w:rFonts w:ascii="Times New Roman" w:eastAsia="Times New Roman" w:hAnsi="Times New Roman" w:cs="Times New Roman"/>
          <w:sz w:val="18"/>
        </w:rPr>
        <w:t xml:space="preserve"> in accordance with the non-employee director compensation program effected in March 2013.</w:t>
      </w:r>
    </w:p>
    <w:p>
      <w:pPr>
        <w:keepNext w:val="0"/>
        <w:keepLines w:val="0"/>
        <w:pageBreakBefore w:val="0"/>
        <w:widowControl/>
        <w:numPr>
          <w:ilvl w:val="0"/>
          <w:numId w:val="0"/>
        </w:numPr>
        <w:spacing w:before="0" w:after="60" w:line="288" w:lineRule="auto"/>
        <w:ind w:left="-36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_________________</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2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Effective March 1, 2013,</w:t>
      </w:r>
      <w:r>
        <w:rPr>
          <w:rFonts w:ascii="Times New Roman" w:eastAsia="Times New Roman" w:hAnsi="Times New Roman" w:cs="Times New Roman"/>
          <w:sz w:val="20"/>
        </w:rPr>
        <w:t xml:space="preserve"> the Board implemented a compensation program </w:t>
      </w:r>
      <w:r>
        <w:rPr>
          <w:rFonts w:ascii="Times New Roman" w:eastAsia="Times New Roman" w:hAnsi="Times New Roman" w:cs="Times New Roman"/>
          <w:sz w:val="20"/>
        </w:rPr>
        <w:t>that entitles each serving non-employee director to receive the following compensation:</w:t>
      </w:r>
    </w:p>
    <w:p>
      <w:pPr>
        <w:keepNext w:val="0"/>
        <w:keepLines w:val="0"/>
        <w:pageBreakBefore w:val="0"/>
        <w:widowControl/>
        <w:numPr>
          <w:ilvl w:val="0"/>
          <w:numId w:val="72"/>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An annual board retainer fee of $25,000 to be paid in restricted stock each calendar year earned equally over the year of service. </w:t>
      </w:r>
    </w:p>
    <w:p>
      <w:pPr>
        <w:keepNext w:val="0"/>
        <w:keepLines w:val="0"/>
        <w:pageBreakBefore w:val="0"/>
        <w:widowControl/>
        <w:numPr>
          <w:ilvl w:val="0"/>
          <w:numId w:val="72"/>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A cash retainer fee of $20,000 per year, payable in cash or restricted stock.</w:t>
      </w:r>
    </w:p>
    <w:p>
      <w:pPr>
        <w:keepNext w:val="0"/>
        <w:keepLines w:val="0"/>
        <w:pageBreakBefore w:val="0"/>
        <w:widowControl/>
        <w:numPr>
          <w:ilvl w:val="0"/>
          <w:numId w:val="72"/>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Reimbursement of actual and necessary travel and related expenses in connection with attending in-person Board meetings.</w:t>
      </w:r>
    </w:p>
    <w:p>
      <w:pPr>
        <w:keepNext w:val="0"/>
        <w:keepLines w:val="0"/>
        <w:pageBreakBefore w:val="0"/>
        <w:widowControl/>
        <w:numPr>
          <w:ilvl w:val="0"/>
          <w:numId w:val="72"/>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A $1,000 per meeting fee for all meetings of the Board, subject to a $6,000 annual cap.</w:t>
      </w:r>
    </w:p>
    <w:p>
      <w:pPr>
        <w:keepNext w:val="0"/>
        <w:keepLines w:val="0"/>
        <w:pageBreakBefore w:val="0"/>
        <w:widowControl/>
        <w:numPr>
          <w:ilvl w:val="0"/>
          <w:numId w:val="72"/>
        </w:numPr>
        <w:spacing w:before="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A $1,000 per Audit Committee meeting fee, subject to a $4,000 annual cap.</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Directors who are also employees of the Company are not paid for their service as directors.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48" w:name="Section49"/>
      <w:bookmarkEnd w:id="48"/>
      <w:r>
        <w:rPr>
          <w:rFonts w:ascii="Times New Roman" w:eastAsia="Times New Roman" w:hAnsi="Times New Roman" w:cs="Times New Roman"/>
          <w:b/>
          <w:sz w:val="20"/>
        </w:rPr>
        <w:t>ITEM 12 - SECURITY OWNERSHIP OF CERTAIN BENEFICIAL OWNERS AND MANAGEMENT AND RELATED STOCKHOLDER MATTERS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Security Ownership of Certain Beneficial Owners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20"/>
        </w:rPr>
        <w:t xml:space="preserve">The following table presents information with respect to the beneficial ownership of our common stock as of </w:t>
      </w:r>
      <w:r>
        <w:rPr>
          <w:rFonts w:ascii="Times New Roman" w:eastAsia="Times New Roman" w:hAnsi="Times New Roman" w:cs="Times New Roman"/>
          <w:sz w:val="20"/>
        </w:rPr>
        <w:t>March 26, 2021</w:t>
      </w:r>
      <w:r>
        <w:rPr>
          <w:rFonts w:ascii="Times New Roman" w:eastAsia="Times New Roman" w:hAnsi="Times New Roman" w:cs="Times New Roman"/>
          <w:sz w:val="20"/>
        </w:rPr>
        <w:t xml:space="preserve"> by:</w:t>
      </w:r>
    </w:p>
    <w:p>
      <w:pPr>
        <w:keepNext w:val="0"/>
        <w:keepLines w:val="0"/>
        <w:pageBreakBefore w:val="0"/>
        <w:widowControl/>
        <w:numPr>
          <w:ilvl w:val="0"/>
          <w:numId w:val="73"/>
        </w:numPr>
        <w:spacing w:before="12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each person or group of affiliated persons, known to us to beneficially own more than 5% of our outstanding common stock (“5% holders”);</w:t>
      </w:r>
    </w:p>
    <w:p>
      <w:pPr>
        <w:keepNext w:val="0"/>
        <w:keepLines w:val="0"/>
        <w:pageBreakBefore w:val="0"/>
        <w:widowControl/>
        <w:numPr>
          <w:ilvl w:val="0"/>
          <w:numId w:val="73"/>
        </w:numPr>
        <w:spacing w:before="12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each of our directors and named executive officers; and,</w:t>
      </w:r>
    </w:p>
    <w:p>
      <w:pPr>
        <w:keepNext w:val="0"/>
        <w:keepLines w:val="0"/>
        <w:pageBreakBefore w:val="0"/>
        <w:widowControl/>
        <w:numPr>
          <w:ilvl w:val="0"/>
          <w:numId w:val="73"/>
        </w:numPr>
        <w:spacing w:before="120" w:after="0" w:line="28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all of our directors and executive officers as a group.</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20"/>
        </w:rPr>
        <w:t xml:space="preserve">The number of shares of our common stock owned by each person is determined under the rules of the SEC. Under these rules, beneficial ownership includes any shares as to which the individual has sole or shared voting power or investment power and also any shares that the individual has the right to acquire within 60 days after </w:t>
      </w:r>
      <w:r>
        <w:rPr>
          <w:rFonts w:ascii="Times New Roman" w:eastAsia="Times New Roman" w:hAnsi="Times New Roman" w:cs="Times New Roman"/>
          <w:sz w:val="20"/>
        </w:rPr>
        <w:t>March 26, 2021</w:t>
      </w:r>
      <w:r>
        <w:rPr>
          <w:rFonts w:ascii="Times New Roman" w:eastAsia="Times New Roman" w:hAnsi="Times New Roman" w:cs="Times New Roman"/>
          <w:sz w:val="20"/>
        </w:rPr>
        <w:t xml:space="preserve">, or by </w:t>
      </w:r>
      <w:r>
        <w:rPr>
          <w:rFonts w:ascii="Times New Roman" w:eastAsia="Times New Roman" w:hAnsi="Times New Roman" w:cs="Times New Roman"/>
          <w:sz w:val="20"/>
        </w:rPr>
        <w:t>May 25, 2021</w:t>
      </w:r>
      <w:r>
        <w:rPr>
          <w:rFonts w:ascii="Times New Roman" w:eastAsia="Times New Roman" w:hAnsi="Times New Roman" w:cs="Times New Roman"/>
          <w:sz w:val="20"/>
        </w:rPr>
        <w:t xml:space="preserve">, through the conversion of a security or other right. Shares not outstanding but deemed beneficially owned by virtue of the right of a person to acquire those shares are treated as outstanding only for purposes of determining the number and percent of shares of common stock owned by such person or group. We are not aware of any 5% holders of our common stock as of </w:t>
      </w:r>
      <w:r>
        <w:rPr>
          <w:rFonts w:ascii="Times New Roman" w:eastAsia="Times New Roman" w:hAnsi="Times New Roman" w:cs="Times New Roman"/>
          <w:sz w:val="20"/>
        </w:rPr>
        <w:t>March 26, 2021</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Unless otherwise indicated, we believe that all persons named in the following table have sole voting and investment power with respect to all shares of common stock beneficially owned by them and the address of each person named in the following table is c/o IZEA Worldwide, Inc., 501 N. Orlando Avenue, Suite 313, PMB 247 Winter Park, Florida 32789.</w:t>
      </w:r>
    </w:p>
    <w:tbl>
      <w:tblPr>
        <w:tblW w:w="1045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25"/>
        <w:gridCol w:w="75"/>
        <w:gridCol w:w="1565"/>
        <w:gridCol w:w="100"/>
        <w:gridCol w:w="75"/>
        <w:gridCol w:w="1805"/>
        <w:gridCol w:w="100"/>
      </w:tblGrid>
      <w:tr>
        <w:tblPrEx>
          <w:tblW w:w="1045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40"/>
        </w:trPr>
        <w:tc>
          <w:tcPr>
            <w:tcW w:w="652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18"/>
              </w:rPr>
              <w:t>Name of Beneficial Owner</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6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b/>
                <w:color w:val="000000"/>
                <w:sz w:val="18"/>
              </w:rPr>
              <w:t>Shares Beneficially Owned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05" w:type="dxa"/>
            <w:gridSpan w:val="2"/>
            <w:tcBorders>
              <w:top w:val="nil"/>
              <w:left w:val="nil"/>
              <w:bottom w:val="single" w:sz="8" w:space="0" w:color="000000"/>
              <w:right w:val="nil"/>
            </w:tcBorders>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center"/>
              <w:outlineLvl w:val="9"/>
              <w:rPr>
                <w:rFonts w:ascii="Times New Roman" w:eastAsia="Times New Roman" w:hAnsi="Times New Roman" w:cs="Times New Roman"/>
                <w:b/>
                <w:sz w:val="18"/>
              </w:rPr>
            </w:pPr>
            <w:r>
              <w:rPr>
                <w:rFonts w:ascii="Times New Roman" w:eastAsia="Times New Roman" w:hAnsi="Times New Roman" w:cs="Times New Roman"/>
                <w:b/>
                <w:sz w:val="18"/>
              </w:rPr>
              <w:t xml:space="preserve"> Percentage of Common Stock Beneficially Owned </w:t>
            </w:r>
            <w:r>
              <w:rPr>
                <w:rFonts w:ascii="Times New Roman" w:eastAsia="Times New Roman" w:hAnsi="Times New Roman" w:cs="Times New Roman"/>
                <w:b/>
                <w:sz w:val="18"/>
                <w:vertAlign w:val="superscript"/>
              </w:rPr>
              <w:t>(1)</w:t>
            </w:r>
          </w:p>
        </w:tc>
      </w:tr>
      <w:tr>
        <w:tblPrEx>
          <w:tblW w:w="10450" w:type="dxa"/>
          <w:tblInd w:w="0" w:type="dxa"/>
          <w:tblCellMar>
            <w:left w:w="108" w:type="dxa"/>
            <w:right w:w="108" w:type="dxa"/>
          </w:tblCellMar>
        </w:tblPrEx>
        <w:trPr>
          <w:cantSplit/>
          <w:trHeight w:hRule="exact" w:val="285"/>
        </w:trPr>
        <w:tc>
          <w:tcPr>
            <w:tcW w:w="65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18"/>
                <w:u w:val="single"/>
              </w:rPr>
              <w:t>Executive Officers and Directors: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6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0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450" w:type="dxa"/>
          <w:tblInd w:w="0" w:type="dxa"/>
          <w:tblCellMar>
            <w:left w:w="108" w:type="dxa"/>
            <w:right w:w="108" w:type="dxa"/>
          </w:tblCellMar>
        </w:tblPrEx>
        <w:trPr>
          <w:cantSplit/>
          <w:trHeight w:hRule="exact" w:val="285"/>
        </w:trPr>
        <w:tc>
          <w:tcPr>
            <w:tcW w:w="6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Edward H. (Ted) Murphy </w:t>
            </w:r>
            <w:r>
              <w:rPr>
                <w:rFonts w:ascii="Times New Roman" w:eastAsia="Times New Roman" w:hAnsi="Times New Roman" w:cs="Times New Roman"/>
                <w:sz w:val="20"/>
                <w:vertAlign w:val="superscript"/>
              </w:rPr>
              <w:t>(2)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6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1,457,809 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50" w:type="dxa"/>
          <w:tblInd w:w="0" w:type="dxa"/>
          <w:tblCellMar>
            <w:left w:w="108" w:type="dxa"/>
            <w:right w:w="108" w:type="dxa"/>
          </w:tblCellMar>
        </w:tblPrEx>
        <w:trPr>
          <w:cantSplit/>
          <w:trHeight w:hRule="exact" w:val="285"/>
        </w:trPr>
        <w:tc>
          <w:tcPr>
            <w:tcW w:w="6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Ryan S. Schram </w:t>
            </w:r>
            <w:r>
              <w:rPr>
                <w:rFonts w:ascii="Times New Roman" w:eastAsia="Times New Roman" w:hAnsi="Times New Roman" w:cs="Times New Roman"/>
                <w:sz w:val="20"/>
                <w:vertAlign w:val="superscript"/>
              </w:rPr>
              <w:t>(3)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6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200,063 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05" w:type="dxa"/>
            <w:gridSpan w:val="2"/>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w:t>
            </w:r>
          </w:p>
        </w:tc>
      </w:tr>
      <w:tr>
        <w:tblPrEx>
          <w:tblW w:w="10450" w:type="dxa"/>
          <w:tblInd w:w="0" w:type="dxa"/>
          <w:tblCellMar>
            <w:left w:w="108" w:type="dxa"/>
            <w:right w:w="108" w:type="dxa"/>
          </w:tblCellMar>
        </w:tblPrEx>
        <w:trPr>
          <w:cantSplit/>
          <w:trHeight w:hRule="exact" w:val="285"/>
        </w:trPr>
        <w:tc>
          <w:tcPr>
            <w:tcW w:w="6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LeAnn C. Hitchcock </w:t>
            </w:r>
            <w:r>
              <w:rPr>
                <w:rFonts w:ascii="Times New Roman" w:eastAsia="Times New Roman" w:hAnsi="Times New Roman" w:cs="Times New Roman"/>
                <w:sz w:val="20"/>
                <w:vertAlign w:val="superscript"/>
              </w:rPr>
              <w:t>(4)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6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12,557 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05" w:type="dxa"/>
            <w:gridSpan w:val="2"/>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w:t>
            </w:r>
          </w:p>
        </w:tc>
      </w:tr>
      <w:tr>
        <w:tblPrEx>
          <w:tblW w:w="10450" w:type="dxa"/>
          <w:tblInd w:w="0" w:type="dxa"/>
          <w:tblCellMar>
            <w:left w:w="108" w:type="dxa"/>
            <w:right w:w="108" w:type="dxa"/>
          </w:tblCellMar>
        </w:tblPrEx>
        <w:trPr>
          <w:cantSplit/>
          <w:trHeight w:hRule="exact" w:val="285"/>
        </w:trPr>
        <w:tc>
          <w:tcPr>
            <w:tcW w:w="6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Brian W. Brady </w:t>
            </w:r>
            <w:r>
              <w:rPr>
                <w:rFonts w:ascii="Times New Roman" w:eastAsia="Times New Roman" w:hAnsi="Times New Roman" w:cs="Times New Roman"/>
                <w:sz w:val="20"/>
                <w:vertAlign w:val="superscript"/>
              </w:rPr>
              <w:t>(</w:t>
            </w:r>
            <w:r>
              <w:rPr>
                <w:rFonts w:ascii="Times New Roman" w:eastAsia="Times New Roman" w:hAnsi="Times New Roman" w:cs="Times New Roman"/>
                <w:sz w:val="20"/>
                <w:vertAlign w:val="superscript"/>
              </w:rPr>
              <w:t>5</w:t>
            </w:r>
            <w:r>
              <w:rPr>
                <w:rFonts w:ascii="Times New Roman" w:eastAsia="Times New Roman" w:hAnsi="Times New Roman" w:cs="Times New Roman"/>
                <w:sz w:val="20"/>
                <w:vertAlign w:val="superscript"/>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6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1,532,807 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8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w:t>
            </w:r>
          </w:p>
        </w:tc>
      </w:tr>
      <w:tr>
        <w:tblPrEx>
          <w:tblW w:w="10450" w:type="dxa"/>
          <w:tblInd w:w="0" w:type="dxa"/>
          <w:tblCellMar>
            <w:left w:w="108" w:type="dxa"/>
            <w:right w:w="108" w:type="dxa"/>
          </w:tblCellMar>
        </w:tblPrEx>
        <w:trPr>
          <w:cantSplit/>
          <w:trHeight w:hRule="exact" w:val="285"/>
        </w:trPr>
        <w:tc>
          <w:tcPr>
            <w:tcW w:w="6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John H. Caron </w:t>
            </w:r>
            <w:r>
              <w:rPr>
                <w:rFonts w:ascii="Times New Roman" w:eastAsia="Times New Roman" w:hAnsi="Times New Roman" w:cs="Times New Roman"/>
                <w:sz w:val="20"/>
                <w:vertAlign w:val="superscript"/>
              </w:rPr>
              <w:t>(</w:t>
            </w:r>
            <w:r>
              <w:rPr>
                <w:rFonts w:ascii="Times New Roman" w:eastAsia="Times New Roman" w:hAnsi="Times New Roman" w:cs="Times New Roman"/>
                <w:sz w:val="20"/>
                <w:vertAlign w:val="superscript"/>
              </w:rPr>
              <w:t>6</w:t>
            </w:r>
            <w:r>
              <w:rPr>
                <w:rFonts w:ascii="Times New Roman" w:eastAsia="Times New Roman" w:hAnsi="Times New Roman" w:cs="Times New Roman"/>
                <w:sz w:val="20"/>
                <w:vertAlign w:val="superscript"/>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6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141,286 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05" w:type="dxa"/>
            <w:gridSpan w:val="2"/>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w:t>
            </w:r>
          </w:p>
        </w:tc>
      </w:tr>
      <w:tr>
        <w:tblPrEx>
          <w:tblW w:w="10450" w:type="dxa"/>
          <w:tblInd w:w="0" w:type="dxa"/>
          <w:tblCellMar>
            <w:left w:w="108" w:type="dxa"/>
            <w:right w:w="108" w:type="dxa"/>
          </w:tblCellMar>
        </w:tblPrEx>
        <w:trPr>
          <w:cantSplit/>
          <w:trHeight w:hRule="exact" w:val="285"/>
        </w:trPr>
        <w:tc>
          <w:tcPr>
            <w:tcW w:w="6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Lindsay A. Gardner </w:t>
            </w:r>
            <w:r>
              <w:rPr>
                <w:rFonts w:ascii="Times New Roman" w:eastAsia="Times New Roman" w:hAnsi="Times New Roman" w:cs="Times New Roman"/>
                <w:sz w:val="20"/>
                <w:vertAlign w:val="superscript"/>
              </w:rPr>
              <w:t>(</w:t>
            </w:r>
            <w:r>
              <w:rPr>
                <w:rFonts w:ascii="Times New Roman" w:eastAsia="Times New Roman" w:hAnsi="Times New Roman" w:cs="Times New Roman"/>
                <w:sz w:val="20"/>
                <w:vertAlign w:val="superscript"/>
              </w:rPr>
              <w:t>7</w:t>
            </w:r>
            <w:r>
              <w:rPr>
                <w:rFonts w:ascii="Times New Roman" w:eastAsia="Times New Roman" w:hAnsi="Times New Roman" w:cs="Times New Roman"/>
                <w:sz w:val="20"/>
                <w:vertAlign w:val="superscript"/>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6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201,877 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05" w:type="dxa"/>
            <w:gridSpan w:val="2"/>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w:t>
            </w:r>
          </w:p>
        </w:tc>
      </w:tr>
      <w:tr>
        <w:tblPrEx>
          <w:tblW w:w="10450" w:type="dxa"/>
          <w:tblInd w:w="0" w:type="dxa"/>
          <w:tblCellMar>
            <w:left w:w="108" w:type="dxa"/>
            <w:right w:w="108" w:type="dxa"/>
          </w:tblCellMar>
        </w:tblPrEx>
        <w:trPr>
          <w:cantSplit/>
          <w:trHeight w:hRule="exact" w:val="285"/>
        </w:trPr>
        <w:tc>
          <w:tcPr>
            <w:tcW w:w="6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Jill M. Golder</w:t>
            </w:r>
            <w:r>
              <w:rPr>
                <w:rFonts w:ascii="Times New Roman" w:eastAsia="Times New Roman" w:hAnsi="Times New Roman" w:cs="Times New Roman"/>
                <w:sz w:val="20"/>
              </w:rPr>
              <w:t xml:space="preserve"> </w:t>
            </w:r>
            <w:r>
              <w:rPr>
                <w:rFonts w:ascii="Times New Roman" w:eastAsia="Times New Roman" w:hAnsi="Times New Roman" w:cs="Times New Roman"/>
                <w:sz w:val="20"/>
                <w:vertAlign w:val="superscript"/>
              </w:rPr>
              <w:t>(</w:t>
            </w:r>
            <w:r>
              <w:rPr>
                <w:rFonts w:ascii="Times New Roman" w:eastAsia="Times New Roman" w:hAnsi="Times New Roman" w:cs="Times New Roman"/>
                <w:sz w:val="20"/>
                <w:vertAlign w:val="superscript"/>
              </w:rPr>
              <w:t>8</w:t>
            </w:r>
            <w:r>
              <w:rPr>
                <w:rFonts w:ascii="Times New Roman" w:eastAsia="Times New Roman" w:hAnsi="Times New Roman" w:cs="Times New Roman"/>
                <w:sz w:val="20"/>
                <w:vertAlign w:val="superscript"/>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6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20,143 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05" w:type="dxa"/>
            <w:gridSpan w:val="2"/>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w:t>
            </w:r>
          </w:p>
        </w:tc>
      </w:tr>
      <w:tr>
        <w:tblPrEx>
          <w:tblW w:w="10450" w:type="dxa"/>
          <w:tblInd w:w="0" w:type="dxa"/>
          <w:tblCellMar>
            <w:left w:w="108" w:type="dxa"/>
            <w:right w:w="108" w:type="dxa"/>
          </w:tblCellMar>
        </w:tblPrEx>
        <w:trPr>
          <w:cantSplit/>
          <w:trHeight w:hRule="exact" w:val="285"/>
        </w:trPr>
        <w:tc>
          <w:tcPr>
            <w:tcW w:w="6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Daniel R. Rua </w:t>
            </w:r>
            <w:r>
              <w:rPr>
                <w:rFonts w:ascii="Times New Roman" w:eastAsia="Times New Roman" w:hAnsi="Times New Roman" w:cs="Times New Roman"/>
                <w:sz w:val="20"/>
                <w:vertAlign w:val="superscript"/>
              </w:rPr>
              <w:t>(</w:t>
            </w:r>
            <w:r>
              <w:rPr>
                <w:rFonts w:ascii="Times New Roman" w:eastAsia="Times New Roman" w:hAnsi="Times New Roman" w:cs="Times New Roman"/>
                <w:sz w:val="20"/>
                <w:vertAlign w:val="superscript"/>
              </w:rPr>
              <w:t>9</w:t>
            </w:r>
            <w:r>
              <w:rPr>
                <w:rFonts w:ascii="Times New Roman" w:eastAsia="Times New Roman" w:hAnsi="Times New Roman" w:cs="Times New Roman"/>
                <w:sz w:val="20"/>
                <w:vertAlign w:val="superscript"/>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6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136,953 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905" w:type="dxa"/>
            <w:gridSpan w:val="2"/>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w:t>
            </w:r>
          </w:p>
        </w:tc>
      </w:tr>
      <w:tr>
        <w:tblPrEx>
          <w:tblW w:w="10450" w:type="dxa"/>
          <w:tblInd w:w="0" w:type="dxa"/>
          <w:tblCellMar>
            <w:left w:w="108" w:type="dxa"/>
            <w:right w:w="108" w:type="dxa"/>
          </w:tblCellMar>
        </w:tblPrEx>
        <w:trPr>
          <w:cantSplit/>
          <w:trHeight w:hRule="exact" w:val="285"/>
        </w:trPr>
        <w:tc>
          <w:tcPr>
            <w:tcW w:w="6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Patrick J. Venetucci </w:t>
            </w:r>
            <w:r>
              <w:rPr>
                <w:rFonts w:ascii="Times New Roman" w:eastAsia="Times New Roman" w:hAnsi="Times New Roman" w:cs="Times New Roman"/>
                <w:sz w:val="20"/>
                <w:vertAlign w:val="superscript"/>
              </w:rPr>
              <w:t>(1</w:t>
            </w:r>
            <w:r>
              <w:rPr>
                <w:rFonts w:ascii="Times New Roman" w:eastAsia="Times New Roman" w:hAnsi="Times New Roman" w:cs="Times New Roman"/>
                <w:sz w:val="20"/>
                <w:vertAlign w:val="superscript"/>
              </w:rPr>
              <w:t>0</w:t>
            </w:r>
            <w:r>
              <w:rPr>
                <w:rFonts w:ascii="Times New Roman" w:eastAsia="Times New Roman" w:hAnsi="Times New Roman" w:cs="Times New Roman"/>
                <w:sz w:val="20"/>
                <w:vertAlign w:val="superscript"/>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6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103,137 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905" w:type="dxa"/>
            <w:gridSpan w:val="2"/>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w:t>
            </w:r>
          </w:p>
        </w:tc>
      </w:tr>
      <w:tr>
        <w:tblPrEx>
          <w:tblW w:w="10450" w:type="dxa"/>
          <w:tblInd w:w="0" w:type="dxa"/>
          <w:tblCellMar>
            <w:left w:w="108" w:type="dxa"/>
            <w:right w:w="108" w:type="dxa"/>
          </w:tblCellMar>
        </w:tblPrEx>
        <w:trPr>
          <w:cantSplit/>
          <w:trHeight w:hRule="exact" w:val="300"/>
        </w:trPr>
        <w:tc>
          <w:tcPr>
            <w:tcW w:w="652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All executive officers and directors as a group (</w:t>
            </w:r>
            <w:r>
              <w:rPr>
                <w:rFonts w:ascii="Times New Roman" w:eastAsia="Times New Roman" w:hAnsi="Times New Roman" w:cs="Times New Roman"/>
                <w:sz w:val="20"/>
              </w:rPr>
              <w:t>9</w:t>
            </w:r>
            <w:r>
              <w:rPr>
                <w:rFonts w:ascii="Times New Roman" w:eastAsia="Times New Roman" w:hAnsi="Times New Roman" w:cs="Times New Roman"/>
                <w:sz w:val="20"/>
              </w:rPr>
              <w:t xml:space="preserve"> persons) </w:t>
            </w:r>
            <w:r>
              <w:rPr>
                <w:rFonts w:ascii="Times New Roman" w:eastAsia="Times New Roman" w:hAnsi="Times New Roman" w:cs="Times New Roman"/>
                <w:sz w:val="20"/>
                <w:vertAlign w:val="superscript"/>
              </w:rPr>
              <w:t>(1</w:t>
            </w:r>
            <w:r>
              <w:rPr>
                <w:rFonts w:ascii="Times New Roman" w:eastAsia="Times New Roman" w:hAnsi="Times New Roman" w:cs="Times New Roman"/>
                <w:sz w:val="20"/>
                <w:vertAlign w:val="superscript"/>
              </w:rPr>
              <w:t>1</w:t>
            </w:r>
            <w:r>
              <w:rPr>
                <w:rFonts w:ascii="Times New Roman" w:eastAsia="Times New Roman" w:hAnsi="Times New Roman" w:cs="Times New Roman"/>
                <w:sz w:val="20"/>
                <w:vertAlign w:val="superscript"/>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56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3,806,632 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805"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40" w:lineRule="auto"/>
              <w:jc w:val="right"/>
            </w:pPr>
            <w:r>
              <w:rPr>
                <w:rFonts w:ascii="Times New Roman" w:eastAsia="Times New Roman" w:hAnsi="Times New Roman" w:cs="Times New Roman"/>
                <w:color w:val="000000"/>
                <w:sz w:val="20"/>
              </w:rPr>
              <w:t>%</w:t>
            </w:r>
          </w:p>
        </w:tc>
      </w:tr>
    </w:tbl>
    <w:p>
      <w:pPr>
        <w:keepNext w:val="0"/>
        <w:keepLines w:val="0"/>
        <w:pageBreakBefore w:val="0"/>
        <w:widowControl/>
        <w:numPr>
          <w:ilvl w:val="0"/>
          <w:numId w:val="0"/>
        </w:numPr>
        <w:spacing w:before="120" w:after="60" w:line="28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20"/>
        </w:rPr>
        <w:t>_______________</w:t>
      </w:r>
    </w:p>
    <w:p>
      <w:pPr>
        <w:keepNext w:val="0"/>
        <w:keepLines w:val="0"/>
        <w:pageBreakBefore w:val="0"/>
        <w:widowControl/>
        <w:numPr>
          <w:ilvl w:val="0"/>
          <w:numId w:val="0"/>
        </w:numPr>
        <w:spacing w:before="120" w:after="60" w:line="28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  Less than 1 percent.</w:t>
      </w:r>
    </w:p>
    <w:p>
      <w:pPr>
        <w:keepNext w:val="0"/>
        <w:keepLines w:val="0"/>
        <w:pageBreakBefore w:val="0"/>
        <w:widowControl/>
        <w:numPr>
          <w:ilvl w:val="0"/>
          <w:numId w:val="78"/>
        </w:numPr>
        <w:tabs>
          <w:tab w:val="left" w:pos="360"/>
        </w:tabs>
        <w:spacing w:before="120" w:after="0" w:line="288" w:lineRule="auto"/>
        <w:ind w:left="36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 xml:space="preserve">Applicable percentage of ownership for each holder is based on </w:t>
      </w:r>
      <w:r>
        <w:rPr>
          <w:rFonts w:ascii="Times New Roman" w:eastAsia="Times New Roman" w:hAnsi="Times New Roman" w:cs="Times New Roman"/>
          <w:sz w:val="18"/>
        </w:rPr>
        <w:t>59,129,390</w:t>
      </w:r>
      <w:r>
        <w:rPr>
          <w:rFonts w:ascii="Times New Roman" w:eastAsia="Times New Roman" w:hAnsi="Times New Roman" w:cs="Times New Roman"/>
          <w:sz w:val="18"/>
        </w:rPr>
        <w:t xml:space="preserve"> shares outstanding as of </w:t>
      </w:r>
      <w:r>
        <w:rPr>
          <w:rFonts w:ascii="Times New Roman" w:eastAsia="Times New Roman" w:hAnsi="Times New Roman" w:cs="Times New Roman"/>
          <w:sz w:val="18"/>
        </w:rPr>
        <w:t>March 26, 2021</w:t>
      </w:r>
      <w:r>
        <w:rPr>
          <w:rFonts w:ascii="Times New Roman" w:eastAsia="Times New Roman" w:hAnsi="Times New Roman" w:cs="Times New Roman"/>
          <w:sz w:val="18"/>
        </w:rPr>
        <w:t xml:space="preserve">. </w:t>
      </w:r>
    </w:p>
    <w:p>
      <w:pPr>
        <w:keepNext w:val="0"/>
        <w:keepLines w:val="0"/>
        <w:pageBreakBefore w:val="0"/>
        <w:widowControl/>
        <w:numPr>
          <w:ilvl w:val="0"/>
          <w:numId w:val="78"/>
        </w:numPr>
        <w:tabs>
          <w:tab w:val="left" w:pos="360"/>
        </w:tabs>
        <w:spacing w:before="120" w:after="0" w:line="288" w:lineRule="auto"/>
        <w:ind w:left="36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 xml:space="preserve">Includes </w:t>
      </w:r>
      <w:r>
        <w:rPr>
          <w:rFonts w:ascii="Times New Roman" w:eastAsia="Times New Roman" w:hAnsi="Times New Roman" w:cs="Times New Roman"/>
          <w:sz w:val="18"/>
        </w:rPr>
        <w:t>526,868</w:t>
      </w:r>
      <w:r>
        <w:rPr>
          <w:rFonts w:ascii="Times New Roman" w:eastAsia="Times New Roman" w:hAnsi="Times New Roman" w:cs="Times New Roman"/>
          <w:sz w:val="18"/>
        </w:rPr>
        <w:t xml:space="preserve"> outstanding shares of common stock, exercisable stock options to purchase </w:t>
      </w:r>
      <w:r>
        <w:rPr>
          <w:rFonts w:ascii="Times New Roman" w:eastAsia="Times New Roman" w:hAnsi="Times New Roman" w:cs="Times New Roman"/>
          <w:sz w:val="18"/>
        </w:rPr>
        <w:t>8</w:t>
      </w:r>
      <w:r>
        <w:rPr>
          <w:rFonts w:ascii="Times New Roman" w:eastAsia="Times New Roman" w:hAnsi="Times New Roman" w:cs="Times New Roman"/>
          <w:sz w:val="18"/>
        </w:rPr>
        <w:t>8</w:t>
      </w:r>
      <w:r>
        <w:rPr>
          <w:rFonts w:ascii="Times New Roman" w:eastAsia="Times New Roman" w:hAnsi="Times New Roman" w:cs="Times New Roman"/>
          <w:sz w:val="18"/>
        </w:rPr>
        <w:t>9,376</w:t>
      </w:r>
      <w:r>
        <w:rPr>
          <w:rFonts w:ascii="Times New Roman" w:eastAsia="Times New Roman" w:hAnsi="Times New Roman" w:cs="Times New Roman"/>
          <w:sz w:val="18"/>
        </w:rPr>
        <w:t xml:space="preserve"> shares of common stock, and </w:t>
      </w:r>
      <w:r>
        <w:rPr>
          <w:rFonts w:ascii="Times New Roman" w:eastAsia="Times New Roman" w:hAnsi="Times New Roman" w:cs="Times New Roman"/>
          <w:sz w:val="18"/>
        </w:rPr>
        <w:t>4</w:t>
      </w:r>
      <w:r>
        <w:rPr>
          <w:rFonts w:ascii="Times New Roman" w:eastAsia="Times New Roman" w:hAnsi="Times New Roman" w:cs="Times New Roman"/>
          <w:sz w:val="18"/>
        </w:rPr>
        <w:t>1,565</w:t>
      </w:r>
      <w:r>
        <w:rPr>
          <w:rFonts w:ascii="Times New Roman" w:eastAsia="Times New Roman" w:hAnsi="Times New Roman" w:cs="Times New Roman"/>
          <w:sz w:val="18"/>
        </w:rPr>
        <w:t xml:space="preserve"> restricted stock units expected to vest within the 60 days under the 2011 Plan.</w:t>
      </w:r>
    </w:p>
    <w:p>
      <w:pPr>
        <w:keepNext w:val="0"/>
        <w:keepLines w:val="0"/>
        <w:pageBreakBefore w:val="0"/>
        <w:widowControl/>
        <w:numPr>
          <w:ilvl w:val="0"/>
          <w:numId w:val="78"/>
        </w:numPr>
        <w:tabs>
          <w:tab w:val="left" w:pos="360"/>
        </w:tabs>
        <w:spacing w:before="120" w:after="0" w:line="288" w:lineRule="auto"/>
        <w:ind w:left="36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 xml:space="preserve">Includes </w:t>
      </w:r>
      <w:r>
        <w:rPr>
          <w:rFonts w:ascii="Times New Roman" w:eastAsia="Times New Roman" w:hAnsi="Times New Roman" w:cs="Times New Roman"/>
          <w:sz w:val="18"/>
        </w:rPr>
        <w:t>127,079</w:t>
      </w:r>
      <w:r>
        <w:rPr>
          <w:rFonts w:ascii="Times New Roman" w:eastAsia="Times New Roman" w:hAnsi="Times New Roman" w:cs="Times New Roman"/>
          <w:sz w:val="18"/>
        </w:rPr>
        <w:t xml:space="preserve"> outstanding shares of common stock, exercisable stock options to purchase </w:t>
      </w:r>
      <w:r>
        <w:rPr>
          <w:rFonts w:ascii="Times New Roman" w:eastAsia="Times New Roman" w:hAnsi="Times New Roman" w:cs="Times New Roman"/>
          <w:sz w:val="18"/>
        </w:rPr>
        <w:t>67,</w:t>
      </w:r>
      <w:r>
        <w:rPr>
          <w:rFonts w:ascii="Times New Roman" w:eastAsia="Times New Roman" w:hAnsi="Times New Roman" w:cs="Times New Roman"/>
          <w:sz w:val="18"/>
        </w:rPr>
        <w:t>700</w:t>
      </w:r>
      <w:r>
        <w:rPr>
          <w:rFonts w:ascii="Times New Roman" w:eastAsia="Times New Roman" w:hAnsi="Times New Roman" w:cs="Times New Roman"/>
          <w:sz w:val="18"/>
        </w:rPr>
        <w:t xml:space="preserve"> shares of common stock, and </w:t>
      </w:r>
      <w:r>
        <w:rPr>
          <w:rFonts w:ascii="Times New Roman" w:eastAsia="Times New Roman" w:hAnsi="Times New Roman" w:cs="Times New Roman"/>
          <w:sz w:val="18"/>
        </w:rPr>
        <w:t>5,284</w:t>
      </w:r>
      <w:r>
        <w:rPr>
          <w:rFonts w:ascii="Times New Roman" w:eastAsia="Times New Roman" w:hAnsi="Times New Roman" w:cs="Times New Roman"/>
          <w:sz w:val="18"/>
        </w:rPr>
        <w:t xml:space="preserve"> restricted stock units expected to vest within the 60 days under the 2011 Plan.</w:t>
      </w:r>
    </w:p>
    <w:p>
      <w:pPr>
        <w:keepNext w:val="0"/>
        <w:keepLines w:val="0"/>
        <w:pageBreakBefore w:val="0"/>
        <w:widowControl/>
        <w:numPr>
          <w:ilvl w:val="0"/>
          <w:numId w:val="78"/>
        </w:numPr>
        <w:tabs>
          <w:tab w:val="left" w:pos="360"/>
        </w:tabs>
        <w:spacing w:before="120" w:after="0" w:line="288" w:lineRule="auto"/>
        <w:ind w:left="36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Includes 12,432 outstanding shares of common stock and exercisable stock options to purchase 125 shares of common stock under the 2011 Plan.</w:t>
      </w:r>
    </w:p>
    <w:p>
      <w:pPr>
        <w:keepNext w:val="0"/>
        <w:keepLines w:val="0"/>
        <w:pageBreakBefore w:val="0"/>
        <w:widowControl/>
        <w:numPr>
          <w:ilvl w:val="0"/>
          <w:numId w:val="78"/>
        </w:numPr>
        <w:tabs>
          <w:tab w:val="left" w:pos="360"/>
        </w:tabs>
        <w:spacing w:before="120" w:after="0" w:line="288" w:lineRule="auto"/>
        <w:ind w:left="36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 xml:space="preserve">Includes </w:t>
      </w:r>
      <w:r>
        <w:rPr>
          <w:rFonts w:ascii="Times New Roman" w:eastAsia="Times New Roman" w:hAnsi="Times New Roman" w:cs="Times New Roman"/>
          <w:sz w:val="18"/>
        </w:rPr>
        <w:t>1,522,300</w:t>
      </w:r>
      <w:r>
        <w:rPr>
          <w:rFonts w:ascii="Times New Roman" w:eastAsia="Times New Roman" w:hAnsi="Times New Roman" w:cs="Times New Roman"/>
          <w:sz w:val="18"/>
        </w:rPr>
        <w:t xml:space="preserve"> outstanding shares of common stock and stock options exercisable for 10,507 shares of common stock under the 2011 Plan.</w:t>
      </w:r>
    </w:p>
    <w:p>
      <w:pPr>
        <w:keepNext w:val="0"/>
        <w:keepLines w:val="0"/>
        <w:pageBreakBefore w:val="0"/>
        <w:widowControl/>
        <w:numPr>
          <w:ilvl w:val="0"/>
          <w:numId w:val="78"/>
        </w:numPr>
        <w:tabs>
          <w:tab w:val="left" w:pos="360"/>
        </w:tabs>
        <w:spacing w:before="120" w:after="0" w:line="288" w:lineRule="auto"/>
        <w:ind w:left="36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Includes 13</w:t>
      </w:r>
      <w:r>
        <w:rPr>
          <w:rFonts w:ascii="Times New Roman" w:eastAsia="Times New Roman" w:hAnsi="Times New Roman" w:cs="Times New Roman"/>
          <w:sz w:val="18"/>
        </w:rPr>
        <w:t>8,786</w:t>
      </w:r>
      <w:r>
        <w:rPr>
          <w:rFonts w:ascii="Times New Roman" w:eastAsia="Times New Roman" w:hAnsi="Times New Roman" w:cs="Times New Roman"/>
          <w:sz w:val="18"/>
        </w:rPr>
        <w:t xml:space="preserve"> outstanding shares of common stock and stock options exercisable for 2,500 shares of common stock under the 2011 Plan.</w:t>
      </w:r>
    </w:p>
    <w:p>
      <w:pPr>
        <w:keepNext w:val="0"/>
        <w:keepLines w:val="0"/>
        <w:pageBreakBefore w:val="0"/>
        <w:widowControl/>
        <w:numPr>
          <w:ilvl w:val="0"/>
          <w:numId w:val="78"/>
        </w:numPr>
        <w:tabs>
          <w:tab w:val="left" w:pos="360"/>
        </w:tabs>
        <w:spacing w:before="120" w:after="0" w:line="288" w:lineRule="auto"/>
        <w:ind w:left="36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 xml:space="preserve">Includes </w:t>
      </w:r>
      <w:r>
        <w:rPr>
          <w:rFonts w:ascii="Times New Roman" w:eastAsia="Times New Roman" w:hAnsi="Times New Roman" w:cs="Times New Roman"/>
          <w:sz w:val="18"/>
        </w:rPr>
        <w:t>200,723</w:t>
      </w:r>
      <w:r>
        <w:rPr>
          <w:rFonts w:ascii="Times New Roman" w:eastAsia="Times New Roman" w:hAnsi="Times New Roman" w:cs="Times New Roman"/>
          <w:sz w:val="18"/>
        </w:rPr>
        <w:t xml:space="preserve"> outstanding shares of common stock, stock options exercisable for 1,154 shares of common stock under the 2011 Plan.</w:t>
      </w:r>
    </w:p>
    <w:p>
      <w:pPr>
        <w:keepNext w:val="0"/>
        <w:keepLines w:val="0"/>
        <w:pageBreakBefore w:val="0"/>
        <w:widowControl/>
        <w:numPr>
          <w:ilvl w:val="0"/>
          <w:numId w:val="78"/>
        </w:numPr>
        <w:tabs>
          <w:tab w:val="left" w:pos="360"/>
        </w:tabs>
        <w:spacing w:before="120" w:after="0" w:line="288" w:lineRule="auto"/>
        <w:ind w:left="36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 xml:space="preserve">Includes </w:t>
      </w:r>
      <w:r>
        <w:rPr>
          <w:rFonts w:ascii="Times New Roman" w:eastAsia="Times New Roman" w:hAnsi="Times New Roman" w:cs="Times New Roman"/>
          <w:sz w:val="18"/>
        </w:rPr>
        <w:t>20,143</w:t>
      </w:r>
      <w:r>
        <w:rPr>
          <w:rFonts w:ascii="Times New Roman" w:eastAsia="Times New Roman" w:hAnsi="Times New Roman" w:cs="Times New Roman"/>
          <w:sz w:val="18"/>
        </w:rPr>
        <w:t xml:space="preserve"> outstanding shares of common stock</w:t>
      </w:r>
      <w:r>
        <w:rPr>
          <w:rFonts w:ascii="Times New Roman" w:eastAsia="Times New Roman" w:hAnsi="Times New Roman" w:cs="Times New Roman"/>
          <w:sz w:val="18"/>
        </w:rPr>
        <w:t>.</w:t>
      </w:r>
    </w:p>
    <w:p>
      <w:pPr>
        <w:keepNext w:val="0"/>
        <w:keepLines w:val="0"/>
        <w:pageBreakBefore w:val="0"/>
        <w:widowControl/>
        <w:numPr>
          <w:ilvl w:val="0"/>
          <w:numId w:val="78"/>
        </w:numPr>
        <w:tabs>
          <w:tab w:val="left" w:pos="360"/>
        </w:tabs>
        <w:spacing w:before="120" w:after="0" w:line="288" w:lineRule="auto"/>
        <w:ind w:left="36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 xml:space="preserve">Includes </w:t>
      </w:r>
      <w:r>
        <w:rPr>
          <w:rFonts w:ascii="Times New Roman" w:eastAsia="Times New Roman" w:hAnsi="Times New Roman" w:cs="Times New Roman"/>
          <w:sz w:val="18"/>
        </w:rPr>
        <w:t>127,363</w:t>
      </w:r>
      <w:r>
        <w:rPr>
          <w:rFonts w:ascii="Times New Roman" w:eastAsia="Times New Roman" w:hAnsi="Times New Roman" w:cs="Times New Roman"/>
          <w:sz w:val="18"/>
        </w:rPr>
        <w:t xml:space="preserve"> outstanding shares of common stock and stock options exercisable for 9,590 shares of common stock under the 2011 Plan.</w:t>
      </w:r>
    </w:p>
    <w:p>
      <w:pPr>
        <w:keepNext w:val="0"/>
        <w:keepLines w:val="0"/>
        <w:pageBreakBefore w:val="0"/>
        <w:widowControl/>
        <w:numPr>
          <w:ilvl w:val="0"/>
          <w:numId w:val="78"/>
        </w:numPr>
        <w:tabs>
          <w:tab w:val="left" w:pos="360"/>
        </w:tabs>
        <w:spacing w:before="120" w:after="0" w:line="288" w:lineRule="auto"/>
        <w:ind w:left="36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Includes 9</w:t>
      </w:r>
      <w:r>
        <w:rPr>
          <w:rFonts w:ascii="Times New Roman" w:eastAsia="Times New Roman" w:hAnsi="Times New Roman" w:cs="Times New Roman"/>
          <w:sz w:val="18"/>
        </w:rPr>
        <w:t>8,137</w:t>
      </w:r>
      <w:r>
        <w:rPr>
          <w:rFonts w:ascii="Times New Roman" w:eastAsia="Times New Roman" w:hAnsi="Times New Roman" w:cs="Times New Roman"/>
          <w:sz w:val="18"/>
        </w:rPr>
        <w:t xml:space="preserve"> outstanding shares of common stock and stock options exercisable for 5,000 shares of common stock under the 2011 Plan.</w:t>
      </w:r>
    </w:p>
    <w:p>
      <w:pPr>
        <w:keepNext w:val="0"/>
        <w:keepLines w:val="0"/>
        <w:pageBreakBefore w:val="0"/>
        <w:widowControl/>
        <w:numPr>
          <w:ilvl w:val="0"/>
          <w:numId w:val="78"/>
        </w:numPr>
        <w:tabs>
          <w:tab w:val="left" w:pos="360"/>
        </w:tabs>
        <w:spacing w:before="120" w:after="0" w:line="288" w:lineRule="auto"/>
        <w:ind w:left="360" w:right="0" w:hanging="360"/>
        <w:jc w:val="left"/>
        <w:outlineLvl w:val="9"/>
        <w:rPr>
          <w:rFonts w:ascii="Times New Roman" w:eastAsia="Times New Roman" w:hAnsi="Times New Roman" w:cs="Times New Roman"/>
          <w:sz w:val="18"/>
          <w:vertAlign w:val="superscript"/>
        </w:rPr>
      </w:pPr>
      <w:r>
        <w:rPr>
          <w:rFonts w:ascii="Times New Roman" w:eastAsia="Times New Roman" w:hAnsi="Times New Roman" w:cs="Times New Roman"/>
          <w:sz w:val="18"/>
        </w:rPr>
        <w:t>For all executive officers and directors as a group, this amount includes 2,</w:t>
      </w:r>
      <w:r>
        <w:rPr>
          <w:rFonts w:ascii="Times New Roman" w:eastAsia="Times New Roman" w:hAnsi="Times New Roman" w:cs="Times New Roman"/>
          <w:sz w:val="18"/>
        </w:rPr>
        <w:t>773,831</w:t>
      </w:r>
      <w:r>
        <w:rPr>
          <w:rFonts w:ascii="Times New Roman" w:eastAsia="Times New Roman" w:hAnsi="Times New Roman" w:cs="Times New Roman"/>
          <w:sz w:val="18"/>
        </w:rPr>
        <w:t xml:space="preserve"> outstanding shares of common stock, exercisable stock options to purchase </w:t>
      </w:r>
      <w:r>
        <w:rPr>
          <w:rFonts w:ascii="Times New Roman" w:eastAsia="Times New Roman" w:hAnsi="Times New Roman" w:cs="Times New Roman"/>
          <w:sz w:val="18"/>
        </w:rPr>
        <w:t>985,952</w:t>
      </w:r>
      <w:r>
        <w:rPr>
          <w:rFonts w:ascii="Times New Roman" w:eastAsia="Times New Roman" w:hAnsi="Times New Roman" w:cs="Times New Roman"/>
          <w:sz w:val="18"/>
        </w:rPr>
        <w:t xml:space="preserve"> shares of common stock and </w:t>
      </w:r>
      <w:r>
        <w:rPr>
          <w:rFonts w:ascii="Times New Roman" w:eastAsia="Times New Roman" w:hAnsi="Times New Roman" w:cs="Times New Roman"/>
          <w:sz w:val="18"/>
        </w:rPr>
        <w:t>4</w:t>
      </w:r>
      <w:r>
        <w:rPr>
          <w:rFonts w:ascii="Times New Roman" w:eastAsia="Times New Roman" w:hAnsi="Times New Roman" w:cs="Times New Roman"/>
          <w:sz w:val="18"/>
        </w:rPr>
        <w:t>6</w:t>
      </w:r>
      <w:r>
        <w:rPr>
          <w:rFonts w:ascii="Times New Roman" w:eastAsia="Times New Roman" w:hAnsi="Times New Roman" w:cs="Times New Roman"/>
          <w:sz w:val="18"/>
        </w:rPr>
        <w:t>,849</w:t>
      </w:r>
      <w:r>
        <w:rPr>
          <w:rFonts w:ascii="Times New Roman" w:eastAsia="Times New Roman" w:hAnsi="Times New Roman" w:cs="Times New Roman"/>
          <w:sz w:val="18"/>
        </w:rPr>
        <w:t xml:space="preserve"> restricted stock units expected to vest within 60 days of </w:t>
      </w:r>
      <w:r>
        <w:rPr>
          <w:rFonts w:ascii="Times New Roman" w:eastAsia="Times New Roman" w:hAnsi="Times New Roman" w:cs="Times New Roman"/>
          <w:sz w:val="18"/>
        </w:rPr>
        <w:t>March 26, 2021</w:t>
      </w:r>
      <w:r>
        <w:rPr>
          <w:rFonts w:ascii="Times New Roman" w:eastAsia="Times New Roman" w:hAnsi="Times New Roman" w:cs="Times New Roman"/>
          <w:sz w:val="20"/>
        </w:rPr>
        <w:t xml:space="preserve"> </w:t>
      </w:r>
      <w:r>
        <w:rPr>
          <w:rFonts w:ascii="Times New Roman" w:eastAsia="Times New Roman" w:hAnsi="Times New Roman" w:cs="Times New Roman"/>
          <w:sz w:val="18"/>
        </w:rPr>
        <w:t>under the 2011 Plan as further detailed in footnotes (2) through (10) above.</w:t>
      </w:r>
    </w:p>
    <w:p>
      <w:pPr>
        <w:keepNext w:val="0"/>
        <w:keepLines w:val="0"/>
        <w:pageBreakBefore w:val="0"/>
        <w:widowControl/>
        <w:numPr>
          <w:ilvl w:val="0"/>
          <w:numId w:val="0"/>
        </w:numPr>
        <w:tabs>
          <w:tab w:val="left" w:pos="360"/>
        </w:tabs>
        <w:spacing w:before="120" w:after="0" w:line="288" w:lineRule="auto"/>
        <w:ind w:left="-360" w:right="0" w:firstLine="0"/>
        <w:jc w:val="left"/>
        <w:outlineLvl w:val="9"/>
        <w:rPr>
          <w:rFonts w:ascii="Times New Roman" w:eastAsia="Times New Roman" w:hAnsi="Times New Roman" w:cs="Times New Roman"/>
          <w:sz w:val="18"/>
        </w:rPr>
      </w:pPr>
    </w:p>
    <w:p>
      <w:pPr>
        <w:keepNext w:val="0"/>
        <w:keepLines w:val="0"/>
        <w:pageBreakBefore w:val="0"/>
        <w:widowControl/>
        <w:numPr>
          <w:ilvl w:val="0"/>
          <w:numId w:val="0"/>
        </w:numPr>
        <w:tabs>
          <w:tab w:val="left" w:pos="360"/>
        </w:tabs>
        <w:spacing w:before="120" w:after="0" w:line="288" w:lineRule="auto"/>
        <w:ind w:left="-360" w:right="0" w:firstLine="0"/>
        <w:jc w:val="left"/>
        <w:outlineLvl w:val="9"/>
        <w:rPr>
          <w:rFonts w:ascii="Times New Roman" w:eastAsia="Times New Roman" w:hAnsi="Times New Roman" w:cs="Times New Roman"/>
          <w:sz w:val="18"/>
        </w:rPr>
      </w:pPr>
    </w:p>
    <w:p>
      <w:pPr>
        <w:keepNext w:val="0"/>
        <w:keepLines w:val="0"/>
        <w:pageBreakBefore w:val="0"/>
        <w:widowControl/>
        <w:numPr>
          <w:ilvl w:val="0"/>
          <w:numId w:val="0"/>
        </w:numPr>
        <w:tabs>
          <w:tab w:val="left" w:pos="360"/>
        </w:tabs>
        <w:spacing w:before="120" w:after="0" w:line="288" w:lineRule="auto"/>
        <w:ind w:left="-36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49" w:name="Section50"/>
      <w:bookmarkEnd w:id="49"/>
      <w:r>
        <w:rPr>
          <w:rFonts w:ascii="Times New Roman" w:eastAsia="Times New Roman" w:hAnsi="Times New Roman" w:cs="Times New Roman"/>
          <w:b/>
          <w:sz w:val="20"/>
        </w:rPr>
        <w:t>ITEM 13 - CERTAIN RELATIONSHIPS AND RELATED TRANSACTIONS, AND DIRECTOR INDEPENDENCE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We review all transactions involving us in which any of our directors, director nominees, significant shareholders and executive officers and their immediate family members are participants to determine whether such person has a direct or indirect material interest in the transaction. All directors, director nominees and executive officers must notify us of any proposed transaction involving us in which such person has a direct or indirect material interest. Such proposed transaction is then reviewed by either the Board as a whole or the Audit Committee, which determines whether or not to approve the transaction. After such review, the reviewing body approves the transaction only if it determines that the transaction is in, or not inconsistent with, the best interests of our Company and our shareholders.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Certain Transactions</w:t>
      </w:r>
    </w:p>
    <w:p>
      <w:pPr>
        <w:keepNext/>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On May 10, 2019, the Company completed an underwritten registered public offering of 14,285,714 shares of common stock at a public offering price of $0.70 per share, for total gross proceeds of approximately $10 million. The net proceeds to the Company were approximately $9.2 million. Mr. Edward Murphy, the Company’s Chief Executive Officer and a Company director, and Mr. Troy J. Vanke, the Company’s former Chief Financial Officer, participated in the public offering and purchased 21,428 and 42,857 shares of common stock, respectively.</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Other than as described above, there have been no transactions </w:t>
      </w:r>
      <w:r>
        <w:rPr>
          <w:rFonts w:ascii="Times New Roman" w:eastAsia="Times New Roman" w:hAnsi="Times New Roman" w:cs="Times New Roman"/>
          <w:sz w:val="20"/>
        </w:rPr>
        <w:t>since January 1, 201</w:t>
      </w:r>
      <w:r>
        <w:rPr>
          <w:rFonts w:ascii="Times New Roman" w:eastAsia="Times New Roman" w:hAnsi="Times New Roman" w:cs="Times New Roman"/>
          <w:sz w:val="20"/>
        </w:rPr>
        <w:t>9</w:t>
      </w:r>
      <w:r>
        <w:rPr>
          <w:rFonts w:ascii="Times New Roman" w:eastAsia="Times New Roman" w:hAnsi="Times New Roman" w:cs="Times New Roman"/>
          <w:sz w:val="20"/>
        </w:rPr>
        <w:t xml:space="preserve"> or any currently proposed transaction, in which the Company was or is to be a participant and the amount involved exceeded the lesser of $120,000 or 1% of the average of our total assets at year end for the last two completed fiscal years, and in which </w:t>
      </w:r>
      <w:r>
        <w:rPr>
          <w:rFonts w:ascii="Times New Roman" w:eastAsia="Times New Roman" w:hAnsi="Times New Roman" w:cs="Times New Roman"/>
          <w:sz w:val="20"/>
        </w:rPr>
        <w:t>any of our respective officers, directors, beneficial owners of more than 5% of our outstanding common stock or their family members had or will have a direct or indirect material interest.</w:t>
      </w:r>
    </w:p>
    <w:p>
      <w:pPr>
        <w:keepNext w:val="0"/>
        <w:keepLines w:val="0"/>
        <w:pageBreakBefore w:val="0"/>
        <w:widowControl/>
        <w:numPr>
          <w:ilvl w:val="0"/>
          <w:numId w:val="0"/>
        </w:numPr>
        <w:spacing w:before="0" w:after="0" w:line="276" w:lineRule="auto"/>
        <w:ind w:left="0" w:right="0" w:firstLine="72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76"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Director Independence</w:t>
      </w:r>
    </w:p>
    <w:p>
      <w:pPr>
        <w:keepNext/>
        <w:keepLines/>
        <w:pageBreakBefore w:val="0"/>
        <w:widowControl w:val="0"/>
        <w:numPr>
          <w:ilvl w:val="0"/>
          <w:numId w:val="0"/>
        </w:numPr>
        <w:spacing w:before="0" w:after="0" w:line="276"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Board has determined that Brian W. Brady, John H. Caron, Lindsay A. Gardner, </w:t>
      </w:r>
      <w:r>
        <w:rPr>
          <w:rFonts w:ascii="Times New Roman" w:eastAsia="Times New Roman" w:hAnsi="Times New Roman" w:cs="Times New Roman"/>
          <w:sz w:val="20"/>
        </w:rPr>
        <w:t xml:space="preserve">Jill M. Golder, </w:t>
      </w:r>
      <w:r>
        <w:rPr>
          <w:rFonts w:ascii="Times New Roman" w:eastAsia="Times New Roman" w:hAnsi="Times New Roman" w:cs="Times New Roman"/>
          <w:sz w:val="20"/>
        </w:rPr>
        <w:t>Daniel R. Rua and Patrick J. Venetucci are “independent directors” as defined in Nasdaq Listing Rule 5605(a)(2). As provided by the Nasdaq rules, the Board has made a subjective determination as to each independent director that no relationships exists which, in the opinion of the Board, would interfere with the exercise of independent judgment in carrying out the responsibilities of a director.</w:t>
      </w:r>
      <w:r>
        <w:rPr>
          <w:rFonts w:ascii="Times New Roman" w:eastAsia="Times New Roman" w:hAnsi="Times New Roman" w:cs="Times New Roman"/>
          <w:sz w:val="20"/>
        </w:rPr>
        <w:t> In making these determinations, the Board reviewed and discussed information provided by the directors with regard to each director’s business and personal activities as they may relate to us and our management.</w:t>
      </w:r>
      <w:r>
        <w:rPr>
          <w:rFonts w:ascii="Times New Roman" w:eastAsia="Times New Roman" w:hAnsi="Times New Roman" w:cs="Times New Roman"/>
          <w:sz w:val="20"/>
        </w:rPr>
        <w:br/>
      </w:r>
    </w:p>
    <w:p>
      <w:pPr>
        <w:keepNext w:val="0"/>
        <w:keepLines w:val="0"/>
        <w:pageBreakBefore w:val="0"/>
        <w:widowControl/>
        <w:numPr>
          <w:ilvl w:val="0"/>
          <w:numId w:val="0"/>
        </w:numPr>
        <w:spacing w:before="0" w:after="0" w:line="276"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76" w:lineRule="auto"/>
        <w:ind w:left="0" w:right="0" w:firstLine="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50" w:name="Section51"/>
      <w:bookmarkEnd w:id="50"/>
      <w:r>
        <w:rPr>
          <w:rFonts w:ascii="Times New Roman" w:eastAsia="Times New Roman" w:hAnsi="Times New Roman" w:cs="Times New Roman"/>
          <w:b/>
          <w:sz w:val="20"/>
        </w:rPr>
        <w:t>ITEM 14 - PRINCIPAL ACCOUNT</w:t>
      </w:r>
      <w:r>
        <w:rPr>
          <w:rFonts w:ascii="Times New Roman" w:eastAsia="Times New Roman" w:hAnsi="Times New Roman" w:cs="Times New Roman"/>
          <w:b/>
          <w:sz w:val="20"/>
        </w:rPr>
        <w:t>ANT</w:t>
      </w:r>
      <w:r>
        <w:rPr>
          <w:rFonts w:ascii="Times New Roman" w:eastAsia="Times New Roman" w:hAnsi="Times New Roman" w:cs="Times New Roman"/>
          <w:b/>
          <w:sz w:val="20"/>
        </w:rPr>
        <w:t xml:space="preserve"> FEES AND SERVICES</w:t>
      </w:r>
    </w:p>
    <w:p>
      <w:pPr>
        <w:keepNext/>
        <w:keepLines/>
        <w:pageBreakBefore w:val="0"/>
        <w:widowControl w:val="0"/>
        <w:numPr>
          <w:ilvl w:val="0"/>
          <w:numId w:val="0"/>
        </w:numPr>
        <w:spacing w:before="0" w:after="0" w:line="288" w:lineRule="auto"/>
        <w:ind w:left="0" w:right="0" w:firstLine="0"/>
        <w:jc w:val="left"/>
        <w:outlineLvl w:val="9"/>
        <w:rPr>
          <w:rFonts w:ascii="Times New Roman" w:eastAsia="Times New Roman" w:hAnsi="Times New Roman" w:cs="Times New Roman"/>
          <w:sz w:val="22"/>
        </w:rPr>
      </w:pPr>
      <w:r>
        <w:rPr>
          <w:rFonts w:ascii="Times New Roman" w:eastAsia="Times New Roman" w:hAnsi="Times New Roman" w:cs="Times New Roman"/>
          <w:sz w:val="20"/>
        </w:rPr>
        <w:tab/>
      </w:r>
    </w:p>
    <w:p>
      <w:pPr>
        <w:keepNext w:val="0"/>
        <w:keepLines w:val="0"/>
        <w:pageBreakBefore w:val="0"/>
        <w:widowControl/>
        <w:numPr>
          <w:ilvl w:val="0"/>
          <w:numId w:val="0"/>
        </w:numPr>
        <w:spacing w:before="0" w:after="24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Audit Committee Policies and Procedures</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Audit Committee must pre-approve all auditing services and permitted non-audit services (including the fees and terms thereof) to be performed for us by our independent auditors, subject to the de minimis exceptions for non-audit services described in Section 10A(i)(1)(B) of the Exchange Act, which should nonetheless be approved by the Board prior to the completion of the audit. </w:t>
      </w:r>
      <w:r>
        <w:rPr>
          <w:rFonts w:ascii="Times New Roman" w:eastAsia="Times New Roman" w:hAnsi="Times New Roman" w:cs="Times New Roman"/>
          <w:sz w:val="20"/>
        </w:rPr>
        <w:t>Each year, the Audit Committee approves the independent auditor’s retention to audit our financial statements, including the associated fee, before the filing of the previous year’s Annual Report. </w:t>
      </w:r>
      <w:r>
        <w:rPr>
          <w:rFonts w:ascii="Times New Roman" w:eastAsia="Times New Roman" w:hAnsi="Times New Roman" w:cs="Times New Roman"/>
          <w:sz w:val="20"/>
        </w:rPr>
        <w:t>At the beginning of the fiscal year, the Audit Committee will evaluate other known potential engagements of the independent auditor, including the scope of work proposed to be performed and the proposed fees, and approve or reject each service, taking into account whether the services are permissible under applicable law and the possible impact of each non-audit service on the independent auditor’s independence from management. At each such subsequent meeting, the auditor and management may present subsequent services for approval. Typically, these would be services, such as due diligence for an acquisition, that would not have been known at the beginning of the year.</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Each new engagement of BDO </w:t>
      </w:r>
      <w:r>
        <w:rPr>
          <w:rFonts w:ascii="Times New Roman" w:eastAsia="Times New Roman" w:hAnsi="Times New Roman" w:cs="Times New Roman"/>
          <w:sz w:val="20"/>
        </w:rPr>
        <w:t>USA, LLP (</w:t>
      </w:r>
      <w:r>
        <w:rPr>
          <w:rFonts w:ascii="Times New Roman" w:eastAsia="Times New Roman" w:hAnsi="Times New Roman" w:cs="Times New Roman"/>
          <w:sz w:val="20"/>
        </w:rPr>
        <w:t>“</w:t>
      </w:r>
      <w:r>
        <w:rPr>
          <w:rFonts w:ascii="Times New Roman" w:eastAsia="Times New Roman" w:hAnsi="Times New Roman" w:cs="Times New Roman"/>
          <w:sz w:val="20"/>
        </w:rPr>
        <w:t>B</w:t>
      </w:r>
      <w:r>
        <w:rPr>
          <w:rFonts w:ascii="Times New Roman" w:eastAsia="Times New Roman" w:hAnsi="Times New Roman" w:cs="Times New Roman"/>
          <w:sz w:val="20"/>
        </w:rPr>
        <w:t>DO</w:t>
      </w:r>
      <w:r>
        <w:rPr>
          <w:rFonts w:ascii="Times New Roman" w:eastAsia="Times New Roman" w:hAnsi="Times New Roman" w:cs="Times New Roman"/>
          <w:sz w:val="20"/>
        </w:rPr>
        <w:t>”</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an</w:t>
      </w:r>
      <w:r>
        <w:rPr>
          <w:rFonts w:ascii="Times New Roman" w:eastAsia="Times New Roman" w:hAnsi="Times New Roman" w:cs="Times New Roman"/>
          <w:sz w:val="20"/>
        </w:rPr>
        <w:t xml:space="preserve"> independent registered public accounting firm,</w:t>
      </w:r>
      <w:r>
        <w:rPr>
          <w:rFonts w:ascii="Times New Roman" w:eastAsia="Times New Roman" w:hAnsi="Times New Roman" w:cs="Times New Roman"/>
          <w:sz w:val="20"/>
        </w:rPr>
        <w:t xml:space="preserve"> </w:t>
      </w:r>
      <w:r>
        <w:rPr>
          <w:rFonts w:ascii="Times New Roman" w:eastAsia="Times New Roman" w:hAnsi="Times New Roman" w:cs="Times New Roman"/>
          <w:sz w:val="20"/>
        </w:rPr>
        <w:t>has been approved in advance by the Board, and none of those engagements made use of the de minimis exception to the pre-approval contained in Section 10A(i)(1)(B) of the Exchange Act.</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 presents the aggregate fees billed, by type of fee, in relation to services provided to us by BDO:</w:t>
      </w:r>
    </w:p>
    <w:tbl>
      <w:tblPr>
        <w:tblW w:w="10067"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260"/>
        <w:gridCol w:w="160"/>
        <w:gridCol w:w="1000"/>
        <w:gridCol w:w="100"/>
        <w:gridCol w:w="75"/>
        <w:gridCol w:w="160"/>
        <w:gridCol w:w="1015"/>
        <w:gridCol w:w="100"/>
      </w:tblGrid>
      <w:tr>
        <w:tblPrEx>
          <w:tblW w:w="10067"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jc w:val="left"/>
        </w:trPr>
        <w:tc>
          <w:tcPr>
            <w:tcW w:w="72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10" w:type="dxa"/>
            <w:gridSpan w:val="7"/>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line="240" w:lineRule="auto"/>
              <w:ind w:left="0" w:right="0"/>
              <w:jc w:val="center"/>
            </w:pPr>
            <w:r>
              <w:rPr>
                <w:rFonts w:ascii="Times New Roman" w:eastAsia="Times New Roman" w:hAnsi="Times New Roman" w:cs="Times New Roman"/>
                <w:color w:val="000000"/>
                <w:sz w:val="20"/>
              </w:rPr>
              <w:t>Twelve Months Ended</w:t>
            </w:r>
          </w:p>
          <w:p>
            <w:pPr>
              <w:spacing w:after="30" w:line="240" w:lineRule="auto"/>
              <w:ind w:left="0" w:right="0"/>
              <w:jc w:val="center"/>
            </w:pPr>
            <w:r>
              <w:rPr>
                <w:rFonts w:ascii="Times New Roman" w:eastAsia="Times New Roman" w:hAnsi="Times New Roman" w:cs="Times New Roman"/>
                <w:color w:val="000000"/>
                <w:sz w:val="20"/>
              </w:rPr>
              <w:t>December 31,</w:t>
            </w:r>
          </w:p>
        </w:tc>
      </w:tr>
      <w:tr>
        <w:tblPrEx>
          <w:tblW w:w="10067" w:type="dxa"/>
          <w:jc w:val="left"/>
          <w:tblInd w:w="0" w:type="dxa"/>
          <w:tblCellMar>
            <w:left w:w="108" w:type="dxa"/>
            <w:right w:w="108" w:type="dxa"/>
          </w:tblCellMar>
        </w:tblPrEx>
        <w:trPr>
          <w:cantSplit/>
          <w:trHeight w:hRule="exact" w:val="300"/>
          <w:jc w:val="left"/>
        </w:trPr>
        <w:tc>
          <w:tcPr>
            <w:tcW w:w="72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60" w:type="dxa"/>
            <w:gridSpan w:val="3"/>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pPr>
              <w:keepNext/>
              <w:pageBreakBefore w:val="0"/>
              <w:spacing w:before="55" w:after="30" w:line="240" w:lineRule="auto"/>
              <w:ind w:left="0" w:right="0"/>
              <w:jc w:val="center"/>
            </w:pPr>
            <w:r>
              <w:rPr>
                <w:rFonts w:ascii="Times New Roman" w:eastAsia="Times New Roman" w:hAnsi="Times New Roman" w:cs="Times New Roman"/>
                <w:color w:val="000000"/>
                <w:sz w:val="20"/>
              </w:rPr>
              <w:t>2019</w:t>
            </w:r>
          </w:p>
        </w:tc>
      </w:tr>
      <w:tr>
        <w:tblPrEx>
          <w:tblW w:w="10067" w:type="dxa"/>
          <w:jc w:val="left"/>
          <w:tblInd w:w="0" w:type="dxa"/>
          <w:tblCellMar>
            <w:left w:w="108" w:type="dxa"/>
            <w:right w:w="108" w:type="dxa"/>
          </w:tblCellMar>
        </w:tblPrEx>
        <w:trPr>
          <w:cantSplit/>
          <w:trHeight w:hRule="exact" w:val="285"/>
          <w:jc w:val="left"/>
        </w:trPr>
        <w:tc>
          <w:tcPr>
            <w:tcW w:w="72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Audit Fees </w:t>
            </w:r>
            <w:r>
              <w:rPr>
                <w:rFonts w:ascii="Times New Roman" w:eastAsia="Times New Roman" w:hAnsi="Times New Roman" w:cs="Times New Roman"/>
                <w:sz w:val="20"/>
                <w:vertAlign w:val="superscript"/>
              </w:rPr>
              <w:t>(1)</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0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294,803 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40" w:lineRule="auto"/>
              <w:jc w:val="left"/>
            </w:pPr>
            <w:r>
              <w:rPr>
                <w:rFonts w:ascii="Times New Roman" w:eastAsia="Times New Roman" w:hAnsi="Times New Roman" w:cs="Times New Roman"/>
                <w:color w:val="000000"/>
                <w:sz w:val="20"/>
              </w:rPr>
              <w:t>$</w:t>
            </w:r>
          </w:p>
        </w:tc>
        <w:tc>
          <w:tcPr>
            <w:tcW w:w="10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40" w:lineRule="auto"/>
              <w:jc w:val="right"/>
            </w:pPr>
            <w:r>
              <w:rPr>
                <w:rFonts w:ascii="Times New Roman" w:eastAsia="Times New Roman" w:hAnsi="Times New Roman" w:cs="Times New Roman"/>
                <w:color w:val="000000"/>
                <w:sz w:val="20"/>
              </w:rPr>
              <w:t>255,589 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40" w:lineRule="auto"/>
              <w:ind w:right="0"/>
              <w:jc w:val="right"/>
            </w:pPr>
          </w:p>
        </w:tc>
      </w:tr>
      <w:tr>
        <w:tblPrEx>
          <w:tblW w:w="10067" w:type="dxa"/>
          <w:jc w:val="left"/>
          <w:tblInd w:w="0" w:type="dxa"/>
          <w:tblCellMar>
            <w:left w:w="108" w:type="dxa"/>
            <w:right w:w="108" w:type="dxa"/>
          </w:tblCellMar>
        </w:tblPrEx>
        <w:trPr>
          <w:cantSplit/>
          <w:trHeight w:hRule="exact" w:val="285"/>
          <w:jc w:val="left"/>
        </w:trPr>
        <w:tc>
          <w:tcPr>
            <w:tcW w:w="72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Audit-Related Fees</w:t>
            </w:r>
            <w:r>
              <w:rPr>
                <w:rFonts w:ascii="Times New Roman" w:eastAsia="Times New Roman" w:hAnsi="Times New Roman" w:cs="Times New Roman"/>
                <w:sz w:val="20"/>
                <w:vertAlign w:val="superscript"/>
              </w:rPr>
              <w:t xml:space="preserve"> (2)</w:t>
            </w: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067" w:type="dxa"/>
          <w:jc w:val="left"/>
          <w:tblInd w:w="0" w:type="dxa"/>
          <w:tblCellMar>
            <w:left w:w="108" w:type="dxa"/>
            <w:right w:w="108" w:type="dxa"/>
          </w:tblCellMar>
        </w:tblPrEx>
        <w:trPr>
          <w:cantSplit/>
          <w:trHeight w:hRule="exact" w:val="285"/>
          <w:jc w:val="left"/>
        </w:trPr>
        <w:tc>
          <w:tcPr>
            <w:tcW w:w="72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Tax Fees </w:t>
            </w:r>
            <w:r>
              <w:rPr>
                <w:rFonts w:ascii="Times New Roman" w:eastAsia="Times New Roman" w:hAnsi="Times New Roman" w:cs="Times New Roman"/>
                <w:sz w:val="20"/>
                <w:vertAlign w:val="superscript"/>
              </w:rPr>
              <w:t>(3)</w:t>
            </w: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28,534 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40" w:lineRule="auto"/>
              <w:jc w:val="right"/>
            </w:pPr>
          </w:p>
        </w:tc>
      </w:tr>
      <w:tr>
        <w:tblPrEx>
          <w:tblW w:w="10067" w:type="dxa"/>
          <w:jc w:val="left"/>
          <w:tblInd w:w="0" w:type="dxa"/>
          <w:tblCellMar>
            <w:left w:w="108" w:type="dxa"/>
            <w:right w:w="108" w:type="dxa"/>
          </w:tblCellMar>
        </w:tblPrEx>
        <w:trPr>
          <w:cantSplit/>
          <w:trHeight w:hRule="exact" w:val="285"/>
          <w:jc w:val="left"/>
        </w:trPr>
        <w:tc>
          <w:tcPr>
            <w:tcW w:w="72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All Other Fees </w:t>
            </w:r>
            <w:r>
              <w:rPr>
                <w:rFonts w:ascii="Times New Roman" w:eastAsia="Times New Roman" w:hAnsi="Times New Roman" w:cs="Times New Roman"/>
                <w:sz w:val="20"/>
                <w:vertAlign w:val="superscript"/>
              </w:rPr>
              <w:t>(4)</w:t>
            </w:r>
          </w:p>
        </w:tc>
        <w:tc>
          <w:tcPr>
            <w:tcW w:w="116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7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pPr>
              <w:keepNext/>
              <w:pageBreakBefore w:val="0"/>
              <w:spacing w:before="75" w:after="30" w:line="240" w:lineRule="auto"/>
              <w:jc w:val="right"/>
            </w:pPr>
            <w:r>
              <w:rPr>
                <w:rFonts w:ascii="Times New Roman" w:eastAsia="Times New Roman" w:hAnsi="Times New Roman" w:cs="Times New Roman"/>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pPr>
              <w:keepNext/>
              <w:pageBreakBefore w:val="0"/>
              <w:spacing w:before="75" w:after="30" w:line="240" w:lineRule="auto"/>
              <w:jc w:val="right"/>
            </w:pPr>
          </w:p>
        </w:tc>
      </w:tr>
      <w:tr>
        <w:tblPrEx>
          <w:tblW w:w="10067" w:type="dxa"/>
          <w:jc w:val="left"/>
          <w:tblInd w:w="0" w:type="dxa"/>
          <w:tblCellMar>
            <w:left w:w="108" w:type="dxa"/>
            <w:right w:w="108" w:type="dxa"/>
          </w:tblCellMar>
        </w:tblPrEx>
        <w:trPr>
          <w:cantSplit/>
          <w:trHeight w:hRule="exact" w:val="285"/>
          <w:jc w:val="left"/>
        </w:trPr>
        <w:tc>
          <w:tcPr>
            <w:tcW w:w="72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40" w:lineRule="auto"/>
              <w:ind w:left="225"/>
              <w:jc w:val="left"/>
            </w:pPr>
            <w:r>
              <w:rPr>
                <w:rFonts w:ascii="Times New Roman" w:eastAsia="Times New Roman" w:hAnsi="Times New Roman" w:cs="Times New Roman"/>
                <w:color w:val="000000"/>
                <w:sz w:val="20"/>
              </w:rPr>
              <w:t>Total</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0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294,803 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40" w:lineRule="auto"/>
              <w:jc w:val="left"/>
            </w:pPr>
            <w:r>
              <w:rPr>
                <w:rFonts w:ascii="Times New Roman" w:eastAsia="Times New Roman" w:hAnsi="Times New Roman" w:cs="Times New Roman"/>
                <w:color w:val="000000"/>
                <w:sz w:val="20"/>
              </w:rPr>
              <w:t>$</w:t>
            </w:r>
          </w:p>
        </w:tc>
        <w:tc>
          <w:tcPr>
            <w:tcW w:w="10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40" w:lineRule="auto"/>
              <w:jc w:val="right"/>
            </w:pPr>
            <w:r>
              <w:rPr>
                <w:rFonts w:ascii="Times New Roman" w:eastAsia="Times New Roman" w:hAnsi="Times New Roman" w:cs="Times New Roman"/>
                <w:color w:val="000000"/>
                <w:sz w:val="20"/>
              </w:rPr>
              <w:t>284,123 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40" w:lineRule="auto"/>
              <w:ind w:right="0"/>
              <w:jc w:val="right"/>
            </w:pPr>
          </w:p>
        </w:tc>
      </w:tr>
    </w:tbl>
    <w:p>
      <w:pPr>
        <w:keepNext/>
        <w:keepLines/>
        <w:pageBreakBefore w:val="0"/>
        <w:widowControl w:val="0"/>
        <w:numPr>
          <w:ilvl w:val="0"/>
          <w:numId w:val="79"/>
        </w:numPr>
        <w:spacing w:before="240" w:after="240" w:line="288" w:lineRule="auto"/>
        <w:ind w:left="1440" w:right="0" w:hanging="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“Audit Fees” means the aggregate fees billed by the principal accountant for each of the last two fiscal years for professional services rendered for the audit and review of financial statements.</w:t>
      </w:r>
    </w:p>
    <w:p>
      <w:pPr>
        <w:keepNext/>
        <w:keepLines/>
        <w:pageBreakBefore w:val="0"/>
        <w:widowControl w:val="0"/>
        <w:numPr>
          <w:ilvl w:val="0"/>
          <w:numId w:val="79"/>
        </w:numPr>
        <w:spacing w:before="0" w:after="240" w:line="288" w:lineRule="auto"/>
        <w:ind w:left="1440" w:right="0" w:hanging="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“Audit-Related Fees” means the aggregate fees billed by the principal accountant in each of the last two fiscal years for assurance and related services reasonably related to the performance of the audit or review of financial statements.</w:t>
      </w:r>
    </w:p>
    <w:p>
      <w:pPr>
        <w:keepNext/>
        <w:keepLines/>
        <w:pageBreakBefore w:val="0"/>
        <w:widowControl w:val="0"/>
        <w:numPr>
          <w:ilvl w:val="0"/>
          <w:numId w:val="79"/>
        </w:numPr>
        <w:spacing w:before="0" w:after="240" w:line="288" w:lineRule="auto"/>
        <w:ind w:left="1440" w:right="0" w:hanging="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“Tax Fees” means the aggregate fees billed by the principal accountant in each of the last two fiscal years for professional services for tax compliance. No tax advice or tax planning services were rendered by the principal accountant.</w:t>
      </w:r>
    </w:p>
    <w:p>
      <w:pPr>
        <w:keepNext/>
        <w:keepLines/>
        <w:pageBreakBefore w:val="0"/>
        <w:widowControl w:val="0"/>
        <w:numPr>
          <w:ilvl w:val="0"/>
          <w:numId w:val="79"/>
        </w:numPr>
        <w:spacing w:before="0" w:after="240" w:line="288" w:lineRule="auto"/>
        <w:ind w:left="1440" w:right="0" w:hanging="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“All Other Fees” means the aggregate fees billed by the principal accountant in each of the last two fiscal years for products and services other than those reported above.</w:t>
      </w:r>
    </w:p>
    <w:p>
      <w:pPr>
        <w:keepNext/>
        <w:keepLines/>
        <w:pageBreakBefore w:val="0"/>
        <w:widowControl w:val="0"/>
        <w:numPr>
          <w:ilvl w:val="0"/>
          <w:numId w:val="0"/>
        </w:numPr>
        <w:spacing w:before="0" w:after="0" w:line="288" w:lineRule="auto"/>
        <w:ind w:left="144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88" w:lineRule="auto"/>
        <w:ind w:left="144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sz w:val="20"/>
        </w:rPr>
      </w:pPr>
      <w:bookmarkStart w:id="51" w:name="Section52"/>
      <w:bookmarkEnd w:id="51"/>
      <w:r>
        <w:rPr>
          <w:rFonts w:ascii="Times New Roman" w:eastAsia="Times New Roman" w:hAnsi="Times New Roman" w:cs="Times New Roman"/>
          <w:b/>
          <w:sz w:val="20"/>
        </w:rPr>
        <w:t>PART I</w:t>
      </w:r>
      <w:r>
        <w:rPr>
          <w:rFonts w:ascii="Times New Roman" w:eastAsia="Times New Roman" w:hAnsi="Times New Roman" w:cs="Times New Roman"/>
          <w:b/>
          <w:sz w:val="20"/>
        </w:rPr>
        <w:t>V</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center"/>
        <w:outlineLvl w:val="9"/>
        <w:sectPr>
          <w:pgSz w:w="12240" w:h="15840"/>
          <w:pgMar w:top="855" w:right="990" w:bottom="855" w:left="990" w:header="270" w:footer="270"/>
          <w:cols w:space="708"/>
        </w:sectPr>
      </w:pPr>
    </w:p>
    <w:p>
      <w:pPr>
        <w:keepNext w:val="0"/>
        <w:keepLines/>
        <w:pageBreakBefore w:val="0"/>
        <w:widowControl w:val="0"/>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52" w:name="Section53"/>
      <w:bookmarkEnd w:id="52"/>
      <w:r>
        <w:rPr>
          <w:rFonts w:ascii="Times New Roman" w:eastAsia="Times New Roman" w:hAnsi="Times New Roman" w:cs="Times New Roman"/>
          <w:b/>
          <w:sz w:val="20"/>
        </w:rPr>
        <w:t>ITEM 15 – EXHIBITS AND FINANCIAL STATEMENT SCHEDULES</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keepLines w:val="0"/>
        <w:pageBreakBefore w:val="0"/>
        <w:widowControl w:val="0"/>
        <w:numPr>
          <w:ilvl w:val="0"/>
          <w:numId w:val="81"/>
        </w:numPr>
        <w:spacing w:before="0" w:after="0" w:line="288" w:lineRule="auto"/>
        <w:ind w:left="720" w:right="0" w:hanging="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following documents are filed as part of this Annual Report:</w:t>
      </w:r>
    </w:p>
    <w:p>
      <w:pPr>
        <w:keepNext w:val="0"/>
        <w:keepLines w:val="0"/>
        <w:pageBreakBefore w:val="0"/>
        <w:widowControl w:val="0"/>
        <w:numPr>
          <w:ilvl w:val="0"/>
          <w:numId w:val="82"/>
        </w:numPr>
        <w:spacing w:before="120" w:after="0" w:line="288" w:lineRule="auto"/>
        <w:ind w:left="1530" w:right="0" w:hanging="765"/>
        <w:jc w:val="left"/>
        <w:outlineLvl w:val="9"/>
        <w:rPr>
          <w:rFonts w:ascii="Times New Roman" w:eastAsia="Times New Roman" w:hAnsi="Times New Roman" w:cs="Times New Roman"/>
          <w:sz w:val="20"/>
        </w:rPr>
      </w:pPr>
      <w:r>
        <w:rPr>
          <w:rFonts w:ascii="Times New Roman" w:eastAsia="Times New Roman" w:hAnsi="Times New Roman" w:cs="Times New Roman"/>
          <w:sz w:val="20"/>
        </w:rPr>
        <w:t>Financial Statements (see “Consolidated Financial Statements and Supplementary Data” at Item 8 and incorporated herein by reference).</w:t>
      </w:r>
    </w:p>
    <w:p>
      <w:pPr>
        <w:keepNext w:val="0"/>
        <w:keepLines w:val="0"/>
        <w:pageBreakBefore w:val="0"/>
        <w:widowControl w:val="0"/>
        <w:numPr>
          <w:ilvl w:val="0"/>
          <w:numId w:val="82"/>
        </w:numPr>
        <w:spacing w:before="120" w:after="0" w:line="288" w:lineRule="auto"/>
        <w:ind w:left="1530" w:right="0" w:hanging="765"/>
        <w:jc w:val="left"/>
        <w:outlineLvl w:val="9"/>
        <w:rPr>
          <w:rFonts w:ascii="Times New Roman" w:eastAsia="Times New Roman" w:hAnsi="Times New Roman" w:cs="Times New Roman"/>
          <w:sz w:val="20"/>
        </w:rPr>
      </w:pPr>
      <w:r>
        <w:rPr>
          <w:rFonts w:ascii="Times New Roman" w:eastAsia="Times New Roman" w:hAnsi="Times New Roman" w:cs="Times New Roman"/>
          <w:sz w:val="20"/>
        </w:rPr>
        <w:t>Financial Statement Schedules (Schedules to the Financial Statements have been omitted because the information required to be set forth therein is not applicable or is shown in the accompanying Financial Statements or notes thereto).</w:t>
      </w:r>
    </w:p>
    <w:p>
      <w:pPr>
        <w:keepNext w:val="0"/>
        <w:keepLines w:val="0"/>
        <w:pageBreakBefore w:val="0"/>
        <w:widowControl w:val="0"/>
        <w:numPr>
          <w:ilvl w:val="0"/>
          <w:numId w:val="82"/>
        </w:numPr>
        <w:spacing w:before="120" w:after="0" w:line="288" w:lineRule="auto"/>
        <w:ind w:left="1530" w:right="0" w:hanging="765"/>
        <w:jc w:val="left"/>
        <w:outlineLvl w:val="9"/>
        <w:rPr>
          <w:rFonts w:ascii="Times New Roman" w:eastAsia="Times New Roman" w:hAnsi="Times New Roman" w:cs="Times New Roman"/>
          <w:sz w:val="20"/>
        </w:rPr>
      </w:pPr>
      <w:r>
        <w:rPr>
          <w:rFonts w:ascii="Times New Roman" w:eastAsia="Times New Roman" w:hAnsi="Times New Roman" w:cs="Times New Roman"/>
          <w:sz w:val="20"/>
        </w:rPr>
        <w:t>Exhibits</w:t>
      </w:r>
    </w:p>
    <w:p>
      <w:pPr>
        <w:keepNext w:val="0"/>
        <w:keepLines w:val="0"/>
        <w:pageBreakBefore w:val="0"/>
        <w:widowControl/>
        <w:numPr>
          <w:ilvl w:val="0"/>
          <w:numId w:val="0"/>
        </w:numPr>
        <w:spacing w:before="0" w:after="100" w:line="28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 </w:t>
      </w:r>
    </w:p>
    <w:tbl>
      <w:tblPr>
        <w:tblW w:w="102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0"/>
        <w:gridCol w:w="525"/>
        <w:gridCol w:w="8925"/>
      </w:tblGrid>
      <w:tr>
        <w:tblPrEx>
          <w:tblW w:w="102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75"/>
        </w:trPr>
        <w:tc>
          <w:tcPr>
            <w:tcW w:w="1125" w:type="dxa"/>
            <w:gridSpan w:val="2"/>
            <w:tcBorders>
              <w:top w:val="nil"/>
              <w:left w:val="nil"/>
              <w:bottom w:val="nil"/>
              <w:right w:val="nil"/>
            </w:tcBorders>
            <w:tcMar>
              <w:top w:w="0" w:type="dxa"/>
              <w:left w:w="53" w:type="dxa"/>
              <w:bottom w:w="0" w:type="dxa"/>
              <w:right w:w="15"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Exhibit No.</w:t>
            </w:r>
          </w:p>
        </w:tc>
        <w:tc>
          <w:tcPr>
            <w:tcW w:w="892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right="0"/>
              <w:jc w:val="center"/>
            </w:pPr>
            <w:r>
              <w:rPr>
                <w:rFonts w:ascii="Times New Roman" w:eastAsia="Times New Roman" w:hAnsi="Times New Roman" w:cs="Times New Roman"/>
                <w:color w:val="000000"/>
                <w:sz w:val="20"/>
              </w:rPr>
              <w:t>Description</w:t>
            </w:r>
          </w:p>
        </w:tc>
      </w:tr>
      <w:tr>
        <w:tblPrEx>
          <w:tblW w:w="10251" w:type="dxa"/>
          <w:tblInd w:w="0" w:type="dxa"/>
          <w:tblCellMar>
            <w:left w:w="108" w:type="dxa"/>
            <w:right w:w="108" w:type="dxa"/>
          </w:tblCellMar>
        </w:tblPrEx>
        <w:trPr>
          <w:cantSplit/>
          <w:trHeight w:hRule="exact" w:val="705"/>
        </w:trPr>
        <w:tc>
          <w:tcPr>
            <w:tcW w:w="600" w:type="dxa"/>
            <w:tcBorders>
              <w:top w:val="single" w:sz="8" w:space="0" w:color="000000"/>
              <w:left w:val="nil"/>
              <w:bottom w:val="nil"/>
              <w:right w:val="nil"/>
            </w:tcBorders>
            <w:shd w:val="clear" w:color="auto" w:fill="CCEEFF"/>
            <w:tcMar>
              <w:top w:w="0" w:type="dxa"/>
              <w:left w:w="53" w:type="dxa"/>
              <w:bottom w:w="0" w:type="dxa"/>
              <w:right w:w="15" w:type="dxa"/>
            </w:tcMar>
            <w:vAlign w:val="top"/>
          </w:tcPr>
          <w:p>
            <w:pPr>
              <w:keepNext/>
              <w:pageBreakBefore w:val="0"/>
              <w:spacing w:before="55" w:after="30" w:line="240" w:lineRule="auto"/>
              <w:ind w:left="0"/>
              <w:jc w:val="left"/>
            </w:pPr>
            <w:r>
              <w:rPr>
                <w:rFonts w:ascii="Times New Roman" w:eastAsia="Times New Roman" w:hAnsi="Times New Roman" w:cs="Times New Roman"/>
                <w:color w:val="000000"/>
                <w:sz w:val="20"/>
              </w:rPr>
              <w:t>2.1</w:t>
            </w:r>
          </w:p>
        </w:tc>
        <w:tc>
          <w:tcPr>
            <w:tcW w:w="525"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40" w:lineRule="auto"/>
              <w:ind w:left="0"/>
              <w:jc w:val="left"/>
            </w:pPr>
          </w:p>
        </w:tc>
        <w:tc>
          <w:tcPr>
            <w:tcW w:w="89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55" w:after="30" w:line="240" w:lineRule="auto"/>
              <w:ind w:left="0" w:right="0" w:firstLine="0"/>
              <w:jc w:val="left"/>
              <w:outlineLvl w:val="9"/>
              <w:rPr>
                <w:rFonts w:ascii="Times New Roman" w:eastAsia="Times New Roman" w:hAnsi="Times New Roman" w:cs="Times New Roman"/>
                <w:sz w:val="20"/>
              </w:rPr>
            </w:pPr>
            <w:hyperlink r:id="rId12" w:history="1">
              <w:r>
                <w:rPr>
                  <w:rFonts w:ascii="Times New Roman" w:eastAsia="Times New Roman" w:hAnsi="Times New Roman" w:cs="Times New Roman"/>
                  <w:color w:val="0000FF"/>
                  <w:sz w:val="20"/>
                  <w:u w:val="single"/>
                </w:rPr>
                <w:t>Stock Purchase Agreement, dated as of January 27, 2015, by and among IZEA, Inc., Ebyline, Inc. and the Stockholders of Ebyline, Inc. listed on the signature pages thereto (Incorporated by reference to Exhibit 2.1 to the Company’s Current Report on Form 8-K filed with the SEC on January 29, 2015).</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2.2</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13" w:history="1">
              <w:r>
                <w:rPr>
                  <w:rFonts w:ascii="Times New Roman" w:eastAsia="Times New Roman" w:hAnsi="Times New Roman" w:cs="Times New Roman"/>
                  <w:color w:val="0000FF"/>
                  <w:sz w:val="20"/>
                  <w:u w:val="single"/>
                </w:rPr>
                <w:t>Stock Purchase Agreement, dated as of July 31, 2016, by and among IZEA, Inc., ZenContent, Inc. and the Stockholders of ZenContent, Inc. (Incorporated by reference to Exhibit 2.1 to the Company’s Current Report on Form 8-K filed with the SEC on August 2, 2016).</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2.3</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14" w:history="1">
              <w:r>
                <w:rPr>
                  <w:rFonts w:ascii="Times New Roman" w:eastAsia="Times New Roman" w:hAnsi="Times New Roman" w:cs="Times New Roman"/>
                  <w:color w:val="0000FF"/>
                  <w:sz w:val="20"/>
                  <w:u w:val="single"/>
                </w:rPr>
                <w:t>Amendment No. 1 to Stock Purchase Agreement, dated as of October 21, 2016, by and among IZEA, Inc., ZenContent, Inc. and the Stockholders of ZenContent, Inc. (Incorporated by reference to Exhibit 10.1 to the Company’s Quarterly Report on Form 10-Q filed with the SEC on August 14, 2018).</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2.4</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15" w:history="1">
              <w:r>
                <w:rPr>
                  <w:rFonts w:ascii="Times New Roman" w:eastAsia="Times New Roman" w:hAnsi="Times New Roman" w:cs="Times New Roman"/>
                  <w:color w:val="0000FF"/>
                  <w:sz w:val="20"/>
                  <w:u w:val="single"/>
                </w:rPr>
                <w:t>Amendment No. 2 to Stock Purchase Agreement, dated as of July 17, 2018, by and among IZEA, Inc., ZenContent, Inc. and the Stockholders of ZenContent, Inc. (Incorporated by reference to Exhibit 10.2 to the Company’s Quarterly Report on Form 10-Q filed with the SEC on August 14, 2018).</w:t>
              </w:r>
            </w:hyperlink>
          </w:p>
        </w:tc>
      </w:tr>
      <w:tr>
        <w:tblPrEx>
          <w:tblW w:w="10251" w:type="dxa"/>
          <w:tblInd w:w="0" w:type="dxa"/>
          <w:tblCellMar>
            <w:left w:w="108" w:type="dxa"/>
            <w:right w:w="108" w:type="dxa"/>
          </w:tblCellMar>
        </w:tblPrEx>
        <w:trPr>
          <w:cantSplit/>
          <w:trHeight w:hRule="exact" w:val="900"/>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2.5</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16" w:history="1">
              <w:r>
                <w:rPr>
                  <w:rFonts w:ascii="Times New Roman" w:eastAsia="Times New Roman" w:hAnsi="Times New Roman" w:cs="Times New Roman"/>
                  <w:color w:val="0000FF"/>
                  <w:sz w:val="20"/>
                  <w:u w:val="single"/>
                </w:rPr>
                <w:t>Agreement and Plan of Merger, dated as of July 11, 2018, by and among IZEA, Inc., IZEA Merger Sub, Inc., TapInfluence, Inc., certain stockholders of TapInfluence, Inc. and the stockholders' representative (Incorporated by reference to Exhibit 2.1 to the Company's Current Report on Form 8-K filed with the SEC on July 12, 2018).</w:t>
              </w:r>
            </w:hyperlink>
          </w:p>
        </w:tc>
      </w:tr>
      <w:tr>
        <w:tblPrEx>
          <w:tblW w:w="10251" w:type="dxa"/>
          <w:tblInd w:w="0" w:type="dxa"/>
          <w:tblCellMar>
            <w:left w:w="108" w:type="dxa"/>
            <w:right w:w="108" w:type="dxa"/>
          </w:tblCellMar>
        </w:tblPrEx>
        <w:trPr>
          <w:cantSplit/>
          <w:trHeight w:hRule="exact" w:val="900"/>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2.6</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17" w:history="1">
              <w:r>
                <w:rPr>
                  <w:rFonts w:ascii="Times New Roman" w:eastAsia="Times New Roman" w:hAnsi="Times New Roman" w:cs="Times New Roman"/>
                  <w:color w:val="0000FF"/>
                  <w:sz w:val="20"/>
                  <w:u w:val="single"/>
                </w:rPr>
                <w:t>Amendment No. 1 to Agreement and Plan of Merger, dated as of July 20, 2018, by and among IZEA, Inc., IZEA Merger Sub, Inc., TapInfluence, Inc., certain stockholders of TapInfluence, Inc. and the stockholders’ representative (Incorporated by reference to Exhibit 2.2 to the Company’s Current Report on Form 8-K filed with the SEC on July 30, 2018).</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3.1</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18" w:history="1">
              <w:r>
                <w:rPr>
                  <w:rFonts w:ascii="Times New Roman" w:eastAsia="Times New Roman" w:hAnsi="Times New Roman" w:cs="Times New Roman"/>
                  <w:color w:val="0000FF"/>
                  <w:sz w:val="20"/>
                  <w:u w:val="single"/>
                </w:rPr>
                <w:t>Amended and Restated Articles of Incorporation of IZEA, Inc., filed with the Nevada Secretary of State on November 28, 2011 (Incorporated by reference to Exhibit 3.1 to the Company's Current Report on Form 8-K filed with the SEC on November 23, 2011).</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3.2</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19" w:history="1">
              <w:r>
                <w:rPr>
                  <w:rFonts w:ascii="Times New Roman" w:eastAsia="Times New Roman" w:hAnsi="Times New Roman" w:cs="Times New Roman"/>
                  <w:color w:val="0000FF"/>
                  <w:sz w:val="20"/>
                  <w:u w:val="single"/>
                </w:rPr>
                <w:t>Certificate of Change of IZEA, Inc., filed with the Nevada Secretary of State on July 30, 2012 (Incorporated by reference to Exhibit 3.1 to the Company’s Current Report on Form 8-K filed with the SEC on August 1, 2012).</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3.3</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20" w:history="1">
              <w:r>
                <w:rPr>
                  <w:rFonts w:ascii="Times New Roman" w:eastAsia="Times New Roman" w:hAnsi="Times New Roman" w:cs="Times New Roman"/>
                  <w:color w:val="0000FF"/>
                  <w:sz w:val="20"/>
                  <w:u w:val="single"/>
                </w:rPr>
                <w:t>Certificate of Amendment to Articles of Incorporation filed with the Secretary of State of the State of Nevada on April 17, 2014 (Incorporated by reference to Exhibit 3.1 to the Company’s Current Report on Form 8-K filed with the SEC on April 18, 2014).</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3.4</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21" w:history="1">
              <w:r>
                <w:rPr>
                  <w:rFonts w:ascii="Times New Roman" w:eastAsia="Times New Roman" w:hAnsi="Times New Roman" w:cs="Times New Roman"/>
                  <w:color w:val="0000FF"/>
                  <w:sz w:val="20"/>
                  <w:u w:val="single"/>
                </w:rPr>
                <w:t>Certificate of Withdrawal of Certificate of Designation filed with the Secretary of State of the State of Nevada effective January 23, 2015 (Incorporated by reference to Exhibit 3.1 to the Company’s Current Report on Form 8-K filed with the SEC on January 29, 2015).</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3.5</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22" w:history="1">
              <w:r>
                <w:rPr>
                  <w:rFonts w:ascii="Times New Roman" w:eastAsia="Times New Roman" w:hAnsi="Times New Roman" w:cs="Times New Roman"/>
                  <w:color w:val="0000FF"/>
                  <w:sz w:val="20"/>
                  <w:u w:val="single"/>
                </w:rPr>
                <w:t>Certificate of Amendment filed with the Secretary of State of the State of Nevada effective January 11, 2016 (Incorporated by reference to Exhibit 3.1 to the Company’s Current Report on Form 8-K filed with the SEC on January 12, 2016).</w:t>
              </w:r>
            </w:hyperlink>
          </w:p>
        </w:tc>
      </w:tr>
      <w:tr>
        <w:tblPrEx>
          <w:tblW w:w="10251"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3.6</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23" w:history="1">
              <w:r>
                <w:rPr>
                  <w:rFonts w:ascii="Times New Roman" w:eastAsia="Times New Roman" w:hAnsi="Times New Roman" w:cs="Times New Roman"/>
                  <w:color w:val="0000FF"/>
                  <w:sz w:val="20"/>
                  <w:u w:val="single"/>
                </w:rPr>
                <w:t>Amended and Restated Bylaws of IZEA, Inc. (Incorporated by reference to Exhibit 3.2 to the Current Report on Form 8-K filed with the SEC on November 23, 2011).</w:t>
              </w:r>
            </w:hyperlink>
          </w:p>
        </w:tc>
      </w:tr>
      <w:tr>
        <w:tblPrEx>
          <w:tblW w:w="10251"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3.7</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24" w:history="1">
              <w:r>
                <w:rPr>
                  <w:rFonts w:ascii="Times New Roman" w:eastAsia="Times New Roman" w:hAnsi="Times New Roman" w:cs="Times New Roman"/>
                  <w:color w:val="0000FF"/>
                  <w:sz w:val="20"/>
                  <w:u w:val="single"/>
                </w:rPr>
                <w:t>Certificate of Designation (Incorporated by reference to Exhibit 3.1 to the Company’s Current Report on Form 8-K filed with the SEC on May 27, 2011).</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3.8</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25" w:history="1">
              <w:r>
                <w:rPr>
                  <w:rFonts w:ascii="Times New Roman" w:eastAsia="Times New Roman" w:hAnsi="Times New Roman" w:cs="Times New Roman"/>
                  <w:color w:val="0000FF"/>
                  <w:sz w:val="20"/>
                  <w:u w:val="single"/>
                </w:rPr>
                <w:t>Articles of Merger of IZEA Innovations, Inc. filed with the Secretary of State of the State of Nevada effective April 5, 2016 (Incorporated by reference to Exhibit 3.11 to the Company's Quarterly Report on Form 10-Q filed with the SEC on May 11, 2016).</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3.9</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26" w:history="1">
              <w:r>
                <w:rPr>
                  <w:rFonts w:ascii="Times New Roman" w:eastAsia="Times New Roman" w:hAnsi="Times New Roman" w:cs="Times New Roman"/>
                  <w:color w:val="0000FF"/>
                  <w:sz w:val="20"/>
                  <w:u w:val="single"/>
                </w:rPr>
                <w:t>Articles of Merger of IZEA Worldwide, Inc. filed with the Secretary of State of the State of Nevada effective August 20, 2018 (Incorporated by reference to Exhibit 3.1 to the Company's Current Report on Form 8-K filed with the SEC on August 23, 2018).</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3.10</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27" w:history="1">
              <w:r>
                <w:rPr>
                  <w:rFonts w:ascii="Times New Roman" w:eastAsia="Times New Roman" w:hAnsi="Times New Roman" w:cs="Times New Roman"/>
                  <w:color w:val="0000FF"/>
                  <w:sz w:val="20"/>
                  <w:u w:val="single"/>
                </w:rPr>
                <w:t xml:space="preserve">Articles of Merger of IZEA Worldwide, Inc. filed with the Secretary of State of the State of Nevada effective December 17, 2019 (Incorporated by reference to Exhibit 3.10 to the Company’s Annual Report on Form 10-K filed with the SEC on March 30, 2020). </w:t>
              </w:r>
            </w:hyperlink>
          </w:p>
        </w:tc>
      </w:tr>
      <w:tr>
        <w:tblPrEx>
          <w:tblW w:w="10251"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3.11</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w:t>
            </w: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28" w:history="1">
              <w:r>
                <w:rPr>
                  <w:rFonts w:ascii="Times New Roman" w:eastAsia="Times New Roman" w:hAnsi="Times New Roman" w:cs="Times New Roman"/>
                  <w:color w:val="0000FF"/>
                  <w:sz w:val="20"/>
                  <w:u w:val="single"/>
                </w:rPr>
                <w:t>Articles of Merger of IZEA Worldwide, Inc. filed with the Secretary of State of the State of Nevada effective December 14, 2020.</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4.1</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29" w:history="1">
              <w:r>
                <w:rPr>
                  <w:rFonts w:ascii="Times New Roman" w:eastAsia="Times New Roman" w:hAnsi="Times New Roman" w:cs="Times New Roman"/>
                  <w:color w:val="0000FF"/>
                  <w:sz w:val="20"/>
                  <w:u w:val="single"/>
                </w:rPr>
                <w:t xml:space="preserve">Description of Common Stock of the Company registered pursuant to Section 12 of the Securities Exchange Act of 1934  (Incorporated by reference to Exhibit 4.1 to the Company’s Annual Report on Form 10-K filed with the SEC on March 30, 2020). </w:t>
              </w:r>
            </w:hyperlink>
          </w:p>
        </w:tc>
      </w:tr>
      <w:tr>
        <w:tblPrEx>
          <w:tblW w:w="10251"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10.1</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(a)</w:t>
            </w: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30" w:history="1">
              <w:r>
                <w:rPr>
                  <w:rFonts w:ascii="Times New Roman" w:eastAsia="Times New Roman" w:hAnsi="Times New Roman" w:cs="Times New Roman"/>
                  <w:color w:val="0000FF"/>
                  <w:sz w:val="20"/>
                  <w:u w:val="single"/>
                </w:rPr>
                <w:t>2011 B Equity Incentive Plan as of August 22, 2011 (Incorporated by reference to Exhibit 10.1 to the Company’s Quarterly Report on Form 10-Q filed with the SEC on November 8, 2011).</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10.2</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31" w:history="1">
              <w:r>
                <w:rPr>
                  <w:rFonts w:ascii="Times New Roman" w:eastAsia="Times New Roman" w:hAnsi="Times New Roman" w:cs="Times New Roman"/>
                  <w:color w:val="0000FF"/>
                  <w:sz w:val="20"/>
                  <w:u w:val="single"/>
                </w:rPr>
                <w:t>Business Financing Agreement, dated as of March 1, 2013, between the Company and Bridge Bank, National Association (Incorporated by reference to Exhibit 10.3 to the Company’s Annual Report on Form 10-K filed with the SEC on March 29, 2013).</w:t>
              </w:r>
            </w:hyperlink>
          </w:p>
        </w:tc>
      </w:tr>
      <w:tr>
        <w:tblPrEx>
          <w:tblW w:w="10251"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10.3</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(a)</w:t>
            </w: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32" w:history="1">
              <w:r>
                <w:rPr>
                  <w:rFonts w:ascii="Times New Roman" w:eastAsia="Times New Roman" w:hAnsi="Times New Roman" w:cs="Times New Roman"/>
                  <w:color w:val="0000FF"/>
                  <w:sz w:val="20"/>
                  <w:u w:val="single"/>
                </w:rPr>
                <w:t>2011 Equity Incentive Plan, As Amended and Restated December 18, 2020 (Incorporated by reference to Exhibit 10.1 to the Company’s Current Report on Form 8-K filed with the SEC on December 21, 2020).</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10.4</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(a)</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33" w:history="1">
              <w:r>
                <w:rPr>
                  <w:rFonts w:ascii="Times New Roman" w:eastAsia="Times New Roman" w:hAnsi="Times New Roman" w:cs="Times New Roman"/>
                  <w:color w:val="0000FF"/>
                  <w:sz w:val="20"/>
                  <w:u w:val="single"/>
                </w:rPr>
                <w:t>2014 Employee Stock Purchase Plan, As Amended and Restated December 18, 2018 (Incorporated by reference to Exhibit 10.2 to the Company’s Current Report on Form 8-K filed with the SEC on December 20, 2018).</w:t>
              </w:r>
            </w:hyperlink>
          </w:p>
        </w:tc>
      </w:tr>
      <w:tr>
        <w:tblPrEx>
          <w:tblW w:w="10251"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10.5</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(a)</w:t>
            </w: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34" w:history="1">
              <w:r>
                <w:rPr>
                  <w:rFonts w:ascii="Times New Roman" w:eastAsia="Times New Roman" w:hAnsi="Times New Roman" w:cs="Times New Roman"/>
                  <w:color w:val="0000FF"/>
                  <w:sz w:val="20"/>
                  <w:u w:val="single"/>
                </w:rPr>
                <w:t>Director compensation plan (Incorporated by reference to Exhibit 10.1 to the Company’s Quarterly Report on Form 10-Q filed with the SEC on November 12, 2020).</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10.6</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(a)</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35" w:history="1">
              <w:r>
                <w:rPr>
                  <w:rFonts w:ascii="Times New Roman" w:eastAsia="Times New Roman" w:hAnsi="Times New Roman" w:cs="Times New Roman"/>
                  <w:color w:val="0000FF"/>
                  <w:sz w:val="20"/>
                  <w:u w:val="single"/>
                </w:rPr>
                <w:t>Amended and Restated Employment Agreement between IZEA, Inc. and Edward Murphy dated April 21, 2019 (Incorporated by reference to Exhibit 10.1 to the Company’s Current Report on Form 8-K filed with the SEC on April 24, 2019).</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10.7</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(a)</w:t>
            </w: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36" w:history="1">
              <w:r>
                <w:rPr>
                  <w:rFonts w:ascii="Times New Roman" w:eastAsia="Times New Roman" w:hAnsi="Times New Roman" w:cs="Times New Roman"/>
                  <w:color w:val="0000FF"/>
                  <w:sz w:val="20"/>
                  <w:u w:val="single"/>
                </w:rPr>
                <w:t>Amended and Restated Executive Employment Agreement between IZEA, Inc. and Ryan Schram dated January 25, 2015 (Incorporated by reference to Exhibit 10.1 to the Company’s Current Report on Form 8-K filed with the SEC on January 29, 2015).</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10.8</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(a)</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37" w:history="1">
              <w:r>
                <w:rPr>
                  <w:rFonts w:ascii="Times New Roman" w:eastAsia="Times New Roman" w:hAnsi="Times New Roman" w:cs="Times New Roman"/>
                  <w:color w:val="0000FF"/>
                  <w:sz w:val="20"/>
                  <w:u w:val="single"/>
                </w:rPr>
                <w:t xml:space="preserve">Amended and Restated Executive Employment Agreement between IZEA, Inc. and Ryan Schram dated January </w:t>
              </w:r>
            </w:hyperlink>
            <w:hyperlink r:id="rId37" w:history="1">
              <w:r>
                <w:rPr>
                  <w:rFonts w:ascii="Times New Roman" w:eastAsia="Times New Roman" w:hAnsi="Times New Roman" w:cs="Times New Roman"/>
                  <w:color w:val="0000FF"/>
                  <w:sz w:val="20"/>
                  <w:u w:val="single"/>
                </w:rPr>
                <w:t>1</w:t>
              </w:r>
            </w:hyperlink>
            <w:hyperlink r:id="rId37" w:history="1">
              <w:r>
                <w:rPr>
                  <w:rFonts w:ascii="Times New Roman" w:eastAsia="Times New Roman" w:hAnsi="Times New Roman" w:cs="Times New Roman"/>
                  <w:color w:val="0000FF"/>
                  <w:sz w:val="20"/>
                  <w:u w:val="single"/>
                </w:rPr>
                <w:t>, 2021</w:t>
              </w:r>
            </w:hyperlink>
            <w:hyperlink r:id="rId37" w:history="1">
              <w:r>
                <w:rPr>
                  <w:rFonts w:ascii="Times New Roman" w:eastAsia="Times New Roman" w:hAnsi="Times New Roman" w:cs="Times New Roman"/>
                  <w:color w:val="0000FF"/>
                  <w:sz w:val="20"/>
                  <w:u w:val="single"/>
                </w:rPr>
                <w:t xml:space="preserve"> (Incorporated by reference to Exhibit 10.1 to the Company’s Current Report on Form 8-K filed with the SEC on January </w:t>
              </w:r>
            </w:hyperlink>
            <w:hyperlink r:id="rId37" w:history="1">
              <w:r>
                <w:rPr>
                  <w:rFonts w:ascii="Times New Roman" w:eastAsia="Times New Roman" w:hAnsi="Times New Roman" w:cs="Times New Roman"/>
                  <w:color w:val="0000FF"/>
                  <w:sz w:val="20"/>
                  <w:u w:val="single"/>
                </w:rPr>
                <w:t>6</w:t>
              </w:r>
            </w:hyperlink>
            <w:hyperlink r:id="rId37" w:history="1">
              <w:r>
                <w:rPr>
                  <w:rFonts w:ascii="Times New Roman" w:eastAsia="Times New Roman" w:hAnsi="Times New Roman" w:cs="Times New Roman"/>
                  <w:color w:val="0000FF"/>
                  <w:sz w:val="20"/>
                  <w:u w:val="single"/>
                </w:rPr>
                <w:t>, 20</w:t>
              </w:r>
            </w:hyperlink>
            <w:hyperlink r:id="rId37" w:history="1">
              <w:r>
                <w:rPr>
                  <w:rFonts w:ascii="Times New Roman" w:eastAsia="Times New Roman" w:hAnsi="Times New Roman" w:cs="Times New Roman"/>
                  <w:color w:val="0000FF"/>
                  <w:sz w:val="20"/>
                  <w:u w:val="single"/>
                </w:rPr>
                <w:t>21</w:t>
              </w:r>
            </w:hyperlink>
            <w:hyperlink r:id="rId37" w:history="1">
              <w:r>
                <w:rPr>
                  <w:rFonts w:ascii="Times New Roman" w:eastAsia="Times New Roman" w:hAnsi="Times New Roman" w:cs="Times New Roman"/>
                  <w:color w:val="0000FF"/>
                  <w:sz w:val="20"/>
                  <w:u w:val="single"/>
                </w:rPr>
                <w:t>).</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10.9</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38" w:history="1">
              <w:r>
                <w:rPr>
                  <w:rFonts w:ascii="Times New Roman" w:eastAsia="Times New Roman" w:hAnsi="Times New Roman" w:cs="Times New Roman"/>
                  <w:color w:val="0000FF"/>
                  <w:sz w:val="20"/>
                  <w:u w:val="single"/>
                </w:rPr>
                <w:t>Business Financing Modification Agreement and Consent, dated as of August 30, 2018, by and among IZEA Worldwide, Inc., Ebyline, Inc., TapInfluence, Inc. and Western Alliance Bank (Incorporated by reference to Exhibit 10.4 to the Company's Quarterly Report on Form 10-Q filed with the SEC on November 14, 2018).</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10.10</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39" w:history="1">
              <w:r>
                <w:rPr>
                  <w:rFonts w:ascii="Times New Roman" w:eastAsia="Times New Roman" w:hAnsi="Times New Roman" w:cs="Times New Roman"/>
                  <w:color w:val="0000FF"/>
                  <w:sz w:val="20"/>
                  <w:u w:val="single"/>
                </w:rPr>
                <w:t>Note, dated as of April 23, 2020, issued by IZEA Worldwide, Inc. to Western Alliance Bank (Incorporated by reference to Exhibit 10.1 to the Company’s Current Report on Form 8-K filed with the SEC on April 24, 2020).</w:t>
              </w:r>
            </w:hyperlink>
          </w:p>
        </w:tc>
      </w:tr>
      <w:tr>
        <w:tblPrEx>
          <w:tblW w:w="10251"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10.11</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(a)</w:t>
            </w: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40" w:history="1">
              <w:r>
                <w:rPr>
                  <w:rFonts w:ascii="Times New Roman" w:eastAsia="Times New Roman" w:hAnsi="Times New Roman" w:cs="Times New Roman"/>
                  <w:color w:val="0000FF"/>
                  <w:sz w:val="20"/>
                  <w:u w:val="single"/>
                </w:rPr>
                <w:t>Employment Agreement between IZEA, Inc. and Peter Biere effective April 1, 2021 (Incorporated by reference to Exhibit 10.1 to the Company’s Current Report on Form 8-K filed with the SEC on March 18, 2021).</w:t>
              </w:r>
            </w:hyperlink>
          </w:p>
        </w:tc>
      </w:tr>
      <w:tr>
        <w:tblPrEx>
          <w:tblW w:w="10251" w:type="dxa"/>
          <w:tblInd w:w="0" w:type="dxa"/>
          <w:tblCellMar>
            <w:left w:w="108" w:type="dxa"/>
            <w:right w:w="108" w:type="dxa"/>
          </w:tblCellMar>
        </w:tblPrEx>
        <w:trPr>
          <w:cantSplit/>
          <w:trHeight w:hRule="exact" w:val="300"/>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21.1</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41" w:history="1">
              <w:r>
                <w:rPr>
                  <w:rFonts w:ascii="Times New Roman" w:eastAsia="Times New Roman" w:hAnsi="Times New Roman" w:cs="Times New Roman"/>
                  <w:color w:val="0000FF"/>
                  <w:sz w:val="20"/>
                  <w:u w:val="single"/>
                </w:rPr>
                <w:t>List of Subsidiaries of IZEA Worldwide, Inc.</w:t>
              </w:r>
            </w:hyperlink>
          </w:p>
        </w:tc>
      </w:tr>
      <w:tr>
        <w:tblPrEx>
          <w:tblW w:w="10251" w:type="dxa"/>
          <w:tblInd w:w="0" w:type="dxa"/>
          <w:tblCellMar>
            <w:left w:w="108" w:type="dxa"/>
            <w:right w:w="108" w:type="dxa"/>
          </w:tblCellMar>
        </w:tblPrEx>
        <w:trPr>
          <w:cantSplit/>
          <w:trHeight w:hRule="exact" w:val="300"/>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23.1</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w:t>
            </w: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42" w:history="1">
              <w:r>
                <w:rPr>
                  <w:rFonts w:ascii="Times New Roman" w:eastAsia="Times New Roman" w:hAnsi="Times New Roman" w:cs="Times New Roman"/>
                  <w:color w:val="0000FF"/>
                  <w:sz w:val="20"/>
                  <w:u w:val="single"/>
                </w:rPr>
                <w:t>Consent of BDO USA, LLP, independent registered public accounting firm.</w:t>
              </w:r>
            </w:hyperlink>
          </w:p>
        </w:tc>
      </w:tr>
      <w:tr>
        <w:tblPrEx>
          <w:tblW w:w="10251" w:type="dxa"/>
          <w:tblInd w:w="0" w:type="dxa"/>
          <w:tblCellMar>
            <w:left w:w="108" w:type="dxa"/>
            <w:right w:w="108" w:type="dxa"/>
          </w:tblCellMar>
        </w:tblPrEx>
        <w:trPr>
          <w:cantSplit/>
          <w:trHeight w:hRule="exact" w:val="300"/>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31.1</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43" w:history="1">
              <w:r>
                <w:rPr>
                  <w:rFonts w:ascii="Times New Roman" w:eastAsia="Times New Roman" w:hAnsi="Times New Roman" w:cs="Times New Roman"/>
                  <w:color w:val="0000FF"/>
                  <w:sz w:val="20"/>
                  <w:u w:val="single"/>
                </w:rPr>
                <w:t>Certification of Principal Executive Officer pursuant to Section 302 of the Sarbanes-Oxley Act of 2002.</w:t>
              </w:r>
            </w:hyperlink>
          </w:p>
        </w:tc>
      </w:tr>
      <w:tr>
        <w:tblPrEx>
          <w:tblW w:w="10251"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31.2</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w:t>
            </w: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44" w:history="1">
              <w:r>
                <w:rPr>
                  <w:rFonts w:ascii="Times New Roman" w:eastAsia="Times New Roman" w:hAnsi="Times New Roman" w:cs="Times New Roman"/>
                  <w:color w:val="0000FF"/>
                  <w:sz w:val="20"/>
                  <w:u w:val="single"/>
                </w:rPr>
                <w:t>Certification of Principal Financial and Accounting Officer pursuant to Section 302 of the Sarbanes-Oxley Act of 2002.</w:t>
              </w:r>
            </w:hyperlink>
          </w:p>
        </w:tc>
      </w:tr>
      <w:tr>
        <w:tblPrEx>
          <w:tblW w:w="10251"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32.1</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 (a)</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45" w:history="1">
              <w:r>
                <w:rPr>
                  <w:rFonts w:ascii="Times New Roman" w:eastAsia="Times New Roman" w:hAnsi="Times New Roman" w:cs="Times New Roman"/>
                  <w:color w:val="0000FF"/>
                  <w:sz w:val="20"/>
                  <w:u w:val="single"/>
                </w:rPr>
                <w:t>Certification of Principal Executive Officer pursuant to 18 U.S.C. Section 1350, as adopted pursuant to Section 906 of the Sarbanes-Oxley Act of 2002.</w:t>
              </w:r>
            </w:hyperlink>
          </w:p>
        </w:tc>
      </w:tr>
      <w:tr>
        <w:tblPrEx>
          <w:tblW w:w="10251"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32.2</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 (a)</w:t>
            </w: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numPr>
                <w:ilvl w:val="0"/>
                <w:numId w:val="0"/>
              </w:numPr>
              <w:spacing w:before="75" w:after="30" w:line="240" w:lineRule="auto"/>
              <w:ind w:left="0" w:right="0" w:firstLine="0"/>
              <w:jc w:val="left"/>
              <w:outlineLvl w:val="9"/>
              <w:rPr>
                <w:rFonts w:ascii="Times New Roman" w:eastAsia="Times New Roman" w:hAnsi="Times New Roman" w:cs="Times New Roman"/>
                <w:sz w:val="20"/>
              </w:rPr>
            </w:pPr>
            <w:hyperlink r:id="rId46" w:history="1">
              <w:r>
                <w:rPr>
                  <w:rFonts w:ascii="Times New Roman" w:eastAsia="Times New Roman" w:hAnsi="Times New Roman" w:cs="Times New Roman"/>
                  <w:color w:val="0000FF"/>
                  <w:sz w:val="20"/>
                  <w:u w:val="single"/>
                </w:rPr>
                <w:t>Certification of Principal Financial and Accounting Officer pursuant to 18 U.S.C. Section 1350, as adopted pursuant to Section 906 of the Sarbanes-Oxley Act of 2002.</w:t>
              </w:r>
            </w:hyperlink>
          </w:p>
        </w:tc>
      </w:tr>
      <w:tr>
        <w:tblPrEx>
          <w:tblW w:w="10251" w:type="dxa"/>
          <w:tblInd w:w="0" w:type="dxa"/>
          <w:tblCellMar>
            <w:left w:w="108" w:type="dxa"/>
            <w:right w:w="108" w:type="dxa"/>
          </w:tblCellMar>
        </w:tblPrEx>
        <w:trPr>
          <w:cantSplit/>
          <w:trHeight w:hRule="exact" w:val="109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pageBreakBefore w:val="0"/>
              <w:spacing w:before="75" w:after="30" w:line="240" w:lineRule="auto"/>
              <w:ind w:left="0"/>
              <w:jc w:val="left"/>
            </w:pPr>
            <w:r>
              <w:rPr>
                <w:rFonts w:ascii="Times New Roman" w:eastAsia="Times New Roman" w:hAnsi="Times New Roman" w:cs="Times New Roman"/>
                <w:color w:val="000000"/>
                <w:sz w:val="20"/>
              </w:rPr>
              <w:t>101</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40" w:lineRule="auto"/>
              <w:ind w:left="0"/>
              <w:jc w:val="left"/>
            </w:pPr>
            <w:r>
              <w:rPr>
                <w:rFonts w:ascii="Times New Roman" w:eastAsia="Times New Roman" w:hAnsi="Times New Roman" w:cs="Times New Roman"/>
                <w:color w:val="000000"/>
                <w:sz w:val="20"/>
              </w:rPr>
              <w:t>* (b)</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The following materials from IZEA Worldwide, Inc.'s Annual Report for the year ended December 31, 2020 are formatted in XBRL (eXtensible Business Reporting Language): (i) the Consolidated Balance Sheets, (ii) the Consolidated Statements of Operations and Comprehensive Loss, (iii) the Consolidated Statement of Stockholders' Equity, (iv) the Consolidated Statements of Cash Flow, and (iv) the Notes to the Consolidated Financial Statements.</w:t>
            </w:r>
          </w:p>
        </w:tc>
      </w:tr>
    </w:tbl>
    <w:p>
      <w:pPr>
        <w:keepNext w:val="0"/>
        <w:keepLines w:val="0"/>
        <w:pageBreakBefore w:val="0"/>
        <w:widowControl/>
        <w:numPr>
          <w:ilvl w:val="0"/>
          <w:numId w:val="0"/>
        </w:numPr>
        <w:spacing w:before="10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720"/>
        </w:tabs>
        <w:spacing w:before="0" w:after="0" w:line="288" w:lineRule="auto"/>
        <w:ind w:left="720" w:right="0" w:hanging="720"/>
        <w:jc w:val="both"/>
        <w:outlineLvl w:val="9"/>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0"/>
        </w:rPr>
        <w:t>Filed</w:t>
      </w:r>
      <w:r>
        <w:rPr>
          <w:rFonts w:ascii="Times New Roman" w:eastAsia="Times New Roman" w:hAnsi="Times New Roman" w:cs="Times New Roman"/>
          <w:sz w:val="20"/>
        </w:rPr>
        <w:t xml:space="preserve"> or furnished herewith.</w:t>
      </w:r>
    </w:p>
    <w:p>
      <w:pPr>
        <w:keepNext w:val="0"/>
        <w:keepLines w:val="0"/>
        <w:pageBreakBefore w:val="0"/>
        <w:widowControl/>
        <w:numPr>
          <w:ilvl w:val="0"/>
          <w:numId w:val="0"/>
        </w:numPr>
        <w:tabs>
          <w:tab w:val="left" w:pos="720"/>
        </w:tabs>
        <w:spacing w:before="0" w:after="0" w:line="288" w:lineRule="auto"/>
        <w:ind w:left="720" w:right="0" w:hanging="72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val="0"/>
        <w:keepLines w:val="0"/>
        <w:pageBreakBefore w:val="0"/>
        <w:widowControl/>
        <w:numPr>
          <w:ilvl w:val="0"/>
          <w:numId w:val="0"/>
        </w:numPr>
        <w:tabs>
          <w:tab w:val="left" w:pos="720"/>
        </w:tabs>
        <w:spacing w:before="0" w:after="0" w:line="276" w:lineRule="auto"/>
        <w:ind w:left="720" w:right="0" w:hanging="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w:t>
      </w:r>
      <w:r>
        <w:rPr>
          <w:rFonts w:ascii="Times New Roman" w:eastAsia="Times New Roman" w:hAnsi="Times New Roman" w:cs="Times New Roman"/>
          <w:sz w:val="20"/>
        </w:rPr>
        <w:tab/>
      </w:r>
      <w:r>
        <w:rPr>
          <w:rFonts w:ascii="Times New Roman" w:eastAsia="Times New Roman" w:hAnsi="Times New Roman" w:cs="Times New Roman"/>
          <w:sz w:val="20"/>
        </w:rPr>
        <w:t>Denotes management contract or compensatory plan or arrangement.</w:t>
      </w:r>
    </w:p>
    <w:p>
      <w:pPr>
        <w:keepNext w:val="0"/>
        <w:keepLines w:val="0"/>
        <w:pageBreakBefore w:val="0"/>
        <w:widowControl/>
        <w:numPr>
          <w:ilvl w:val="0"/>
          <w:numId w:val="0"/>
        </w:numPr>
        <w:tabs>
          <w:tab w:val="left" w:pos="720"/>
        </w:tabs>
        <w:spacing w:before="0" w:after="0" w:line="276" w:lineRule="auto"/>
        <w:ind w:left="720" w:right="0" w:hanging="720"/>
        <w:jc w:val="left"/>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720"/>
        </w:tabs>
        <w:spacing w:before="0" w:after="0" w:line="288" w:lineRule="auto"/>
        <w:ind w:left="720" w:right="0" w:hanging="720"/>
        <w:jc w:val="left"/>
        <w:outlineLvl w:val="9"/>
        <w:rPr>
          <w:rFonts w:ascii="Times New Roman" w:eastAsia="Times New Roman" w:hAnsi="Times New Roman" w:cs="Times New Roman"/>
          <w:sz w:val="20"/>
        </w:rPr>
      </w:pPr>
      <w:r>
        <w:rPr>
          <w:rFonts w:ascii="Times New Roman" w:eastAsia="Times New Roman" w:hAnsi="Times New Roman" w:cs="Times New Roman"/>
          <w:sz w:val="20"/>
        </w:rPr>
        <w:t>(b)</w:t>
      </w:r>
      <w:r>
        <w:rPr>
          <w:rFonts w:ascii="Times New Roman" w:eastAsia="Times New Roman" w:hAnsi="Times New Roman" w:cs="Times New Roman"/>
          <w:sz w:val="20"/>
        </w:rPr>
        <w:tab/>
      </w:r>
      <w:r>
        <w:rPr>
          <w:rFonts w:ascii="Times New Roman" w:eastAsia="Times New Roman" w:hAnsi="Times New Roman" w:cs="Times New Roman"/>
          <w:sz w:val="20"/>
        </w:rPr>
        <w:t>In accordance with Item 601of Regulation S-K, this Exhibit is hereby furnished to the SEC as an accompanying document and is not deemed “filed” for purposes of Section 18 of the Securities Exchange Act of 1934, as amended (the “Exchange Act”) or otherwise subject to the liabilities of that Section, nor shall it be deemed incorporated by reference into any filing under the Securities Act of 1933.</w:t>
      </w:r>
    </w:p>
    <w:p>
      <w:pPr>
        <w:keepNext w:val="0"/>
        <w:keepLines w:val="0"/>
        <w:pageBreakBefore w:val="0"/>
        <w:widowControl/>
        <w:numPr>
          <w:ilvl w:val="0"/>
          <w:numId w:val="0"/>
        </w:numPr>
        <w:spacing w:before="0" w:after="0" w:line="288" w:lineRule="auto"/>
        <w:ind w:left="720" w:right="0" w:hanging="720"/>
        <w:jc w:val="both"/>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720"/>
        </w:tabs>
        <w:spacing w:before="0" w:after="0" w:line="288" w:lineRule="auto"/>
        <w:ind w:left="720" w:right="0" w:hanging="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z w:val="20"/>
        </w:rPr>
        <w:t>c</w:t>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0"/>
        </w:rPr>
        <w:t>In accordance with Rule 406T of Regulation S-T, the XBRL related information in Exhibit 101 to this Quarterly Report on Form 10-Q shall not be deemed to be “filed” for purposes of Section 18 of the Exchange Act, or otherwise subject to the liability of that section, and shall not be incorporated by reference into any registration statement or other document filed under the Securities Act of 1933, as amended, or the Exchange Act, except as shall be expressly set forth by specific reference in such filing.</w:t>
      </w:r>
    </w:p>
    <w:p>
      <w:pPr>
        <w:keepNext w:val="0"/>
        <w:keepLines w:val="0"/>
        <w:pageBreakBefore w:val="0"/>
        <w:widowControl/>
        <w:numPr>
          <w:ilvl w:val="0"/>
          <w:numId w:val="0"/>
        </w:numPr>
        <w:tabs>
          <w:tab w:val="left" w:pos="720"/>
        </w:tabs>
        <w:spacing w:before="0" w:after="0" w:line="288" w:lineRule="auto"/>
        <w:ind w:left="720" w:right="0" w:hanging="720"/>
        <w:jc w:val="left"/>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720"/>
        </w:tabs>
        <w:spacing w:before="0" w:after="0" w:line="288" w:lineRule="auto"/>
        <w:ind w:left="720" w:right="0" w:hanging="720"/>
        <w:jc w:val="left"/>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720"/>
        </w:tabs>
        <w:spacing w:before="0" w:after="0" w:line="288" w:lineRule="auto"/>
        <w:ind w:left="720" w:right="0" w:hanging="72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left"/>
        <w:outlineLvl w:val="1"/>
        <w:rPr>
          <w:rFonts w:ascii="Times New Roman" w:eastAsia="Times New Roman" w:hAnsi="Times New Roman" w:cs="Times New Roman"/>
          <w:b/>
          <w:sz w:val="20"/>
        </w:rPr>
      </w:pPr>
      <w:bookmarkStart w:id="53" w:name="Section54"/>
      <w:bookmarkEnd w:id="53"/>
      <w:r>
        <w:rPr>
          <w:rFonts w:ascii="Times New Roman" w:eastAsia="Times New Roman" w:hAnsi="Times New Roman" w:cs="Times New Roman"/>
          <w:b/>
          <w:sz w:val="20"/>
        </w:rPr>
        <w:t>ITEM 16 – FORM 10-K SUMMARY</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None</w:t>
      </w: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88" w:lineRule="auto"/>
        <w:ind w:left="0" w:right="0" w:firstLine="0"/>
        <w:jc w:val="center"/>
        <w:outlineLvl w:val="0"/>
        <w:rPr>
          <w:rFonts w:ascii="Times New Roman" w:eastAsia="Times New Roman" w:hAnsi="Times New Roman" w:cs="Times New Roman"/>
          <w:b/>
          <w:sz w:val="20"/>
        </w:rPr>
      </w:pPr>
      <w:bookmarkStart w:id="54" w:name="Section55"/>
      <w:bookmarkEnd w:id="54"/>
      <w:r>
        <w:rPr>
          <w:rFonts w:ascii="Times New Roman" w:eastAsia="Times New Roman" w:hAnsi="Times New Roman" w:cs="Times New Roman"/>
          <w:b/>
          <w:sz w:val="20"/>
        </w:rPr>
        <w:t>SIGNATURES</w:t>
      </w: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8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Pursuant to the requirements of </w:t>
      </w:r>
      <w:r>
        <w:rPr>
          <w:rFonts w:ascii="Times New Roman" w:eastAsia="Times New Roman" w:hAnsi="Times New Roman" w:cs="Times New Roman"/>
          <w:sz w:val="20"/>
        </w:rPr>
        <w:t xml:space="preserve">Section 13 or 15(d) of </w:t>
      </w:r>
      <w:r>
        <w:rPr>
          <w:rFonts w:ascii="Times New Roman" w:eastAsia="Times New Roman" w:hAnsi="Times New Roman" w:cs="Times New Roman"/>
          <w:sz w:val="20"/>
        </w:rPr>
        <w:t>the Securities Exchange Act of 1934, the Registrant has duly caused this report to be signed on its behalf by the undersigned, thereunto duly authorized.</w:t>
      </w:r>
    </w:p>
    <w:p>
      <w:pPr>
        <w:keepNext w:val="0"/>
        <w:keepLines w:val="0"/>
        <w:pageBreakBefore w:val="0"/>
        <w:widowControl/>
        <w:numPr>
          <w:ilvl w:val="0"/>
          <w:numId w:val="0"/>
        </w:numPr>
        <w:spacing w:before="0" w:after="10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tbl>
      <w:tblPr>
        <w:tblW w:w="104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20"/>
        <w:gridCol w:w="495"/>
        <w:gridCol w:w="6615"/>
      </w:tblGrid>
      <w:tr>
        <w:tblPrEx>
          <w:tblW w:w="104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80"/>
        </w:trPr>
        <w:tc>
          <w:tcPr>
            <w:tcW w:w="312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7110"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75" w:line="240" w:lineRule="auto"/>
              <w:ind w:left="0"/>
              <w:jc w:val="left"/>
            </w:pPr>
            <w:r>
              <w:rPr>
                <w:rFonts w:ascii="Times New Roman" w:eastAsia="Times New Roman" w:hAnsi="Times New Roman" w:cs="Times New Roman"/>
                <w:b/>
                <w:color w:val="000000"/>
                <w:sz w:val="20"/>
              </w:rPr>
              <w:t>IZEA Worldwide, Inc.</w:t>
            </w:r>
          </w:p>
          <w:p>
            <w:pPr>
              <w:spacing w:after="30" w:line="240" w:lineRule="auto"/>
              <w:ind w:left="0"/>
              <w:jc w:val="left"/>
            </w:pPr>
            <w:r>
              <w:rPr>
                <w:rFonts w:ascii="Times New Roman" w:eastAsia="Times New Roman" w:hAnsi="Times New Roman" w:cs="Times New Roman"/>
                <w:b/>
                <w:color w:val="000000"/>
                <w:sz w:val="20"/>
              </w:rPr>
              <w:t>a Nevada corporation</w:t>
            </w:r>
          </w:p>
        </w:tc>
      </w:tr>
      <w:tr>
        <w:tblPrEx>
          <w:tblW w:w="10435" w:type="dxa"/>
          <w:tblInd w:w="0" w:type="dxa"/>
          <w:tblCellMar>
            <w:left w:w="108" w:type="dxa"/>
            <w:right w:w="108" w:type="dxa"/>
          </w:tblCellMar>
        </w:tblPrEx>
        <w:trPr>
          <w:cantSplit/>
          <w:trHeight w:hRule="exact" w:val="360"/>
        </w:trPr>
        <w:tc>
          <w:tcPr>
            <w:tcW w:w="312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49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661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r>
      <w:tr>
        <w:tblPrEx>
          <w:tblW w:w="10435" w:type="dxa"/>
          <w:tblInd w:w="0" w:type="dxa"/>
          <w:tblCellMar>
            <w:left w:w="108" w:type="dxa"/>
            <w:right w:w="108" w:type="dxa"/>
          </w:tblCellMar>
        </w:tblPrEx>
        <w:trPr>
          <w:cantSplit/>
          <w:trHeight w:hRule="exact" w:val="285"/>
        </w:trPr>
        <w:tc>
          <w:tcPr>
            <w:tcW w:w="312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March 30, 2021</w:t>
            </w:r>
          </w:p>
        </w:tc>
        <w:tc>
          <w:tcPr>
            <w:tcW w:w="495" w:type="dxa"/>
            <w:tcBorders>
              <w:top w:val="nil"/>
              <w:left w:val="nil"/>
              <w:bottom w:val="nil"/>
              <w:right w:val="nil"/>
            </w:tcBorders>
            <w:tcMar>
              <w:top w:w="0" w:type="dxa"/>
              <w:left w:w="53" w:type="dxa"/>
              <w:bottom w:w="0" w:type="dxa"/>
              <w:right w:w="53" w:type="dxa"/>
            </w:tcMar>
            <w:vAlign w:val="center"/>
          </w:tcPr>
          <w:p>
            <w:pPr>
              <w:keepNext/>
              <w:pageBreakBefore w:val="0"/>
              <w:spacing w:before="0" w:after="0" w:line="240" w:lineRule="auto"/>
              <w:ind w:left="0"/>
              <w:jc w:val="left"/>
            </w:pPr>
            <w:r>
              <w:rPr>
                <w:rFonts w:ascii="Times New Roman" w:eastAsia="Times New Roman" w:hAnsi="Times New Roman" w:cs="Times New Roman"/>
                <w:color w:val="000000"/>
                <w:sz w:val="20"/>
              </w:rPr>
              <w:t>By: </w:t>
            </w:r>
          </w:p>
        </w:tc>
        <w:tc>
          <w:tcPr>
            <w:tcW w:w="6615" w:type="dxa"/>
            <w:tcBorders>
              <w:top w:val="nil"/>
              <w:left w:val="nil"/>
              <w:bottom w:val="single" w:sz="16"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 Edward H. Murphy </w:t>
            </w:r>
          </w:p>
        </w:tc>
      </w:tr>
      <w:tr>
        <w:tblPrEx>
          <w:tblW w:w="10435" w:type="dxa"/>
          <w:tblInd w:w="0" w:type="dxa"/>
          <w:tblCellMar>
            <w:left w:w="108" w:type="dxa"/>
            <w:right w:w="108" w:type="dxa"/>
          </w:tblCellMar>
        </w:tblPrEx>
        <w:trPr>
          <w:cantSplit/>
          <w:trHeight w:hRule="exact" w:val="705"/>
        </w:trPr>
        <w:tc>
          <w:tcPr>
            <w:tcW w:w="312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49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40" w:lineRule="auto"/>
              <w:ind w:left="0"/>
              <w:jc w:val="left"/>
            </w:pPr>
            <w:r>
              <w:rPr>
                <w:rFonts w:ascii="Times New Roman" w:eastAsia="Times New Roman" w:hAnsi="Times New Roman" w:cs="Times New Roman"/>
                <w:color w:val="000000"/>
                <w:sz w:val="20"/>
              </w:rPr>
              <w:t> </w:t>
            </w:r>
          </w:p>
        </w:tc>
        <w:tc>
          <w:tcPr>
            <w:tcW w:w="6615" w:type="dxa"/>
            <w:tcBorders>
              <w:top w:val="single" w:sz="16" w:space="0" w:color="000000"/>
              <w:left w:val="nil"/>
              <w:bottom w:val="nil"/>
              <w:right w:val="nil"/>
            </w:tcBorders>
            <w:tcMar>
              <w:top w:w="0" w:type="dxa"/>
              <w:left w:w="53" w:type="dxa"/>
              <w:bottom w:w="0" w:type="dxa"/>
              <w:right w:w="53" w:type="dxa"/>
            </w:tcMar>
            <w:vAlign w:val="bottom"/>
          </w:tcPr>
          <w:p>
            <w:pPr>
              <w:keepNext/>
              <w:pageBreakBefore w:val="0"/>
              <w:spacing w:before="35" w:line="240" w:lineRule="auto"/>
              <w:ind w:left="0"/>
              <w:jc w:val="left"/>
            </w:pPr>
            <w:r>
              <w:rPr>
                <w:rFonts w:ascii="Times New Roman" w:eastAsia="Times New Roman" w:hAnsi="Times New Roman" w:cs="Times New Roman"/>
                <w:color w:val="000000"/>
                <w:sz w:val="20"/>
              </w:rPr>
              <w:t>Edward H. Murphy</w:t>
            </w:r>
          </w:p>
          <w:p>
            <w:pPr>
              <w:spacing w:line="240" w:lineRule="auto"/>
              <w:ind w:left="0"/>
              <w:jc w:val="left"/>
            </w:pPr>
            <w:r>
              <w:rPr>
                <w:rFonts w:ascii="Times New Roman" w:eastAsia="Times New Roman" w:hAnsi="Times New Roman" w:cs="Times New Roman"/>
                <w:color w:val="000000"/>
                <w:sz w:val="20"/>
              </w:rPr>
              <w:t>Chairman and Chief Executive Officer</w:t>
            </w:r>
          </w:p>
          <w:p>
            <w:pPr>
              <w:spacing w:after="30" w:line="240" w:lineRule="auto"/>
              <w:ind w:left="0"/>
              <w:jc w:val="left"/>
            </w:pPr>
            <w:r>
              <w:rPr>
                <w:rFonts w:ascii="Times New Roman" w:eastAsia="Times New Roman" w:hAnsi="Times New Roman" w:cs="Times New Roman"/>
                <w:color w:val="000000"/>
                <w:sz w:val="20"/>
              </w:rPr>
              <w:t>(Principal Executive Officer) </w:t>
            </w:r>
          </w:p>
        </w:tc>
      </w:tr>
      <w:tr>
        <w:tblPrEx>
          <w:tblW w:w="10435" w:type="dxa"/>
          <w:tblInd w:w="0" w:type="dxa"/>
          <w:tblCellMar>
            <w:left w:w="108" w:type="dxa"/>
            <w:right w:w="108" w:type="dxa"/>
          </w:tblCellMar>
        </w:tblPrEx>
        <w:trPr>
          <w:cantSplit/>
          <w:trHeight w:hRule="exact" w:val="360"/>
        </w:trPr>
        <w:tc>
          <w:tcPr>
            <w:tcW w:w="31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6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35" w:type="dxa"/>
          <w:tblInd w:w="0" w:type="dxa"/>
          <w:tblCellMar>
            <w:left w:w="108" w:type="dxa"/>
            <w:right w:w="108" w:type="dxa"/>
          </w:tblCellMar>
        </w:tblPrEx>
        <w:trPr>
          <w:cantSplit/>
          <w:trHeight w:hRule="exact" w:val="300"/>
        </w:trPr>
        <w:tc>
          <w:tcPr>
            <w:tcW w:w="31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March 30, 2021</w:t>
            </w:r>
          </w:p>
        </w:tc>
        <w:tc>
          <w:tcPr>
            <w:tcW w:w="495" w:type="dxa"/>
            <w:tcBorders>
              <w:top w:val="nil"/>
              <w:left w:val="nil"/>
              <w:bottom w:val="nil"/>
              <w:right w:val="nil"/>
            </w:tcBorders>
            <w:tcMar>
              <w:top w:w="0" w:type="dxa"/>
              <w:left w:w="53" w:type="dxa"/>
              <w:bottom w:w="0" w:type="dxa"/>
              <w:right w:w="53" w:type="dxa"/>
            </w:tcMar>
            <w:vAlign w:val="center"/>
          </w:tcPr>
          <w:p>
            <w:pPr>
              <w:keepNext/>
              <w:pageBreakBefore w:val="0"/>
              <w:spacing w:before="0" w:after="0" w:line="240" w:lineRule="auto"/>
              <w:ind w:left="0"/>
              <w:jc w:val="left"/>
            </w:pPr>
            <w:r>
              <w:rPr>
                <w:rFonts w:ascii="Times New Roman" w:eastAsia="Times New Roman" w:hAnsi="Times New Roman" w:cs="Times New Roman"/>
                <w:color w:val="000000"/>
                <w:sz w:val="20"/>
              </w:rPr>
              <w:t>By: </w:t>
            </w:r>
          </w:p>
        </w:tc>
        <w:tc>
          <w:tcPr>
            <w:tcW w:w="6615" w:type="dxa"/>
            <w:tcBorders>
              <w:top w:val="nil"/>
              <w:left w:val="nil"/>
              <w:bottom w:val="single" w:sz="16"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 LeAnn C. Hitchcock</w:t>
            </w:r>
          </w:p>
        </w:tc>
      </w:tr>
      <w:tr>
        <w:tblPrEx>
          <w:tblW w:w="10435" w:type="dxa"/>
          <w:tblInd w:w="0" w:type="dxa"/>
          <w:tblCellMar>
            <w:left w:w="108" w:type="dxa"/>
            <w:right w:w="108" w:type="dxa"/>
          </w:tblCellMar>
        </w:tblPrEx>
        <w:trPr>
          <w:cantSplit/>
          <w:trHeight w:hRule="exact" w:val="705"/>
        </w:trPr>
        <w:tc>
          <w:tcPr>
            <w:tcW w:w="3120"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Times New Roman" w:eastAsia="Times New Roman" w:hAnsi="Times New Roman" w:cs="Times New Roman"/>
                <w:color w:val="000000"/>
                <w:sz w:val="20"/>
              </w:rPr>
              <w:t> </w:t>
            </w:r>
          </w:p>
        </w:tc>
        <w:tc>
          <w:tcPr>
            <w:tcW w:w="495" w:type="dxa"/>
            <w:tcBorders>
              <w:top w:val="nil"/>
              <w:left w:val="nil"/>
              <w:bottom w:val="nil"/>
              <w:right w:val="nil"/>
            </w:tcBorders>
            <w:tcMar>
              <w:top w:w="0" w:type="dxa"/>
              <w:left w:w="53" w:type="dxa"/>
              <w:bottom w:w="0" w:type="dxa"/>
              <w:right w:w="53" w:type="dxa"/>
            </w:tcMar>
            <w:vAlign w:val="top"/>
          </w:tcPr>
          <w:p>
            <w:pPr>
              <w:pageBreakBefore w:val="0"/>
              <w:spacing w:before="75" w:after="30" w:line="240" w:lineRule="auto"/>
              <w:ind w:left="0"/>
              <w:jc w:val="left"/>
            </w:pPr>
            <w:r>
              <w:rPr>
                <w:rFonts w:ascii="Times New Roman" w:eastAsia="Times New Roman" w:hAnsi="Times New Roman" w:cs="Times New Roman"/>
                <w:color w:val="000000"/>
                <w:sz w:val="20"/>
              </w:rPr>
              <w:t> </w:t>
            </w:r>
          </w:p>
        </w:tc>
        <w:tc>
          <w:tcPr>
            <w:tcW w:w="6615" w:type="dxa"/>
            <w:tcBorders>
              <w:top w:val="single" w:sz="16" w:space="0" w:color="000000"/>
              <w:left w:val="nil"/>
              <w:bottom w:val="nil"/>
              <w:right w:val="nil"/>
            </w:tcBorders>
            <w:tcMar>
              <w:top w:w="0" w:type="dxa"/>
              <w:left w:w="53" w:type="dxa"/>
              <w:bottom w:w="0" w:type="dxa"/>
              <w:right w:w="53" w:type="dxa"/>
            </w:tcMar>
            <w:vAlign w:val="bottom"/>
          </w:tcPr>
          <w:p>
            <w:pPr>
              <w:pageBreakBefore w:val="0"/>
              <w:spacing w:before="35" w:line="240" w:lineRule="auto"/>
              <w:ind w:left="0"/>
              <w:jc w:val="left"/>
            </w:pPr>
            <w:r>
              <w:rPr>
                <w:rFonts w:ascii="Times New Roman" w:eastAsia="Times New Roman" w:hAnsi="Times New Roman" w:cs="Times New Roman"/>
                <w:color w:val="000000"/>
                <w:sz w:val="20"/>
              </w:rPr>
              <w:t>LeAnn C. Hitchcock</w:t>
            </w:r>
          </w:p>
          <w:p>
            <w:pPr>
              <w:spacing w:line="240" w:lineRule="auto"/>
              <w:ind w:left="0"/>
              <w:jc w:val="left"/>
            </w:pPr>
            <w:r>
              <w:rPr>
                <w:rFonts w:ascii="Times New Roman" w:eastAsia="Times New Roman" w:hAnsi="Times New Roman" w:cs="Times New Roman"/>
                <w:color w:val="000000"/>
                <w:sz w:val="20"/>
              </w:rPr>
              <w:t>Interim Chief Financial Officer</w:t>
            </w:r>
          </w:p>
          <w:p>
            <w:pPr>
              <w:spacing w:after="30" w:line="240" w:lineRule="auto"/>
              <w:ind w:left="0"/>
              <w:jc w:val="left"/>
            </w:pPr>
            <w:r>
              <w:rPr>
                <w:rFonts w:ascii="Times New Roman" w:eastAsia="Times New Roman" w:hAnsi="Times New Roman" w:cs="Times New Roman"/>
                <w:color w:val="000000"/>
                <w:sz w:val="20"/>
              </w:rPr>
              <w:t>(Principal Financial and Accounting Officer) </w:t>
            </w:r>
          </w:p>
        </w:tc>
      </w:tr>
    </w:tbl>
    <w:p>
      <w:pPr>
        <w:keepNext w:val="0"/>
        <w:keepLines w:val="0"/>
        <w:pageBreakBefore w:val="0"/>
        <w:widowControl/>
        <w:numPr>
          <w:ilvl w:val="0"/>
          <w:numId w:val="0"/>
        </w:numPr>
        <w:spacing w:before="10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41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p>
      <w:pPr>
        <w:keepNext w:val="0"/>
        <w:keepLines w:val="0"/>
        <w:pageBreakBefore/>
        <w:widowControl/>
        <w:numPr>
          <w:ilvl w:val="0"/>
          <w:numId w:val="0"/>
        </w:numPr>
        <w:spacing w:before="0" w:after="100" w:line="28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Pursuant to the requirements of the Securities Exchange Act of 1934, this Annual Report has been signed below by the following persons on behalf of the Registrant and in the capacities and on the dates indicated.</w:t>
      </w:r>
    </w:p>
    <w:tbl>
      <w:tblPr>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135"/>
        <w:gridCol w:w="105"/>
        <w:gridCol w:w="4005"/>
      </w:tblGrid>
      <w:tr>
        <w:tblPrEx>
          <w:tblW w:w="104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95"/>
          <w:jc w:val="center"/>
        </w:trPr>
        <w:tc>
          <w:tcPr>
            <w:tcW w:w="61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 Edward H. Murphy</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March 30, 2021</w:t>
            </w:r>
          </w:p>
        </w:tc>
      </w:tr>
      <w:tr>
        <w:tblPrEx>
          <w:tblW w:w="10450" w:type="dxa"/>
          <w:jc w:val="center"/>
          <w:tblInd w:w="0" w:type="dxa"/>
          <w:tblCellMar>
            <w:left w:w="108" w:type="dxa"/>
            <w:right w:w="108" w:type="dxa"/>
          </w:tblCellMar>
        </w:tblPrEx>
        <w:trPr>
          <w:cantSplit/>
          <w:trHeight w:hRule="exact" w:val="285"/>
          <w:jc w:val="center"/>
        </w:trPr>
        <w:tc>
          <w:tcPr>
            <w:tcW w:w="613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Edward H. Murphy</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285"/>
          <w:jc w:val="center"/>
        </w:trPr>
        <w:tc>
          <w:tcPr>
            <w:tcW w:w="61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Chief Executive Officer and Chairman of the Board</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285"/>
          <w:jc w:val="center"/>
        </w:trPr>
        <w:tc>
          <w:tcPr>
            <w:tcW w:w="61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(Principal Executive Officer)</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795"/>
          <w:jc w:val="center"/>
        </w:trPr>
        <w:tc>
          <w:tcPr>
            <w:tcW w:w="61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 LeAnn C. Hitchcock</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March 30, 2021</w:t>
            </w:r>
          </w:p>
        </w:tc>
      </w:tr>
      <w:tr>
        <w:tblPrEx>
          <w:tblW w:w="10450" w:type="dxa"/>
          <w:jc w:val="center"/>
          <w:tblInd w:w="0" w:type="dxa"/>
          <w:tblCellMar>
            <w:left w:w="108" w:type="dxa"/>
            <w:right w:w="108" w:type="dxa"/>
          </w:tblCellMar>
        </w:tblPrEx>
        <w:trPr>
          <w:cantSplit/>
          <w:trHeight w:hRule="exact" w:val="285"/>
          <w:jc w:val="center"/>
        </w:trPr>
        <w:tc>
          <w:tcPr>
            <w:tcW w:w="613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LeAnn C. Hitchcock</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285"/>
          <w:jc w:val="center"/>
        </w:trPr>
        <w:tc>
          <w:tcPr>
            <w:tcW w:w="61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Interim Chief Financial Officer</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285"/>
          <w:jc w:val="center"/>
        </w:trPr>
        <w:tc>
          <w:tcPr>
            <w:tcW w:w="61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(Principal Financial and Accounting Officer)</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795"/>
          <w:jc w:val="center"/>
        </w:trPr>
        <w:tc>
          <w:tcPr>
            <w:tcW w:w="61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 Ryan S. Schram</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March 30, 2021</w:t>
            </w:r>
          </w:p>
        </w:tc>
      </w:tr>
      <w:tr>
        <w:tblPrEx>
          <w:tblW w:w="10450" w:type="dxa"/>
          <w:jc w:val="center"/>
          <w:tblInd w:w="0" w:type="dxa"/>
          <w:tblCellMar>
            <w:left w:w="108" w:type="dxa"/>
            <w:right w:w="108" w:type="dxa"/>
          </w:tblCellMar>
        </w:tblPrEx>
        <w:trPr>
          <w:cantSplit/>
          <w:trHeight w:hRule="exact" w:val="285"/>
          <w:jc w:val="center"/>
        </w:trPr>
        <w:tc>
          <w:tcPr>
            <w:tcW w:w="613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Ryan S. Schram</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285"/>
          <w:jc w:val="center"/>
        </w:trPr>
        <w:tc>
          <w:tcPr>
            <w:tcW w:w="61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President, Chief Operating Officer and Director</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795"/>
          <w:jc w:val="center"/>
        </w:trPr>
        <w:tc>
          <w:tcPr>
            <w:tcW w:w="61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 Brian W. Brady</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March 30, 2021</w:t>
            </w:r>
          </w:p>
        </w:tc>
      </w:tr>
      <w:tr>
        <w:tblPrEx>
          <w:tblW w:w="10450" w:type="dxa"/>
          <w:jc w:val="center"/>
          <w:tblInd w:w="0" w:type="dxa"/>
          <w:tblCellMar>
            <w:left w:w="108" w:type="dxa"/>
            <w:right w:w="108" w:type="dxa"/>
          </w:tblCellMar>
        </w:tblPrEx>
        <w:trPr>
          <w:cantSplit/>
          <w:trHeight w:hRule="exact" w:val="285"/>
          <w:jc w:val="center"/>
        </w:trPr>
        <w:tc>
          <w:tcPr>
            <w:tcW w:w="613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Brian W. Brady</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285"/>
          <w:jc w:val="center"/>
        </w:trPr>
        <w:tc>
          <w:tcPr>
            <w:tcW w:w="61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Director</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795"/>
          <w:jc w:val="center"/>
        </w:trPr>
        <w:tc>
          <w:tcPr>
            <w:tcW w:w="61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 John H. Caron</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March 30, 2021</w:t>
            </w:r>
          </w:p>
        </w:tc>
      </w:tr>
      <w:tr>
        <w:tblPrEx>
          <w:tblW w:w="10450" w:type="dxa"/>
          <w:jc w:val="center"/>
          <w:tblInd w:w="0" w:type="dxa"/>
          <w:tblCellMar>
            <w:left w:w="108" w:type="dxa"/>
            <w:right w:w="108" w:type="dxa"/>
          </w:tblCellMar>
        </w:tblPrEx>
        <w:trPr>
          <w:cantSplit/>
          <w:trHeight w:hRule="exact" w:val="285"/>
          <w:jc w:val="center"/>
        </w:trPr>
        <w:tc>
          <w:tcPr>
            <w:tcW w:w="613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John H. Caron</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285"/>
          <w:jc w:val="center"/>
        </w:trPr>
        <w:tc>
          <w:tcPr>
            <w:tcW w:w="61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Director</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795"/>
          <w:jc w:val="center"/>
        </w:trPr>
        <w:tc>
          <w:tcPr>
            <w:tcW w:w="61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 Lindsay A. Gardner</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March 30, 2021</w:t>
            </w:r>
          </w:p>
        </w:tc>
      </w:tr>
      <w:tr>
        <w:tblPrEx>
          <w:tblW w:w="10450" w:type="dxa"/>
          <w:jc w:val="center"/>
          <w:tblInd w:w="0" w:type="dxa"/>
          <w:tblCellMar>
            <w:left w:w="108" w:type="dxa"/>
            <w:right w:w="108" w:type="dxa"/>
          </w:tblCellMar>
        </w:tblPrEx>
        <w:trPr>
          <w:cantSplit/>
          <w:trHeight w:hRule="exact" w:val="285"/>
          <w:jc w:val="center"/>
        </w:trPr>
        <w:tc>
          <w:tcPr>
            <w:tcW w:w="613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Lindsay A. Gardner</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285"/>
          <w:jc w:val="center"/>
        </w:trPr>
        <w:tc>
          <w:tcPr>
            <w:tcW w:w="61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Director</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795"/>
          <w:jc w:val="center"/>
        </w:trPr>
        <w:tc>
          <w:tcPr>
            <w:tcW w:w="61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 Jill M. Golder</w:t>
            </w:r>
          </w:p>
        </w:tc>
        <w:tc>
          <w:tcPr>
            <w:tcW w:w="1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40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March 30, 2021</w:t>
            </w:r>
          </w:p>
        </w:tc>
      </w:tr>
      <w:tr>
        <w:tblPrEx>
          <w:tblW w:w="10450" w:type="dxa"/>
          <w:jc w:val="center"/>
          <w:tblInd w:w="0" w:type="dxa"/>
          <w:tblCellMar>
            <w:left w:w="108" w:type="dxa"/>
            <w:right w:w="108" w:type="dxa"/>
          </w:tblCellMar>
        </w:tblPrEx>
        <w:trPr>
          <w:cantSplit/>
          <w:trHeight w:hRule="exact" w:val="300"/>
          <w:jc w:val="center"/>
        </w:trPr>
        <w:tc>
          <w:tcPr>
            <w:tcW w:w="613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Jill M. Golder</w:t>
            </w:r>
          </w:p>
        </w:tc>
        <w:tc>
          <w:tcPr>
            <w:tcW w:w="1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40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right="0"/>
              <w:jc w:val="right"/>
            </w:pPr>
          </w:p>
        </w:tc>
      </w:tr>
      <w:tr>
        <w:tblPrEx>
          <w:tblW w:w="10450" w:type="dxa"/>
          <w:jc w:val="center"/>
          <w:tblInd w:w="0" w:type="dxa"/>
          <w:tblCellMar>
            <w:left w:w="108" w:type="dxa"/>
            <w:right w:w="108" w:type="dxa"/>
          </w:tblCellMar>
        </w:tblPrEx>
        <w:trPr>
          <w:cantSplit/>
          <w:trHeight w:hRule="exact" w:val="300"/>
          <w:jc w:val="center"/>
        </w:trPr>
        <w:tc>
          <w:tcPr>
            <w:tcW w:w="61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Director</w:t>
            </w:r>
          </w:p>
        </w:tc>
        <w:tc>
          <w:tcPr>
            <w:tcW w:w="1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p>
        </w:tc>
        <w:tc>
          <w:tcPr>
            <w:tcW w:w="40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right="0"/>
              <w:jc w:val="right"/>
            </w:pPr>
          </w:p>
        </w:tc>
      </w:tr>
      <w:tr>
        <w:tblPrEx>
          <w:tblW w:w="10450" w:type="dxa"/>
          <w:jc w:val="center"/>
          <w:tblInd w:w="0" w:type="dxa"/>
          <w:tblCellMar>
            <w:left w:w="108" w:type="dxa"/>
            <w:right w:w="108" w:type="dxa"/>
          </w:tblCellMar>
        </w:tblPrEx>
        <w:trPr>
          <w:cantSplit/>
          <w:trHeight w:hRule="exact" w:val="795"/>
          <w:jc w:val="center"/>
        </w:trPr>
        <w:tc>
          <w:tcPr>
            <w:tcW w:w="61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 Daniel R. Rua</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March 30, 2021</w:t>
            </w:r>
          </w:p>
        </w:tc>
      </w:tr>
      <w:tr>
        <w:tblPrEx>
          <w:tblW w:w="10450" w:type="dxa"/>
          <w:jc w:val="center"/>
          <w:tblInd w:w="0" w:type="dxa"/>
          <w:tblCellMar>
            <w:left w:w="108" w:type="dxa"/>
            <w:right w:w="108" w:type="dxa"/>
          </w:tblCellMar>
        </w:tblPrEx>
        <w:trPr>
          <w:cantSplit/>
          <w:trHeight w:hRule="exact" w:val="285"/>
          <w:jc w:val="center"/>
        </w:trPr>
        <w:tc>
          <w:tcPr>
            <w:tcW w:w="613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Daniel R. Rua</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285"/>
          <w:jc w:val="center"/>
        </w:trPr>
        <w:tc>
          <w:tcPr>
            <w:tcW w:w="61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Director</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795"/>
          <w:jc w:val="center"/>
        </w:trPr>
        <w:tc>
          <w:tcPr>
            <w:tcW w:w="6135" w:type="dxa"/>
            <w:tcBorders>
              <w:top w:val="nil"/>
              <w:left w:val="nil"/>
              <w:bottom w:val="single" w:sz="8" w:space="0" w:color="000000"/>
              <w:right w:val="nil"/>
            </w:tcBorders>
            <w:tcMar>
              <w:top w:w="0" w:type="dxa"/>
              <w:left w:w="53" w:type="dxa"/>
              <w:bottom w:w="0" w:type="dxa"/>
              <w:right w:w="53" w:type="dxa"/>
            </w:tcMar>
            <w:vAlign w:val="bottom"/>
          </w:tcPr>
          <w:p>
            <w:pPr>
              <w:keepNext/>
              <w:pageBreakBefore w:val="0"/>
              <w:spacing w:before="75" w:after="30" w:line="240" w:lineRule="auto"/>
              <w:ind w:left="0"/>
              <w:jc w:val="left"/>
            </w:pPr>
            <w:r>
              <w:rPr>
                <w:rFonts w:ascii="Times New Roman" w:eastAsia="Times New Roman" w:hAnsi="Times New Roman" w:cs="Times New Roman"/>
                <w:color w:val="000000"/>
                <w:sz w:val="20"/>
              </w:rPr>
              <w:t>/s/ Patrick J. Venetucci</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40" w:lineRule="auto"/>
              <w:ind w:right="0"/>
              <w:jc w:val="right"/>
            </w:pPr>
            <w:r>
              <w:rPr>
                <w:rFonts w:ascii="Times New Roman" w:eastAsia="Times New Roman" w:hAnsi="Times New Roman" w:cs="Times New Roman"/>
                <w:color w:val="000000"/>
                <w:sz w:val="20"/>
              </w:rPr>
              <w:t>March 30, 2021</w:t>
            </w:r>
          </w:p>
        </w:tc>
      </w:tr>
      <w:tr>
        <w:tblPrEx>
          <w:tblW w:w="10450" w:type="dxa"/>
          <w:jc w:val="center"/>
          <w:tblInd w:w="0" w:type="dxa"/>
          <w:tblCellMar>
            <w:left w:w="108" w:type="dxa"/>
            <w:right w:w="108" w:type="dxa"/>
          </w:tblCellMar>
        </w:tblPrEx>
        <w:trPr>
          <w:cantSplit/>
          <w:trHeight w:hRule="exact" w:val="285"/>
          <w:jc w:val="center"/>
        </w:trPr>
        <w:tc>
          <w:tcPr>
            <w:tcW w:w="613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40" w:lineRule="auto"/>
              <w:ind w:left="0"/>
              <w:jc w:val="left"/>
            </w:pPr>
            <w:r>
              <w:rPr>
                <w:rFonts w:ascii="Times New Roman" w:eastAsia="Times New Roman" w:hAnsi="Times New Roman" w:cs="Times New Roman"/>
                <w:color w:val="000000"/>
                <w:sz w:val="20"/>
              </w:rPr>
              <w:t>Patrick J. Venetucci</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450" w:type="dxa"/>
          <w:jc w:val="center"/>
          <w:tblInd w:w="0" w:type="dxa"/>
          <w:tblCellMar>
            <w:left w:w="108" w:type="dxa"/>
            <w:right w:w="108" w:type="dxa"/>
          </w:tblCellMar>
        </w:tblPrEx>
        <w:trPr>
          <w:cantSplit/>
          <w:trHeight w:hRule="exact" w:val="285"/>
          <w:jc w:val="center"/>
        </w:trPr>
        <w:tc>
          <w:tcPr>
            <w:tcW w:w="6135" w:type="dxa"/>
            <w:tcBorders>
              <w:top w:val="nil"/>
              <w:left w:val="nil"/>
              <w:bottom w:val="nil"/>
              <w:right w:val="nil"/>
            </w:tcBorders>
            <w:tcMar>
              <w:top w:w="0" w:type="dxa"/>
              <w:left w:w="53" w:type="dxa"/>
              <w:bottom w:w="0" w:type="dxa"/>
              <w:right w:w="53" w:type="dxa"/>
            </w:tcMar>
            <w:vAlign w:val="bottom"/>
          </w:tcPr>
          <w:p>
            <w:pPr>
              <w:pageBreakBefore w:val="0"/>
              <w:spacing w:before="75" w:after="30" w:line="240" w:lineRule="auto"/>
              <w:ind w:left="0"/>
              <w:jc w:val="left"/>
            </w:pPr>
            <w:r>
              <w:rPr>
                <w:rFonts w:ascii="Times New Roman" w:eastAsia="Times New Roman" w:hAnsi="Times New Roman" w:cs="Times New Roman"/>
                <w:color w:val="000000"/>
                <w:sz w:val="20"/>
              </w:rPr>
              <w:t>Director</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40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bl>
    <w:p>
      <w:pPr>
        <w:keepNext w:val="0"/>
        <w:keepLines w:val="0"/>
        <w:pageBreakBefore/>
        <w:widowControl/>
        <w:numPr>
          <w:ilvl w:val="0"/>
          <w:numId w:val="0"/>
        </w:numPr>
        <w:spacing w:before="0" w:after="100" w:line="288" w:lineRule="auto"/>
        <w:ind w:left="0" w:right="0" w:firstLine="0"/>
        <w:jc w:val="both"/>
        <w:outlineLvl w:val="9"/>
      </w:pPr>
    </w:p>
    <w:sectPr>
      <w:pgSz w:w="12240" w:h="15840"/>
      <w:pgMar w:top="855" w:right="990" w:bottom="855" w:left="990" w:header="270" w:footer="27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104</w:t>
    </w:r>
    <w:r>
      <w:rPr>
        <w:rFonts w:ascii="Times New Roman" w:eastAsia="Times New Roman" w:hAnsi="Times New Roman" w:cs="Times New Roman"/>
        <w:sz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6"/>
      </w:rPr>
    </w:pPr>
    <w:hyperlink w:anchor="Section2" w:history="1">
      <w:r>
        <w:rPr>
          <w:rFonts w:ascii="Times New Roman" w:eastAsia="Times New Roman" w:hAnsi="Times New Roman" w:cs="Times New Roman"/>
          <w:color w:val="0000FF"/>
          <w:sz w:val="16"/>
          <w:u w:val="single"/>
        </w:rPr>
        <w:t>Table of Contents</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6"/>
      </w:rPr>
    </w:pPr>
    <w:hyperlink w:anchor="Section2" w:history="1">
      <w:r>
        <w:rPr>
          <w:rFonts w:ascii="Times New Roman" w:eastAsia="Times New Roman" w:hAnsi="Times New Roman" w:cs="Times New Roman"/>
          <w:color w:val="0000FF"/>
          <w:sz w:val="16"/>
          <w:u w:val="single"/>
        </w:rPr>
        <w:t>Table of Contents</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center"/>
      <w:outlineLvl w:val="2"/>
      <w:rPr>
        <w:rFonts w:ascii="Times New Roman" w:eastAsia="Times New Roman" w:hAnsi="Times New Roman" w:cs="Times New Roman"/>
        <w:b/>
        <w:sz w:val="20"/>
      </w:rPr>
    </w:pPr>
    <w:r>
      <w:rPr>
        <w:rFonts w:ascii="Times New Roman" w:eastAsia="Times New Roman" w:hAnsi="Times New Roman" w:cs="Times New Roman"/>
        <w:b/>
        <w:sz w:val="20"/>
      </w:rPr>
      <w:t>IZEA Worldwide, Inc.</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 xml:space="preserve">Notes to the </w:t>
    </w:r>
    <w:r>
      <w:rPr>
        <w:rFonts w:ascii="Times New Roman" w:eastAsia="Times New Roman" w:hAnsi="Times New Roman" w:cs="Times New Roman"/>
        <w:b/>
        <w:sz w:val="20"/>
      </w:rPr>
      <w:t>Consolidated Financial Statements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center"/>
      <w:outlineLvl w:val="3"/>
      <w:rPr>
        <w:rFonts w:ascii="Times New Roman" w:eastAsia="Times New Roman" w:hAnsi="Times New Roman" w:cs="Times New Roman"/>
        <w:b/>
        <w:sz w:val="20"/>
      </w:rPr>
    </w:pPr>
    <w:r>
      <w:rPr>
        <w:rFonts w:ascii="Times New Roman" w:eastAsia="Times New Roman" w:hAnsi="Times New Roman" w:cs="Times New Roman"/>
        <w:b/>
        <w:sz w:val="20"/>
      </w:rPr>
      <w:t>IZEA Worldwide, Inc.</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 xml:space="preserve">Notes to the </w:t>
    </w:r>
    <w:r>
      <w:rPr>
        <w:rFonts w:ascii="Times New Roman" w:eastAsia="Times New Roman" w:hAnsi="Times New Roman" w:cs="Times New Roman"/>
        <w:b/>
        <w:sz w:val="20"/>
      </w:rPr>
      <w:t>Consolidated Financial Statements</w:t>
    </w:r>
  </w:p>
  <w:p>
    <w:pPr>
      <w:keepNext w:val="0"/>
      <w:keepLines w:val="0"/>
      <w:pageBreakBefore w:val="0"/>
      <w:widowControl/>
      <w:numPr>
        <w:ilvl w:val="0"/>
        <w:numId w:val="0"/>
      </w:numPr>
      <w:spacing w:before="0" w:after="0" w:line="288" w:lineRule="auto"/>
      <w:ind w:left="0" w:right="0" w:firstLine="0"/>
      <w:jc w:val="center"/>
      <w:outlineLvl w:val="9"/>
      <w:rPr>
        <w:rFonts w:ascii="Times New Roman" w:eastAsia="Times New Roman" w:hAnsi="Times New Roman" w:cs="Times New Roman"/>
        <w:b/>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88" w:lineRule="auto"/>
      <w:ind w:left="0" w:right="0" w:firstLine="0"/>
      <w:jc w:val="left"/>
      <w:outlineLvl w:val="9"/>
      <w:rPr>
        <w:rFonts w:ascii="Times New Roman" w:eastAsia="Times New Roman" w:hAnsi="Times New Roman" w:cs="Times New Roman"/>
        <w:sz w:val="16"/>
      </w:rPr>
    </w:pPr>
    <w:hyperlink w:anchor="Section2" w:history="1">
      <w:r>
        <w:rPr>
          <w:rFonts w:ascii="Times New Roman" w:eastAsia="Times New Roman" w:hAnsi="Times New Roman" w:cs="Times New Roman"/>
          <w:color w:val="0000FF"/>
          <w:sz w:val="16"/>
          <w:u w:val="single"/>
        </w:rPr>
        <w:t>Table of Contents</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nsid w:val="00000002"/>
    <w:multiLevelType w:val="multilevel"/>
    <w:tmpl w:val="00000001"/>
    <w:lvl w:ilvl="0">
      <w:start w:val="1"/>
      <w:numFmt w:val="decimal"/>
      <w:lvlText w:val="•"/>
      <w:lvlJc w:val="left"/>
      <w:pPr>
        <w:tabs>
          <w:tab w:val="num" w:pos="144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nsid w:val="00000003"/>
    <w:multiLevelType w:val="multilevel"/>
    <w:tmpl w:val="00000001"/>
    <w:lvl w:ilvl="0">
      <w:start w:val="1"/>
      <w:numFmt w:val="decimal"/>
      <w:lvlText w:val="•"/>
      <w:lvlJc w:val="left"/>
      <w:pPr>
        <w:tabs>
          <w:tab w:val="num" w:pos="144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nsid w:val="00000004"/>
    <w:multiLevelType w:val="multilevel"/>
    <w:tmpl w:val="00000001"/>
    <w:lvl w:ilvl="0">
      <w:start w:val="1"/>
      <w:numFmt w:val="decimal"/>
      <w:lvlText w:val="•"/>
      <w:lvlJc w:val="left"/>
      <w:pPr>
        <w:tabs>
          <w:tab w:val="num" w:pos="144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nsid w:val="00000005"/>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nsid w:val="00000006"/>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nsid w:val="00000007"/>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nsid w:val="00000008"/>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
    <w:nsid w:val="00000009"/>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
    <w:nsid w:val="0000000A"/>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
    <w:nsid w:val="0000000B"/>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
    <w:nsid w:val="0000000C"/>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
    <w:nsid w:val="0000000D"/>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
    <w:nsid w:val="0000000E"/>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
    <w:nsid w:val="0000000F"/>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
    <w:nsid w:val="00000010"/>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
    <w:nsid w:val="00000011"/>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
    <w:nsid w:val="00000012"/>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
    <w:nsid w:val="00000013"/>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
    <w:nsid w:val="00000014"/>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
    <w:nsid w:val="00000015"/>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1">
    <w:nsid w:val="00000016"/>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2">
    <w:nsid w:val="00000017"/>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3">
    <w:nsid w:val="00000018"/>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4">
    <w:nsid w:val="00000019"/>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5">
    <w:nsid w:val="0000001A"/>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6">
    <w:nsid w:val="0000001B"/>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7">
    <w:nsid w:val="0000001C"/>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8">
    <w:nsid w:val="0000001D"/>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9">
    <w:nsid w:val="0000001E"/>
    <w:multiLevelType w:val="multilevel"/>
    <w:tmpl w:val="0000001E"/>
    <w:styleLink w:val="NumericNumberedNUMBERE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2B"/>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C"/>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2D"/>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E"/>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2F"/>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0"/>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1"/>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2"/>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3"/>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4"/>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5"/>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36"/>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7"/>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8"/>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9"/>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0000003A"/>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B"/>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3C"/>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D"/>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E"/>
    <w:multiLevelType w:val="multilevel"/>
    <w:tmpl w:val="0000001E"/>
    <w:lvl w:ilvl="0">
      <w:start w:val="1"/>
      <w:numFmt w:val="decimal"/>
      <w:lvlText w:val="(%1)"/>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0000003F"/>
    <w:multiLevelType w:val="multilevel"/>
    <w:tmpl w:val="0000001E"/>
    <w:lvl w:ilvl="0">
      <w:start w:val="1"/>
      <w:numFmt w:val="decimal"/>
      <w:lvlText w:val="(%1)"/>
      <w:lvlJc w:val="left"/>
      <w:pPr>
        <w:tabs>
          <w:tab w:val="num" w:pos="36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40"/>
    <w:multiLevelType w:val="multilevel"/>
    <w:tmpl w:val="0000001E"/>
    <w:lvl w:ilvl="0">
      <w:start w:val="1"/>
      <w:numFmt w:val="decimal"/>
      <w:lvlText w:val="(%1)"/>
      <w:lvlJc w:val="left"/>
      <w:pPr>
        <w:tabs>
          <w:tab w:val="num" w:pos="36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41"/>
    <w:multiLevelType w:val="multilevel"/>
    <w:tmpl w:val="0000001E"/>
    <w:lvl w:ilvl="0">
      <w:start w:val="1"/>
      <w:numFmt w:val="decimal"/>
      <w:lvlText w:val="(%1)"/>
      <w:lvlJc w:val="left"/>
      <w:pPr>
        <w:tabs>
          <w:tab w:val="num" w:pos="36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42"/>
    <w:multiLevelType w:val="multilevel"/>
    <w:tmpl w:val="0000001E"/>
    <w:lvl w:ilvl="0">
      <w:start w:val="1"/>
      <w:numFmt w:val="decimal"/>
      <w:lvlText w:val="(%1)"/>
      <w:lvlJc w:val="left"/>
      <w:pPr>
        <w:tabs>
          <w:tab w:val="num" w:pos="36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3"/>
    <w:multiLevelType w:val="multilevel"/>
    <w:tmpl w:val="0000001E"/>
    <w:lvl w:ilvl="0">
      <w:start w:val="1"/>
      <w:numFmt w:val="decimal"/>
      <w:lvlText w:val="(%1)"/>
      <w:lvlJc w:val="left"/>
      <w:pPr>
        <w:tabs>
          <w:tab w:val="num" w:pos="36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4"/>
    <w:multiLevelType w:val="multilevel"/>
    <w:tmpl w:val="0000001E"/>
    <w:lvl w:ilvl="0">
      <w:start w:val="1"/>
      <w:numFmt w:val="decimal"/>
      <w:lvlText w:val="(%1)"/>
      <w:lvlJc w:val="left"/>
      <w:pPr>
        <w:tabs>
          <w:tab w:val="num" w:pos="36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00000045"/>
    <w:multiLevelType w:val="multilevel"/>
    <w:tmpl w:val="0000001E"/>
    <w:lvl w:ilvl="0">
      <w:start w:val="1"/>
      <w:numFmt w:val="decimal"/>
      <w:lvlText w:val="(%1)"/>
      <w:lvlJc w:val="left"/>
      <w:pPr>
        <w:tabs>
          <w:tab w:val="num" w:pos="36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46"/>
    <w:multiLevelType w:val="multilevel"/>
    <w:tmpl w:val="0000001E"/>
    <w:lvl w:ilvl="0">
      <w:start w:val="1"/>
      <w:numFmt w:val="decimal"/>
      <w:lvlText w:val="(%1)"/>
      <w:lvlJc w:val="left"/>
      <w:pPr>
        <w:tabs>
          <w:tab w:val="num" w:pos="36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00000047"/>
    <w:multiLevelType w:val="multilevel"/>
    <w:tmpl w:val="0000001E"/>
    <w:lvl w:ilvl="0">
      <w:start w:val="1"/>
      <w:numFmt w:val="decimal"/>
      <w:lvlText w:val="(%1)"/>
      <w:lvlJc w:val="left"/>
      <w:pPr>
        <w:tabs>
          <w:tab w:val="num" w:pos="36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00000048"/>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2">
    <w:nsid w:val="00000049"/>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3">
    <w:nsid w:val="0000004A"/>
    <w:multiLevelType w:val="multilevel"/>
    <w:tmpl w:val="0000001E"/>
    <w:lvl w:ilvl="0">
      <w:start w:val="1"/>
      <w:numFmt w:val="decimal"/>
      <w:lvlText w:val="(%1)"/>
      <w:lvlJc w:val="left"/>
      <w:pPr>
        <w:tabs>
          <w:tab w:val="num" w:pos="36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0000004B"/>
    <w:multiLevelType w:val="multilevel"/>
    <w:tmpl w:val="0000001E"/>
    <w:lvl w:ilvl="0">
      <w:start w:val="1"/>
      <w:numFmt w:val="decimal"/>
      <w:lvlText w:val="(%1)"/>
      <w:lvlJc w:val="left"/>
      <w:pPr>
        <w:tabs>
          <w:tab w:val="num" w:pos="36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0000004C"/>
    <w:multiLevelType w:val="multilevel"/>
    <w:tmpl w:val="0000001E"/>
    <w:lvl w:ilvl="0">
      <w:start w:val="1"/>
      <w:numFmt w:val="decimal"/>
      <w:lvlText w:val="(%1)"/>
      <w:lvlJc w:val="left"/>
      <w:pPr>
        <w:tabs>
          <w:tab w:val="num" w:pos="36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0000004D"/>
    <w:multiLevelType w:val="multilevel"/>
    <w:tmpl w:val="0000001E"/>
    <w:lvl w:ilvl="0">
      <w:start w:val="1"/>
      <w:numFmt w:val="decimal"/>
      <w:lvlText w:val="(%1)"/>
      <w:lvlJc w:val="left"/>
      <w:pPr>
        <w:tabs>
          <w:tab w:val="num" w:pos="36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0000004E"/>
    <w:multiLevelType w:val="multilevel"/>
    <w:tmpl w:val="0000001E"/>
    <w:lvl w:ilvl="0">
      <w:start w:val="1"/>
      <w:numFmt w:val="decimal"/>
      <w:lvlText w:val="(%1)"/>
      <w:lvlJc w:val="left"/>
      <w:pPr>
        <w:tabs>
          <w:tab w:val="num" w:pos="360"/>
        </w:tabs>
        <w:ind w:left="720" w:hanging="360"/>
      </w:pPr>
      <w:rPr>
        <w:rFonts w:ascii="Times New Roman" w:eastAsia="Times New Roman" w:hAnsi="Times New Roman" w:cs="Times New Roman"/>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0000004F"/>
    <w:multiLevelType w:val="multilevel"/>
    <w:tmpl w:val="0000001E"/>
    <w:lvl w:ilvl="0">
      <w:start w:val="1"/>
      <w:numFmt w:val="decimal"/>
      <w:lvlText w:val="(%1)"/>
      <w:lvlJc w:val="left"/>
      <w:pPr>
        <w:tabs>
          <w:tab w:val="num" w:pos="144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00000050"/>
    <w:multiLevelType w:val="multilevel"/>
    <w:tmpl w:val="00000050"/>
    <w:styleLink w:val="LowerAlphaNUMBERED"/>
    <w:lvl w:ilvl="0">
      <w:start w:val="1"/>
      <w:numFmt w:val="lowerLetter"/>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80">
    <w:nsid w:val="00000051"/>
    <w:multiLevelType w:val="multilevel"/>
    <w:tmpl w:val="00000050"/>
    <w:lvl w:ilvl="0">
      <w:start w:val="1"/>
      <w:numFmt w:val="lowerLetter"/>
      <w:lvlText w:val="(%1)"/>
      <w:lvlJc w:val="left"/>
      <w:pPr>
        <w:tabs>
          <w:tab w:val="num" w:pos="720"/>
        </w:tabs>
        <w:ind w:left="720" w:hanging="360"/>
      </w:pPr>
      <w:rPr>
        <w:rFonts w:ascii="Times New Roman" w:eastAsia="Times New Roman" w:hAnsi="Times New Roman" w:cs="Times New Roman"/>
        <w:color w:val="000000"/>
        <w:sz w:val="20"/>
      </w:rPr>
    </w:lvl>
    <w:lvl w:ilvl="1">
      <w:start w:val="1"/>
      <w:numFmt w:val="lowerRoman"/>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81">
    <w:nsid w:val="00000052"/>
    <w:multiLevelType w:val="multilevel"/>
    <w:tmpl w:val="0000001E"/>
    <w:lvl w:ilvl="0">
      <w:start w:val="1"/>
      <w:numFmt w:val="decimal"/>
      <w:lvlText w:val="(%1)"/>
      <w:lvlJc w:val="left"/>
      <w:pPr>
        <w:tabs>
          <w:tab w:val="num" w:pos="1530"/>
        </w:tabs>
        <w:ind w:left="720" w:hanging="360"/>
      </w:pPr>
      <w:rPr>
        <w:rFonts w:ascii="Times New Roman" w:eastAsia="Times New Roman" w:hAnsi="Times New Roman" w:cs="Times New Roman"/>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noLeading/>
    <w:suppressTopSpacingWP/>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DiscSYMBOL">
    <w:name w:val="DiscSYMBOL•◦▪"/>
    <w:pPr>
      <w:numPr>
        <w:numId w:val="1"/>
      </w:numPr>
    </w:pPr>
  </w:style>
  <w:style w:type="numbering" w:customStyle="1" w:styleId="NumericNumberedNUMBERED">
    <w:name w:val="NumericNumberedNUMBERED"/>
    <w:pPr>
      <w:numPr>
        <w:numId w:val="30"/>
      </w:numPr>
    </w:pPr>
  </w:style>
  <w:style w:type="numbering" w:customStyle="1" w:styleId="LowerAlphaNUMBERED">
    <w:name w:val="LowerAlphaNUMBERED"/>
    <w:pPr>
      <w:numPr>
        <w:numId w:val="80"/>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5.xml" /><Relationship Id="rId11" Type="http://schemas.openxmlformats.org/officeDocument/2006/relationships/header" Target="header6.xml" /><Relationship Id="rId12" Type="http://schemas.openxmlformats.org/officeDocument/2006/relationships/hyperlink" Target="http://www.sec.gov/Archives/edgar/data/1495231/000149523115000004/ex2-120150129stockpurchase.htm" TargetMode="External" /><Relationship Id="rId13" Type="http://schemas.openxmlformats.org/officeDocument/2006/relationships/hyperlink" Target="http://www.sec.gov/Archives/edgar/data/1495231/000149523116000130/exhibit21purchaseagreement.htm" TargetMode="External" /><Relationship Id="rId14" Type="http://schemas.openxmlformats.org/officeDocument/2006/relationships/hyperlink" Target="http://www.sec.gov/Archives/edgar/data/1495231/000149523118000080/izea180630ex101zencontenta.htm" TargetMode="External" /><Relationship Id="rId15" Type="http://schemas.openxmlformats.org/officeDocument/2006/relationships/hyperlink" Target="http://www.sec.gov/Archives/edgar/data/1495231/000149523118000080/izea180630ex102zencontenta.htm" TargetMode="External" /><Relationship Id="rId16" Type="http://schemas.openxmlformats.org/officeDocument/2006/relationships/hyperlink" Target="http://www.sec.gov/Archives/edgar/data/1495231/000149523118000068/exhibit21mergeragreement20.htm" TargetMode="External" /><Relationship Id="rId17" Type="http://schemas.openxmlformats.org/officeDocument/2006/relationships/hyperlink" Target="http://www.sec.gov/Archives/edgar/data/1495231/000149523118000071/exhibit22mergeramendment20.htm" TargetMode="External" /><Relationship Id="rId18" Type="http://schemas.openxmlformats.org/officeDocument/2006/relationships/hyperlink" Target="http://www.sec.gov/Archives/edgar/data/1495231/000152153611000468/q1100271_ex3-1.htm" TargetMode="External" /><Relationship Id="rId19" Type="http://schemas.openxmlformats.org/officeDocument/2006/relationships/hyperlink" Target="http://www.sec.gov/Archives/edgar/data/1495231/000149523112000019/exhibit31certificateofchan.htm" TargetMode="External" /><Relationship Id="rId2" Type="http://schemas.openxmlformats.org/officeDocument/2006/relationships/webSettings" Target="webSettings.xml" /><Relationship Id="rId20" Type="http://schemas.openxmlformats.org/officeDocument/2006/relationships/hyperlink" Target="http://www.sec.gov/Archives/edgar/data/1495231/000149523114000020/ex3-1articlesamendment2014.htm" TargetMode="External" /><Relationship Id="rId21" Type="http://schemas.openxmlformats.org/officeDocument/2006/relationships/hyperlink" Target="http://www.sec.gov/Archives/edgar/data/1495231/000149523115000003/ex3-120150123nvcertificate.htm" TargetMode="External" /><Relationship Id="rId22" Type="http://schemas.openxmlformats.org/officeDocument/2006/relationships/hyperlink" Target="http://www.sec.gov/Archives/edgar/data/1495231/000149523116000071/ex31certificateofamendment.htm" TargetMode="External" /><Relationship Id="rId23" Type="http://schemas.openxmlformats.org/officeDocument/2006/relationships/hyperlink" Target="http://www.sec.gov/Archives/edgar/data/1495231/000152153611000468/q1100271_ex3-2.htm" TargetMode="External" /><Relationship Id="rId24" Type="http://schemas.openxmlformats.org/officeDocument/2006/relationships/hyperlink" Target="http://www.sec.gov/Archives/edgar/data/1495231/000146929911000365/izeaex31.htm" TargetMode="External" /><Relationship Id="rId25" Type="http://schemas.openxmlformats.org/officeDocument/2006/relationships/hyperlink" Target="http://www.sec.gov/Archives/edgar/data/1495231/000149523116000083/exhibit311nvmerger20160405.htm" TargetMode="External" /><Relationship Id="rId26" Type="http://schemas.openxmlformats.org/officeDocument/2006/relationships/hyperlink" Target="http://www.sec.gov/Archives/edgar/data/1495231/000149523118000091/exhibit31izeaworldwidein.htm" TargetMode="External" /><Relationship Id="rId27" Type="http://schemas.openxmlformats.org/officeDocument/2006/relationships/hyperlink" Target="http://www.sec.gov/Archives/edgar/data/1495231/000149523120000028/exhibit310izeanevadaarti.htm" TargetMode="External" /><Relationship Id="rId28" Type="http://schemas.openxmlformats.org/officeDocument/2006/relationships/hyperlink" Target="exhibit311nvarticlesofme.htm" TargetMode="External" /><Relationship Id="rId29" Type="http://schemas.openxmlformats.org/officeDocument/2006/relationships/hyperlink" Target="http://www.sec.gov/Archives/edgar/data/0001495231/000149523120000028/exhibit141descriptionofsec.htm" TargetMode="External" /><Relationship Id="rId3" Type="http://schemas.openxmlformats.org/officeDocument/2006/relationships/fontTable" Target="fontTable.xml" /><Relationship Id="rId30" Type="http://schemas.openxmlformats.org/officeDocument/2006/relationships/hyperlink" Target="http://www.sec.gov/Archives/edgar/data/1495231/000152153611000372/izea093011ex101-2011bstock.htm" TargetMode="External" /><Relationship Id="rId31" Type="http://schemas.openxmlformats.org/officeDocument/2006/relationships/hyperlink" Target="http://www.sec.gov/Archives/edgar/data/1495231/000149523113000009/ex103bridgebankagreement30.htm" TargetMode="External" /><Relationship Id="rId32" Type="http://schemas.openxmlformats.org/officeDocument/2006/relationships/hyperlink" Target="http://www.sec.gov/Archives/edgar/data/1495231/000149523120000155/exhibit1012011equityincent.htm" TargetMode="External" /><Relationship Id="rId33" Type="http://schemas.openxmlformats.org/officeDocument/2006/relationships/hyperlink" Target="http://www.sec.gov/Archives/edgar/data/1495231/000149523118000126/exhibit1022011equityincent.htm" TargetMode="External" /><Relationship Id="rId34" Type="http://schemas.openxmlformats.org/officeDocument/2006/relationships/hyperlink" Target="http://www.sec.gov/Archives/edgar/data/0001495231/000149523120000144/exhibit101directorcomp.htm" TargetMode="External" /><Relationship Id="rId35" Type="http://schemas.openxmlformats.org/officeDocument/2006/relationships/hyperlink" Target="http://www.sec.gov/Archives/edgar/data/1495231/000149523119000043/exhibit101-murphyemploymen.htm" TargetMode="External" /><Relationship Id="rId36" Type="http://schemas.openxmlformats.org/officeDocument/2006/relationships/hyperlink" Target="http://www.sec.gov/Archives/edgar/data/1495231/000149523115000003/ex10-120150123schramemploy.htm" TargetMode="External" /><Relationship Id="rId37" Type="http://schemas.openxmlformats.org/officeDocument/2006/relationships/hyperlink" Target="http://www.sec.gov/Archives/edgar/data/1495231/000149523121000009/a20210101ex101schramagreem.htm" TargetMode="External" /><Relationship Id="rId38" Type="http://schemas.openxmlformats.org/officeDocument/2006/relationships/hyperlink" Target="http://www.sec.gov/Archives/edgar/data/1495231/000149523118000118/izea180930ex104.htm" TargetMode="External" /><Relationship Id="rId39" Type="http://schemas.openxmlformats.org/officeDocument/2006/relationships/hyperlink" Target="http://www.sec.gov/Archives/edgar/data/1495231/000149523120000046/exhibit101note20200423.htm" TargetMode="External" /><Relationship Id="rId4" Type="http://schemas.openxmlformats.org/officeDocument/2006/relationships/header" Target="header1.xml" /><Relationship Id="rId40" Type="http://schemas.openxmlformats.org/officeDocument/2006/relationships/hyperlink" Target="http://www.sec.gov/Archives/edgar/data/1495231/000149523121000050/exhibit101employmentagreem.htm" TargetMode="External" /><Relationship Id="rId41" Type="http://schemas.openxmlformats.org/officeDocument/2006/relationships/hyperlink" Target="wurl://docs.v1/doc:bd5b9f82fbea447fbafd2b65a90286ab" TargetMode="External" /><Relationship Id="rId42" Type="http://schemas.openxmlformats.org/officeDocument/2006/relationships/hyperlink" Target="wurl://docs.v1/doc:5ff8cae4b8df415da1e521be2de2ca92" TargetMode="External" /><Relationship Id="rId43" Type="http://schemas.openxmlformats.org/officeDocument/2006/relationships/hyperlink" Target="wurl://docs.v1/doc:db85593dead542df954ca551d1b5010f" TargetMode="External" /><Relationship Id="rId44" Type="http://schemas.openxmlformats.org/officeDocument/2006/relationships/hyperlink" Target="wurl://docs.v1/doc:c363ae636efd49969c2a0ec17e4b24c3" TargetMode="External" /><Relationship Id="rId45" Type="http://schemas.openxmlformats.org/officeDocument/2006/relationships/hyperlink" Target="wurl://docs.v1/doc:fe8502f9d95d4c579a23b6c42cb39264" TargetMode="External" /><Relationship Id="rId46" Type="http://schemas.openxmlformats.org/officeDocument/2006/relationships/hyperlink" Target="wurl://docs.v1/doc:f5617ca74d8f4593b5f10ec5b2e5b4ab" TargetMode="Externa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107</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IZEA 20.12.31 10-K</dc:title>
  <cp:revision>1</cp:revision>
</cp:coreProperties>
</file>