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7.0 -->
  <w:body>
    <w:tbl>
      <w:tblPr>
        <w:tblW w:w="102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245"/>
      </w:tblGrid>
      <w:tr>
        <w:tblPrEx>
          <w:tblW w:w="102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5"/>
          <w:jc w:val="center"/>
        </w:trPr>
        <w:tc>
          <w:tcPr>
            <w:tcW w:w="10245" w:type="dxa"/>
            <w:tcBorders>
              <w:top w:val="single" w:sz="16" w:space="0" w:color="000000"/>
              <w:left w:val="nil"/>
              <w:bottom w:val="single" w:sz="8" w:space="0" w:color="000000"/>
              <w:right w:val="nil"/>
            </w:tcBorders>
            <w:tcMar>
              <w:top w:w="0" w:type="dxa"/>
              <w:left w:w="0" w:type="dxa"/>
              <w:bottom w:w="0" w:type="dxa"/>
              <w:right w:w="0" w:type="dxa"/>
            </w:tcMar>
            <w:vAlign w:val="bottom"/>
          </w:tcPr>
          <w:p>
            <w:pPr>
              <w:pageBreakBefore w:val="0"/>
              <w:spacing w:before="0" w:after="0"/>
            </w:pPr>
          </w:p>
        </w:tc>
      </w:tr>
    </w:tbl>
    <w:p w:rsidR="00A77B3E">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b/>
          <w:sz w:val="22"/>
        </w:rPr>
      </w:pPr>
      <w:bookmarkStart w:id="0" w:name="Section1"/>
      <w:bookmarkEnd w:id="0"/>
    </w:p>
    <w:p w:rsidR="00A77B3E">
      <w:pPr>
        <w:keepNext w:val="0"/>
        <w:keepLines w:val="0"/>
        <w:pageBreakBefore w:val="0"/>
        <w:widowControl/>
        <w:numPr>
          <w:ilvl w:val="0"/>
          <w:numId w:val="0"/>
        </w:numPr>
        <w:spacing w:before="0" w:after="0" w:line="248" w:lineRule="auto"/>
        <w:ind w:left="0" w:right="0" w:firstLine="0"/>
        <w:jc w:val="center"/>
        <w:outlineLvl w:val="0"/>
        <w:rPr>
          <w:rFonts w:ascii="Times New Roman" w:eastAsia="Times New Roman" w:hAnsi="Times New Roman" w:cs="Times New Roman"/>
          <w:b/>
          <w:sz w:val="22"/>
        </w:rPr>
      </w:pPr>
      <w:r>
        <w:rPr>
          <w:rFonts w:ascii="Times New Roman" w:eastAsia="Times New Roman" w:hAnsi="Times New Roman" w:cs="Times New Roman"/>
          <w:b/>
          <w:sz w:val="22"/>
        </w:rPr>
        <w:t>UNITED STATES</w:t>
      </w:r>
    </w:p>
    <w:p w:rsidR="00A77B3E">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2"/>
        </w:rPr>
      </w:pPr>
      <w:r>
        <w:rPr>
          <w:rFonts w:ascii="Times New Roman" w:eastAsia="Times New Roman" w:hAnsi="Times New Roman" w:cs="Times New Roman"/>
          <w:b/>
          <w:sz w:val="22"/>
        </w:rPr>
        <w:t>SECURITIES AND EXCHANGE COMMISSION</w:t>
      </w:r>
    </w:p>
    <w:p w:rsidR="00A77B3E">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2"/>
        </w:rPr>
      </w:pPr>
      <w:r>
        <w:rPr>
          <w:rFonts w:ascii="Times New Roman" w:eastAsia="Times New Roman" w:hAnsi="Times New Roman" w:cs="Times New Roman"/>
          <w:b/>
          <w:sz w:val="22"/>
        </w:rPr>
        <w:t>Washington D.C. 20549</w:t>
      </w:r>
    </w:p>
    <w:p w:rsidR="00A77B3E">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8"/>
        </w:rPr>
      </w:pPr>
      <w:r>
        <w:rPr>
          <w:rFonts w:ascii="Times New Roman" w:eastAsia="Times New Roman" w:hAnsi="Times New Roman" w:cs="Times New Roman"/>
          <w:b/>
          <w:sz w:val="28"/>
        </w:rPr>
        <w:t xml:space="preserve">FORM </w:t>
      </w:r>
      <w:r>
        <w:rPr>
          <w:rFonts w:ascii="Times New Roman" w:eastAsia="Times New Roman" w:hAnsi="Times New Roman" w:cs="Times New Roman"/>
          <w:b/>
          <w:sz w:val="28"/>
        </w:rPr>
        <w:t>10-Q</w:t>
      </w:r>
    </w:p>
    <w:p w:rsidR="00A77B3E">
      <w:pPr>
        <w:keepNext w:val="0"/>
        <w:keepLines w:val="0"/>
        <w:pageBreakBefore w:val="0"/>
        <w:widowControl/>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(Mark One)</w:t>
      </w:r>
    </w:p>
    <w:tbl>
      <w:tblPr>
        <w:tblW w:w="102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5"/>
        <w:gridCol w:w="9795"/>
      </w:tblGrid>
      <w:tr>
        <w:tblPrEx>
          <w:tblW w:w="102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435"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Wingdings" w:eastAsia="Wingdings" w:hAnsi="Wingdings" w:cs="Wingdings"/>
                <w:color w:val="000000"/>
                <w:sz w:val="20"/>
              </w:rPr>
              <w:t>☒</w:t>
            </w:r>
          </w:p>
        </w:tc>
        <w:tc>
          <w:tcPr>
            <w:tcW w:w="9795"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QUARTERLY REPORT PURSUANT TO SECTION 13 OR 15(d) OF THE SECURITIES EXCHANGE ACT OF 1934</w:t>
            </w:r>
          </w:p>
        </w:tc>
      </w:tr>
    </w:tbl>
    <w:p w:rsidR="00A77B3E">
      <w:pPr>
        <w:keepNext w:val="0"/>
        <w:keepLines w:val="0"/>
        <w:pageBreakBefore w:val="0"/>
        <w:widowControl/>
        <w:numPr>
          <w:ilvl w:val="0"/>
          <w:numId w:val="0"/>
        </w:numPr>
        <w:spacing w:before="220" w:after="22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For the quarterly period ended </w:t>
      </w:r>
      <w:r>
        <w:rPr>
          <w:rFonts w:ascii="Times New Roman" w:eastAsia="Times New Roman" w:hAnsi="Times New Roman" w:cs="Times New Roman"/>
          <w:sz w:val="20"/>
        </w:rPr>
        <w:t>June 30, 2020</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5"/>
        <w:gridCol w:w="9795"/>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35"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Wingdings" w:eastAsia="Wingdings" w:hAnsi="Wingdings" w:cs="Wingdings"/>
                <w:color w:val="000000"/>
                <w:sz w:val="20"/>
              </w:rPr>
              <w:t>☐</w:t>
            </w:r>
          </w:p>
        </w:tc>
        <w:tc>
          <w:tcPr>
            <w:tcW w:w="9795"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TRANSITION REPORT PURSUANT TO SECTION 13 OR 15(d) OF THE SECURITIES EXCHANGE ACT OF 1934</w:t>
            </w:r>
          </w:p>
        </w:tc>
      </w:tr>
    </w:tbl>
    <w:p w:rsidR="00A77B3E">
      <w:pPr>
        <w:keepNext w:val="0"/>
        <w:keepLines w:val="0"/>
        <w:pageBreakBefore w:val="0"/>
        <w:widowControl/>
        <w:numPr>
          <w:ilvl w:val="0"/>
          <w:numId w:val="0"/>
        </w:numPr>
        <w:spacing w:before="22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For the transition period from _________________ to _________________</w:t>
      </w:r>
    </w:p>
    <w:p w:rsidR="00A77B3E">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Commission File No.: </w:t>
      </w:r>
      <w:r>
        <w:rPr>
          <w:rFonts w:ascii="Times New Roman" w:eastAsia="Times New Roman" w:hAnsi="Times New Roman" w:cs="Times New Roman"/>
          <w:sz w:val="20"/>
        </w:rPr>
        <w:t>001-37703</w:t>
      </w:r>
    </w:p>
    <w:p w:rsidR="00A77B3E">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rsidR="00A77B3E">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36"/>
        </w:rPr>
      </w:pPr>
      <w:r>
        <w:rPr>
          <w:rFonts w:ascii="Times New Roman" w:eastAsia="Times New Roman" w:hAnsi="Times New Roman" w:cs="Times New Roman"/>
          <w:b/>
          <w:sz w:val="36"/>
        </w:rPr>
        <w:t>IZEA WORLDWIDE, INC.</w:t>
      </w:r>
    </w:p>
    <w:p w:rsidR="00A77B3E">
      <w:pPr>
        <w:keepNext w:val="0"/>
        <w:keepLines w:val="0"/>
        <w:pageBreakBefore w:val="0"/>
        <w:widowControl/>
        <w:numPr>
          <w:ilvl w:val="0"/>
          <w:numId w:val="0"/>
        </w:numPr>
        <w:spacing w:before="0" w:after="22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(Exact name of registrant as specified in its charter)</w:t>
      </w:r>
    </w:p>
    <w:tbl>
      <w:tblPr>
        <w:tblW w:w="102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435"/>
        <w:gridCol w:w="4905"/>
      </w:tblGrid>
      <w:tr>
        <w:tblPrEx>
          <w:tblW w:w="102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trPr>
        <w:tc>
          <w:tcPr>
            <w:tcW w:w="49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b/>
                <w:color w:val="000000"/>
                <w:sz w:val="20"/>
              </w:rPr>
              <w:t>Nevada</w:t>
            </w:r>
          </w:p>
        </w:tc>
        <w:tc>
          <w:tcPr>
            <w:tcW w:w="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49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b/>
                <w:color w:val="000000"/>
                <w:sz w:val="20"/>
              </w:rPr>
              <w:t>37-1530765</w:t>
            </w:r>
          </w:p>
        </w:tc>
      </w:tr>
      <w:tr>
        <w:tblPrEx>
          <w:tblW w:w="10245" w:type="dxa"/>
          <w:tblInd w:w="0" w:type="dxa"/>
          <w:tblCellMar>
            <w:left w:w="108" w:type="dxa"/>
            <w:right w:w="108" w:type="dxa"/>
          </w:tblCellMar>
        </w:tblPrEx>
        <w:trPr>
          <w:cantSplit/>
          <w:trHeight w:hRule="exact" w:val="495"/>
        </w:trPr>
        <w:tc>
          <w:tcPr>
            <w:tcW w:w="490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after="30" w:line="200" w:lineRule="auto"/>
              <w:ind w:left="0"/>
              <w:jc w:val="center"/>
            </w:pPr>
            <w:r>
              <w:rPr>
                <w:rFonts w:ascii="Times New Roman" w:eastAsia="Times New Roman" w:hAnsi="Times New Roman" w:cs="Times New Roman"/>
                <w:color w:val="000000"/>
                <w:sz w:val="20"/>
              </w:rPr>
              <w:t>(State or other jurisdiction of</w:t>
            </w:r>
            <w:r>
              <w:br/>
            </w:r>
            <w:r>
              <w:rPr>
                <w:rFonts w:ascii="Times New Roman" w:eastAsia="Times New Roman" w:hAnsi="Times New Roman" w:cs="Times New Roman"/>
                <w:color w:val="000000"/>
                <w:sz w:val="20"/>
              </w:rPr>
              <w:t>incorporation or organization)</w:t>
            </w:r>
          </w:p>
        </w:tc>
        <w:tc>
          <w:tcPr>
            <w:tcW w:w="435" w:type="dxa"/>
            <w:tcBorders>
              <w:top w:val="nil"/>
              <w:left w:val="nil"/>
              <w:bottom w:val="nil"/>
              <w:right w:val="nil"/>
            </w:tcBorders>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 </w:t>
            </w:r>
          </w:p>
        </w:tc>
        <w:tc>
          <w:tcPr>
            <w:tcW w:w="490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after="30" w:line="200" w:lineRule="auto"/>
              <w:ind w:left="0"/>
              <w:jc w:val="center"/>
            </w:pPr>
            <w:r>
              <w:rPr>
                <w:rFonts w:ascii="Times New Roman" w:eastAsia="Times New Roman" w:hAnsi="Times New Roman" w:cs="Times New Roman"/>
                <w:color w:val="000000"/>
                <w:sz w:val="20"/>
              </w:rPr>
              <w:t>(I.R.S. Employer</w:t>
            </w:r>
            <w:r>
              <w:br/>
            </w:r>
            <w:r>
              <w:rPr>
                <w:rFonts w:ascii="Times New Roman" w:eastAsia="Times New Roman" w:hAnsi="Times New Roman" w:cs="Times New Roman"/>
                <w:color w:val="000000"/>
                <w:sz w:val="20"/>
              </w:rPr>
              <w:t>Identification No.)</w:t>
            </w:r>
          </w:p>
        </w:tc>
      </w:tr>
    </w:tbl>
    <w:tbl>
      <w:tblPr>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5"/>
        <w:gridCol w:w="435"/>
        <w:gridCol w:w="4905"/>
      </w:tblGrid>
      <w:tr>
        <w:tblPrEx>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jc w:val="left"/>
        </w:trPr>
        <w:tc>
          <w:tcPr>
            <w:tcW w:w="4905" w:type="dxa"/>
            <w:tcBorders>
              <w:top w:val="nil"/>
              <w:left w:val="nil"/>
              <w:bottom w:val="nil"/>
              <w:right w:val="nil"/>
            </w:tcBorders>
            <w:tcMar>
              <w:top w:w="0" w:type="dxa"/>
              <w:left w:w="53" w:type="dxa"/>
              <w:bottom w:w="0" w:type="dxa"/>
              <w:right w:w="53" w:type="dxa"/>
            </w:tcMar>
            <w:vAlign w:val="bottom"/>
          </w:tcPr>
          <w:p>
            <w:pPr>
              <w:keepNext w:val="0"/>
              <w:keepLines w:val="0"/>
              <w:pageBreakBefore w:val="0"/>
              <w:widowControl w:val="0"/>
              <w:numPr>
                <w:ilvl w:val="0"/>
                <w:numId w:val="0"/>
              </w:numPr>
              <w:spacing w:before="75" w:after="0" w:line="209"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501 N. Orlando Avenue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Suite 313</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PMB 247</w:t>
            </w:r>
          </w:p>
          <w:p>
            <w:pPr>
              <w:keepNext w:val="0"/>
              <w:keepLines w:val="0"/>
              <w:pageBreakBefore w:val="0"/>
              <w:widowControl w:val="0"/>
              <w:numPr>
                <w:ilvl w:val="0"/>
                <w:numId w:val="0"/>
              </w:numPr>
              <w:spacing w:before="0" w:after="30" w:line="209"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Winter Park</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FL</w:t>
            </w:r>
          </w:p>
        </w:tc>
        <w:tc>
          <w:tcPr>
            <w:tcW w:w="4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20"/>
              </w:rPr>
              <w:t> </w:t>
            </w:r>
          </w:p>
        </w:tc>
        <w:tc>
          <w:tcPr>
            <w:tcW w:w="49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b/>
                <w:color w:val="000000"/>
                <w:sz w:val="20"/>
              </w:rPr>
              <w:t>32789</w:t>
            </w:r>
          </w:p>
        </w:tc>
      </w:tr>
      <w:tr>
        <w:tblPrEx>
          <w:tblW w:w="10245" w:type="dxa"/>
          <w:jc w:val="left"/>
          <w:tblInd w:w="0" w:type="dxa"/>
          <w:tblCellMar>
            <w:left w:w="108" w:type="dxa"/>
            <w:right w:w="108" w:type="dxa"/>
          </w:tblCellMar>
        </w:tblPrEx>
        <w:trPr>
          <w:cantSplit/>
          <w:trHeight w:hRule="exact" w:val="300"/>
          <w:jc w:val="left"/>
        </w:trPr>
        <w:tc>
          <w:tcPr>
            <w:tcW w:w="490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00" w:lineRule="auto"/>
              <w:ind w:left="0"/>
              <w:jc w:val="center"/>
            </w:pPr>
            <w:r>
              <w:rPr>
                <w:rFonts w:ascii="Times New Roman" w:eastAsia="Times New Roman" w:hAnsi="Times New Roman" w:cs="Times New Roman"/>
                <w:color w:val="000000"/>
                <w:sz w:val="18"/>
              </w:rPr>
              <w:t>(Address of principal executive offices)</w:t>
            </w:r>
          </w:p>
        </w:tc>
        <w:tc>
          <w:tcPr>
            <w:tcW w:w="435" w:type="dxa"/>
            <w:tcBorders>
              <w:top w:val="nil"/>
              <w:left w:val="nil"/>
              <w:bottom w:val="nil"/>
              <w:right w:val="nil"/>
            </w:tcBorders>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 </w:t>
            </w:r>
          </w:p>
        </w:tc>
        <w:tc>
          <w:tcPr>
            <w:tcW w:w="490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00" w:lineRule="auto"/>
              <w:ind w:left="0"/>
              <w:jc w:val="center"/>
            </w:pPr>
            <w:r>
              <w:rPr>
                <w:rFonts w:ascii="Times New Roman" w:eastAsia="Times New Roman" w:hAnsi="Times New Roman" w:cs="Times New Roman"/>
                <w:color w:val="000000"/>
                <w:sz w:val="18"/>
              </w:rPr>
              <w:t>(Zip Code)</w:t>
            </w:r>
          </w:p>
        </w:tc>
      </w:tr>
    </w:tbl>
    <w:p w:rsidR="00A77B3E">
      <w:pPr>
        <w:keepNext w:val="0"/>
        <w:keepLines w:val="0"/>
        <w:pageBreakBefore w:val="0"/>
        <w:widowControl/>
        <w:numPr>
          <w:ilvl w:val="0"/>
          <w:numId w:val="0"/>
        </w:numPr>
        <w:spacing w:before="22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Registrant’s telephone number, including area code:   </w:t>
      </w:r>
      <w:r>
        <w:rPr>
          <w:rFonts w:ascii="Times New Roman" w:eastAsia="Times New Roman" w:hAnsi="Times New Roman" w:cs="Times New Roman"/>
          <w:b/>
          <w:sz w:val="20"/>
        </w:rPr>
        <w:t>(</w:t>
      </w:r>
      <w:r>
        <w:rPr>
          <w:rFonts w:ascii="Times New Roman" w:eastAsia="Times New Roman" w:hAnsi="Times New Roman" w:cs="Times New Roman"/>
          <w:b/>
          <w:sz w:val="20"/>
        </w:rPr>
        <w:t>407</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674-6911</w:t>
      </w:r>
    </w:p>
    <w:p w:rsidR="00A77B3E">
      <w:pPr>
        <w:keepNext w:val="0"/>
        <w:keepLines w:val="0"/>
        <w:pageBreakBefore w:val="0"/>
        <w:widowControl/>
        <w:numPr>
          <w:ilvl w:val="0"/>
          <w:numId w:val="0"/>
        </w:numPr>
        <w:spacing w:before="120" w:after="0" w:line="248" w:lineRule="auto"/>
        <w:ind w:left="0" w:right="0" w:firstLine="0"/>
        <w:jc w:val="center"/>
        <w:outlineLvl w:val="9"/>
        <w:rPr>
          <w:rFonts w:ascii="Times New Roman" w:eastAsia="Times New Roman" w:hAnsi="Times New Roman" w:cs="Times New Roman"/>
          <w:sz w:val="20"/>
        </w:rPr>
      </w:pPr>
    </w:p>
    <w:p w:rsidR="00A77B3E">
      <w:pPr>
        <w:keepNext w:val="0"/>
        <w:keepLines w:val="0"/>
        <w:pageBreakBefore w:val="0"/>
        <w:widowControl/>
        <w:numPr>
          <w:ilvl w:val="0"/>
          <w:numId w:val="0"/>
        </w:numPr>
        <w:spacing w:before="120" w:after="100" w:line="248" w:lineRule="auto"/>
        <w:ind w:left="0" w:right="0" w:firstLine="0"/>
        <w:jc w:val="both"/>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Securities registered pursuant to Section 12(b) of the Act: </w:t>
      </w:r>
    </w:p>
    <w:tbl>
      <w:tblPr>
        <w:tblW w:w="102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95"/>
        <w:gridCol w:w="105"/>
        <w:gridCol w:w="1665"/>
        <w:gridCol w:w="105"/>
        <w:gridCol w:w="3975"/>
      </w:tblGrid>
      <w:tr>
        <w:tblPrEx>
          <w:tblW w:w="102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05"/>
          <w:jc w:val="center"/>
        </w:trPr>
        <w:tc>
          <w:tcPr>
            <w:tcW w:w="439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Title of each class</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Trading Symbol(s)</w:t>
            </w:r>
          </w:p>
        </w:tc>
        <w:tc>
          <w:tcPr>
            <w:tcW w:w="1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9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Name of each exchange on which registered</w:t>
            </w:r>
          </w:p>
        </w:tc>
      </w:tr>
      <w:tr>
        <w:tblPrEx>
          <w:tblW w:w="10245" w:type="dxa"/>
          <w:jc w:val="center"/>
          <w:tblInd w:w="0" w:type="dxa"/>
          <w:tblCellMar>
            <w:left w:w="108" w:type="dxa"/>
            <w:right w:w="108" w:type="dxa"/>
          </w:tblCellMar>
        </w:tblPrEx>
        <w:trPr>
          <w:cantSplit/>
          <w:trHeight w:hRule="exact" w:val="300"/>
          <w:jc w:val="center"/>
        </w:trPr>
        <w:tc>
          <w:tcPr>
            <w:tcW w:w="4395" w:type="dxa"/>
            <w:tcBorders>
              <w:top w:val="single" w:sz="8" w:space="0" w:color="000000"/>
              <w:left w:val="nil"/>
              <w:bottom w:val="nil"/>
              <w:right w:val="nil"/>
            </w:tcBorders>
            <w:tcMar>
              <w:top w:w="0" w:type="dxa"/>
              <w:left w:w="53" w:type="dxa"/>
              <w:bottom w:w="0" w:type="dxa"/>
              <w:right w:w="53" w:type="dxa"/>
            </w:tcMar>
            <w:vAlign w:val="top"/>
          </w:tcPr>
          <w:p>
            <w:pPr>
              <w:pageBreakBefore w:val="0"/>
              <w:spacing w:before="55" w:after="30" w:line="200" w:lineRule="auto"/>
              <w:ind w:left="0"/>
              <w:jc w:val="center"/>
            </w:pPr>
            <w:r>
              <w:rPr>
                <w:rFonts w:ascii="Times New Roman" w:eastAsia="Times New Roman" w:hAnsi="Times New Roman" w:cs="Times New Roman"/>
                <w:b/>
                <w:color w:val="000000"/>
                <w:sz w:val="20"/>
              </w:rPr>
              <w:t>Common Stock, par value $0.0001 per share</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1665" w:type="dxa"/>
            <w:tcBorders>
              <w:top w:val="single" w:sz="8" w:space="0" w:color="000000"/>
              <w:left w:val="nil"/>
              <w:bottom w:val="nil"/>
              <w:right w:val="nil"/>
            </w:tcBorders>
            <w:tcMar>
              <w:top w:w="0" w:type="dxa"/>
              <w:left w:w="53" w:type="dxa"/>
              <w:bottom w:w="0" w:type="dxa"/>
              <w:right w:w="53" w:type="dxa"/>
            </w:tcMar>
            <w:vAlign w:val="bottom"/>
          </w:tcPr>
          <w:p>
            <w:pPr>
              <w:pageBreakBefore w:val="0"/>
              <w:spacing w:before="55" w:after="30" w:line="200" w:lineRule="auto"/>
              <w:ind w:left="0"/>
              <w:jc w:val="center"/>
            </w:pPr>
            <w:r>
              <w:rPr>
                <w:rFonts w:ascii="Times New Roman" w:eastAsia="Times New Roman" w:hAnsi="Times New Roman" w:cs="Times New Roman"/>
                <w:b/>
                <w:color w:val="000000"/>
                <w:sz w:val="20"/>
              </w:rPr>
              <w:t>IZEA</w:t>
            </w:r>
          </w:p>
        </w:tc>
        <w:tc>
          <w:tcPr>
            <w:tcW w:w="10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975" w:type="dxa"/>
            <w:tcBorders>
              <w:top w:val="single" w:sz="8" w:space="0" w:color="000000"/>
              <w:left w:val="nil"/>
              <w:bottom w:val="nil"/>
              <w:right w:val="nil"/>
            </w:tcBorders>
            <w:tcMar>
              <w:top w:w="0" w:type="dxa"/>
              <w:left w:w="53" w:type="dxa"/>
              <w:bottom w:w="0" w:type="dxa"/>
              <w:right w:w="53" w:type="dxa"/>
            </w:tcMar>
            <w:vAlign w:val="top"/>
          </w:tcPr>
          <w:p>
            <w:pPr>
              <w:keepNext w:val="0"/>
              <w:keepLines w:val="0"/>
              <w:pageBreakBefore w:val="0"/>
              <w:widowControl w:val="0"/>
              <w:numPr>
                <w:ilvl w:val="0"/>
                <w:numId w:val="0"/>
              </w:numPr>
              <w:spacing w:before="55" w:after="30" w:line="209"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 xml:space="preserve">The </w:t>
            </w:r>
            <w:r>
              <w:rPr>
                <w:rFonts w:ascii="Times New Roman" w:eastAsia="Times New Roman" w:hAnsi="Times New Roman" w:cs="Times New Roman"/>
                <w:b/>
                <w:sz w:val="20"/>
              </w:rPr>
              <w:t>Nasdaq</w:t>
            </w:r>
            <w:r>
              <w:rPr>
                <w:rFonts w:ascii="Times New Roman" w:eastAsia="Times New Roman" w:hAnsi="Times New Roman" w:cs="Times New Roman"/>
                <w:b/>
                <w:sz w:val="20"/>
              </w:rPr>
              <w:t xml:space="preserve"> Capital Market</w:t>
            </w:r>
          </w:p>
        </w:tc>
      </w:tr>
    </w:tbl>
    <w:p w:rsidR="00A77B3E">
      <w:pPr>
        <w:keepNext w:val="0"/>
        <w:keepLines w:val="0"/>
        <w:pageBreakBefore w:val="0"/>
        <w:widowControl/>
        <w:numPr>
          <w:ilvl w:val="0"/>
          <w:numId w:val="0"/>
        </w:numPr>
        <w:spacing w:before="220" w:after="0" w:line="24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Pr>
          <w:rFonts w:ascii="Times New Roman" w:eastAsia="Times New Roman" w:hAnsi="Times New Roman" w:cs="Times New Roman"/>
          <w:sz w:val="20"/>
        </w:rPr>
        <w:t>☒</w:t>
      </w:r>
      <w:r>
        <w:rPr>
          <w:rFonts w:ascii="Times New Roman" w:eastAsia="Times New Roman" w:hAnsi="Times New Roman" w:cs="Times New Roman"/>
          <w:sz w:val="18"/>
        </w:rPr>
        <w:t xml:space="preserve">  No  </w:t>
      </w:r>
      <w:r>
        <w:rPr>
          <w:rFonts w:ascii="Times New Roman" w:eastAsia="Times New Roman" w:hAnsi="Times New Roman" w:cs="Times New Roman"/>
          <w:sz w:val="20"/>
        </w:rPr>
        <w:t>☐</w:t>
      </w:r>
    </w:p>
    <w:p w:rsidR="00A77B3E">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Indicate by check mark whether the registrant has submitted electronically every Interactive Data File required to be submitted pursuant to Rule 405 of Regulation S-T during the preceding 12 months (or for such shorter period that the registrant was required to submit and post such files).  </w:t>
      </w:r>
      <w:r>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Pr>
          <w:rFonts w:ascii="Times New Roman" w:eastAsia="Times New Roman" w:hAnsi="Times New Roman" w:cs="Times New Roman"/>
          <w:sz w:val="20"/>
        </w:rPr>
        <w:t>☒</w:t>
      </w:r>
      <w:r>
        <w:rPr>
          <w:rFonts w:ascii="Times New Roman" w:eastAsia="Times New Roman" w:hAnsi="Times New Roman" w:cs="Times New Roman"/>
          <w:sz w:val="18"/>
        </w:rPr>
        <w:t xml:space="preserve">    No  </w:t>
      </w:r>
      <w:r>
        <w:rPr>
          <w:rFonts w:ascii="Times New Roman" w:eastAsia="Times New Roman" w:hAnsi="Times New Roman" w:cs="Times New Roman"/>
          <w:sz w:val="20"/>
        </w:rPr>
        <w:t>☐</w:t>
      </w:r>
    </w:p>
    <w:p w:rsidR="00A77B3E">
      <w:pPr>
        <w:keepNext w:val="0"/>
        <w:keepLines w:val="0"/>
        <w:pageBreakBefore w:val="0"/>
        <w:widowControl/>
        <w:numPr>
          <w:ilvl w:val="0"/>
          <w:numId w:val="0"/>
        </w:numPr>
        <w:spacing w:before="120" w:after="160" w:line="24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25"/>
        <w:gridCol w:w="315"/>
        <w:gridCol w:w="2910"/>
        <w:gridCol w:w="2085"/>
        <w:gridCol w:w="315"/>
        <w:gridCol w:w="291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17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Large accelerated filer</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29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8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Accelerated filer</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w:t>
            </w:r>
          </w:p>
        </w:tc>
        <w:tc>
          <w:tcPr>
            <w:tcW w:w="29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60" w:type="dxa"/>
          <w:jc w:val="left"/>
          <w:tblInd w:w="0" w:type="dxa"/>
          <w:tblCellMar>
            <w:left w:w="108" w:type="dxa"/>
            <w:right w:w="108" w:type="dxa"/>
          </w:tblCellMar>
        </w:tblPrEx>
        <w:trPr>
          <w:cantSplit/>
          <w:trHeight w:hRule="exact" w:val="285"/>
          <w:jc w:val="left"/>
        </w:trPr>
        <w:tc>
          <w:tcPr>
            <w:tcW w:w="17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Non-accelerated filer</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29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8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Smaller reporting company</w:t>
            </w:r>
          </w:p>
        </w:tc>
        <w:tc>
          <w:tcPr>
            <w:tcW w:w="3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291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60" w:type="dxa"/>
          <w:jc w:val="left"/>
          <w:tblInd w:w="0" w:type="dxa"/>
          <w:tblCellMar>
            <w:left w:w="108" w:type="dxa"/>
            <w:right w:w="108" w:type="dxa"/>
          </w:tblCellMar>
        </w:tblPrEx>
        <w:trPr>
          <w:cantSplit/>
          <w:trHeight w:hRule="exact" w:val="285"/>
          <w:jc w:val="left"/>
        </w:trPr>
        <w:tc>
          <w:tcPr>
            <w:tcW w:w="172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315"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910" w:type="dxa"/>
            <w:tcBorders>
              <w:top w:val="nil"/>
              <w:left w:val="nil"/>
              <w:bottom w:val="nil"/>
              <w:right w:val="nil"/>
            </w:tcBorders>
            <w:tcMar>
              <w:top w:w="0" w:type="dxa"/>
              <w:left w:w="0" w:type="dxa"/>
              <w:bottom w:w="0" w:type="dxa"/>
              <w:right w:w="0" w:type="dxa"/>
            </w:tcMar>
            <w:vAlign w:val="bottom"/>
          </w:tcPr>
          <w:p>
            <w:pPr>
              <w:pageBreakBefore w:val="0"/>
              <w:spacing w:before="0" w:after="0"/>
            </w:pPr>
          </w:p>
        </w:tc>
        <w:tc>
          <w:tcPr>
            <w:tcW w:w="2085" w:type="dxa"/>
            <w:tcBorders>
              <w:top w:val="nil"/>
              <w:left w:val="nil"/>
              <w:bottom w:val="nil"/>
              <w:right w:val="nil"/>
            </w:tcBorders>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18"/>
              </w:rPr>
              <w:t>Emerging growth company</w:t>
            </w:r>
          </w:p>
        </w:tc>
        <w:tc>
          <w:tcPr>
            <w:tcW w:w="315" w:type="dxa"/>
            <w:tcBorders>
              <w:top w:val="nil"/>
              <w:left w:val="nil"/>
              <w:bottom w:val="nil"/>
              <w:right w:val="nil"/>
            </w:tcBorders>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18"/>
              </w:rPr>
              <w:t>☐</w:t>
            </w:r>
          </w:p>
        </w:tc>
        <w:tc>
          <w:tcPr>
            <w:tcW w:w="2910" w:type="dxa"/>
            <w:tcBorders>
              <w:top w:val="nil"/>
              <w:left w:val="nil"/>
              <w:bottom w:val="nil"/>
              <w:right w:val="nil"/>
            </w:tcBorders>
            <w:tcMar>
              <w:top w:w="0" w:type="dxa"/>
              <w:left w:w="0" w:type="dxa"/>
              <w:bottom w:w="0" w:type="dxa"/>
              <w:right w:w="0" w:type="dxa"/>
            </w:tcMar>
            <w:vAlign w:val="bottom"/>
          </w:tcPr>
          <w:p>
            <w:pPr>
              <w:pageBreakBefore w:val="0"/>
              <w:spacing w:before="0" w:after="0"/>
            </w:pPr>
          </w:p>
        </w:tc>
      </w:tr>
    </w:tbl>
    <w:p w:rsidR="00A77B3E">
      <w:pPr>
        <w:keepNext w:val="0"/>
        <w:keepLines w:val="0"/>
        <w:pageBreakBefore w:val="0"/>
        <w:widowControl/>
        <w:numPr>
          <w:ilvl w:val="0"/>
          <w:numId w:val="0"/>
        </w:numPr>
        <w:spacing w:before="220" w:after="0" w:line="24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Times New Roman" w:eastAsia="Times New Roman" w:hAnsi="Times New Roman" w:cs="Times New Roman"/>
          <w:sz w:val="20"/>
        </w:rPr>
        <w:t>☐</w:t>
      </w:r>
      <w:r>
        <w:rPr>
          <w:rFonts w:ascii="Times New Roman" w:eastAsia="Times New Roman" w:hAnsi="Times New Roman" w:cs="Times New Roman"/>
          <w:sz w:val="18"/>
        </w:rPr>
        <w:t xml:space="preserve"> </w:t>
      </w:r>
    </w:p>
    <w:p w:rsidR="00A77B3E">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18"/>
        </w:rPr>
      </w:pPr>
      <w:r>
        <w:rPr>
          <w:rFonts w:ascii="Times New Roman" w:eastAsia="Times New Roman" w:hAnsi="Times New Roman" w:cs="Times New Roman"/>
          <w:sz w:val="18"/>
        </w:rPr>
        <w:t>Indicate by check mark whether the registrant is a shell company (as defined in Rule 12b-2 of the Exchange Act).  Yes  </w:t>
      </w:r>
      <w:r>
        <w:rPr>
          <w:rFonts w:ascii="Times New Roman" w:eastAsia="Times New Roman" w:hAnsi="Times New Roman" w:cs="Times New Roman"/>
          <w:sz w:val="20"/>
        </w:rPr>
        <w:t>☐</w:t>
      </w:r>
      <w:r>
        <w:rPr>
          <w:rFonts w:ascii="Times New Roman" w:eastAsia="Times New Roman" w:hAnsi="Times New Roman" w:cs="Times New Roman"/>
          <w:sz w:val="18"/>
        </w:rPr>
        <w:t xml:space="preserve">   No  </w:t>
      </w:r>
      <w:r>
        <w:rPr>
          <w:rFonts w:ascii="Times New Roman" w:eastAsia="Times New Roman" w:hAnsi="Times New Roman" w:cs="Times New Roman"/>
          <w:sz w:val="20"/>
        </w:rPr>
        <w:t>☒</w:t>
      </w:r>
    </w:p>
    <w:p w:rsidR="00A77B3E">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18"/>
        </w:rPr>
      </w:pPr>
      <w:r>
        <w:rPr>
          <w:rFonts w:ascii="Times New Roman" w:eastAsia="Times New Roman" w:hAnsi="Times New Roman" w:cs="Times New Roman"/>
          <w:sz w:val="18"/>
        </w:rPr>
        <w:t xml:space="preserve">As of </w:t>
      </w:r>
      <w:r>
        <w:rPr>
          <w:rFonts w:ascii="Times New Roman" w:eastAsia="Times New Roman" w:hAnsi="Times New Roman" w:cs="Times New Roman"/>
          <w:sz w:val="18"/>
        </w:rPr>
        <w:t>August 10, 2020</w:t>
      </w:r>
      <w:r>
        <w:rPr>
          <w:rFonts w:ascii="Times New Roman" w:eastAsia="Times New Roman" w:hAnsi="Times New Roman" w:cs="Times New Roman"/>
          <w:sz w:val="18"/>
        </w:rPr>
        <w:t xml:space="preserve">, there were </w:t>
      </w:r>
      <w:r>
        <w:rPr>
          <w:rFonts w:ascii="Times New Roman" w:eastAsia="Times New Roman" w:hAnsi="Times New Roman" w:cs="Times New Roman"/>
          <w:sz w:val="18"/>
        </w:rPr>
        <w:t>48,414,560</w:t>
      </w:r>
      <w:r>
        <w:rPr>
          <w:rFonts w:ascii="Times New Roman" w:eastAsia="Times New Roman" w:hAnsi="Times New Roman" w:cs="Times New Roman"/>
          <w:sz w:val="18"/>
        </w:rPr>
        <w:t xml:space="preserve"> shares of our common stock outstanding. </w:t>
      </w:r>
    </w:p>
    <w:p w:rsidR="00A77B3E">
      <w:pPr>
        <w:keepNext w:val="0"/>
        <w:keepLines w:val="0"/>
        <w:pageBreakBefore w:val="0"/>
        <w:widowControl/>
        <w:numPr>
          <w:ilvl w:val="0"/>
          <w:numId w:val="0"/>
        </w:numPr>
        <w:spacing w:before="120" w:after="0" w:line="248" w:lineRule="auto"/>
        <w:ind w:left="0" w:right="0" w:firstLine="0"/>
        <w:jc w:val="both"/>
        <w:outlineLvl w:val="9"/>
        <w:sectPr>
          <w:headerReference w:type="default" r:id="rId4"/>
          <w:footerReference w:type="default" r:id="rId5"/>
          <w:type w:val="continuous"/>
          <w:pgSz w:w="12240" w:h="15840"/>
          <w:pgMar w:top="855" w:right="990" w:bottom="855" w:left="990" w:header="270" w:footer="270" w:gutter="0"/>
          <w:cols w:space="708"/>
          <w:docGrid w:linePitch="360"/>
        </w:sect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bookmarkStart w:id="1" w:name="Section2"/>
      <w:bookmarkEnd w:id="1"/>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6920"/>
          <w:tab w:val="left" w:pos="7200"/>
          <w:tab w:val="left" w:pos="7920"/>
          <w:tab w:val="left" w:pos="8640"/>
          <w:tab w:val="left" w:pos="9360"/>
          <w:tab w:val="left" w:pos="10080"/>
          <w:tab w:val="left" w:pos="10800"/>
          <w:tab w:val="left" w:pos="11520"/>
        </w:tabs>
        <w:spacing w:before="0" w:after="0" w:line="248" w:lineRule="auto"/>
        <w:ind w:left="0" w:right="0" w:firstLine="0"/>
        <w:jc w:val="center"/>
        <w:outlineLvl w:val="0"/>
        <w:rPr>
          <w:rFonts w:ascii="Times New Roman" w:eastAsia="Times New Roman" w:hAnsi="Times New Roman" w:cs="Times New Roman"/>
          <w:sz w:val="20"/>
        </w:rPr>
      </w:pPr>
      <w:r>
        <w:rPr>
          <w:rFonts w:ascii="Times New Roman" w:eastAsia="Times New Roman" w:hAnsi="Times New Roman" w:cs="Times New Roman"/>
          <w:sz w:val="20"/>
        </w:rPr>
        <w:t xml:space="preserve">Quarterly Report on Form 10-Q for the period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Table of Contents</w:t>
      </w:r>
    </w:p>
    <w:p>
      <w:pPr>
        <w:keepNext w:val="0"/>
        <w:keepLines w:val="0"/>
        <w:pageBreakBefore w:val="0"/>
        <w:widowControl/>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525"/>
        <w:gridCol w:w="720"/>
      </w:tblGrid>
      <w:tr>
        <w:tblPrEx>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95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Page</w:t>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PART I. FINANCIAL INFORMATION</w:t>
            </w:r>
          </w:p>
        </w:tc>
        <w:tc>
          <w:tcPr>
            <w:tcW w:w="7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4" w:history="1">
              <w:r>
                <w:rPr>
                  <w:rFonts w:ascii="Times New Roman" w:eastAsia="Times New Roman" w:hAnsi="Times New Roman" w:cs="Times New Roman"/>
                  <w:color w:val="0000FF"/>
                  <w:sz w:val="20"/>
                  <w:u w:val="single"/>
                </w:rPr>
                <w:t>Item 1.     Financial Statements</w:t>
              </w:r>
            </w:hyperlink>
          </w:p>
        </w:tc>
        <w:tc>
          <w:tcPr>
            <w:tcW w:w="7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720" w:right="0" w:firstLine="0"/>
              <w:jc w:val="left"/>
              <w:outlineLvl w:val="9"/>
              <w:rPr>
                <w:rFonts w:ascii="Times New Roman" w:eastAsia="Times New Roman" w:hAnsi="Times New Roman" w:cs="Times New Roman"/>
                <w:sz w:val="20"/>
              </w:rPr>
            </w:pPr>
            <w:hyperlink w:anchor="Section5" w:history="1">
              <w:r>
                <w:rPr>
                  <w:rFonts w:ascii="Times New Roman" w:eastAsia="Times New Roman" w:hAnsi="Times New Roman" w:cs="Times New Roman"/>
                  <w:color w:val="0000FF"/>
                  <w:sz w:val="20"/>
                  <w:u w:val="single"/>
                </w:rPr>
                <w:t xml:space="preserve">Unaudited Consolidated Balance Sheets as of </w:t>
              </w:r>
            </w:hyperlink>
            <w:hyperlink w:anchor="Section5" w:history="1">
              <w:r>
                <w:rPr>
                  <w:rFonts w:ascii="Times New Roman" w:eastAsia="Times New Roman" w:hAnsi="Times New Roman" w:cs="Times New Roman"/>
                  <w:color w:val="0000FF"/>
                  <w:sz w:val="20"/>
                  <w:u w:val="single"/>
                </w:rPr>
                <w:t>June 30</w:t>
              </w:r>
            </w:hyperlink>
            <w:hyperlink w:anchor="Section5" w:history="1">
              <w:r>
                <w:rPr>
                  <w:rFonts w:ascii="Times New Roman" w:eastAsia="Times New Roman" w:hAnsi="Times New Roman" w:cs="Times New Roman"/>
                  <w:color w:val="0000FF"/>
                  <w:sz w:val="20"/>
                  <w:u w:val="single"/>
                </w:rPr>
                <w:t>, 2020 and December 31, 2019</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Section5</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1</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49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720" w:right="0" w:firstLine="0"/>
              <w:jc w:val="left"/>
              <w:outlineLvl w:val="9"/>
              <w:rPr>
                <w:rFonts w:ascii="Times New Roman" w:eastAsia="Times New Roman" w:hAnsi="Times New Roman" w:cs="Times New Roman"/>
                <w:sz w:val="20"/>
              </w:rPr>
            </w:pPr>
            <w:hyperlink w:anchor="Section6" w:history="1">
              <w:r>
                <w:rPr>
                  <w:rFonts w:ascii="Times New Roman" w:eastAsia="Times New Roman" w:hAnsi="Times New Roman" w:cs="Times New Roman"/>
                  <w:color w:val="0000FF"/>
                  <w:sz w:val="20"/>
                  <w:u w:val="single"/>
                </w:rPr>
                <w:t xml:space="preserve">Unaudited Consolidated Statements of Operations for the </w:t>
              </w:r>
            </w:hyperlink>
            <w:hyperlink w:anchor="Section6" w:history="1">
              <w:r>
                <w:rPr>
                  <w:rFonts w:ascii="Times New Roman" w:eastAsia="Times New Roman" w:hAnsi="Times New Roman" w:cs="Times New Roman"/>
                  <w:color w:val="0000FF"/>
                  <w:sz w:val="20"/>
                  <w:u w:val="single"/>
                </w:rPr>
                <w:t xml:space="preserve">Three and </w:t>
              </w:r>
            </w:hyperlink>
            <w:hyperlink w:anchor="Section6" w:history="1">
              <w:r>
                <w:rPr>
                  <w:rFonts w:ascii="Times New Roman" w:eastAsia="Times New Roman" w:hAnsi="Times New Roman" w:cs="Times New Roman"/>
                  <w:color w:val="0000FF"/>
                  <w:sz w:val="20"/>
                  <w:u w:val="single"/>
                </w:rPr>
                <w:t>Six</w:t>
              </w:r>
            </w:hyperlink>
            <w:hyperlink w:anchor="Section6" w:history="1">
              <w:r>
                <w:rPr>
                  <w:rFonts w:ascii="Times New Roman" w:eastAsia="Times New Roman" w:hAnsi="Times New Roman" w:cs="Times New Roman"/>
                  <w:color w:val="0000FF"/>
                  <w:sz w:val="20"/>
                  <w:u w:val="single"/>
                </w:rPr>
                <w:t xml:space="preserve"> Months Ended </w:t>
              </w:r>
            </w:hyperlink>
            <w:hyperlink w:anchor="Section6" w:history="1">
              <w:r>
                <w:rPr>
                  <w:rFonts w:ascii="Times New Roman" w:eastAsia="Times New Roman" w:hAnsi="Times New Roman" w:cs="Times New Roman"/>
                  <w:color w:val="0000FF"/>
                  <w:sz w:val="20"/>
                  <w:u w:val="single"/>
                </w:rPr>
                <w:t xml:space="preserve">June </w:t>
              </w:r>
            </w:hyperlink>
            <w:hyperlink w:anchor="Section6" w:history="1">
              <w:r>
                <w:rPr>
                  <w:rFonts w:ascii="Times New Roman" w:eastAsia="Times New Roman" w:hAnsi="Times New Roman" w:cs="Times New Roman"/>
                  <w:color w:val="0000FF"/>
                  <w:sz w:val="20"/>
                  <w:u w:val="single"/>
                </w:rPr>
                <w:t>30</w:t>
              </w:r>
            </w:hyperlink>
            <w:hyperlink w:anchor="Section6" w:history="1">
              <w:r>
                <w:rPr>
                  <w:rFonts w:ascii="Times New Roman" w:eastAsia="Times New Roman" w:hAnsi="Times New Roman" w:cs="Times New Roman"/>
                  <w:color w:val="0000FF"/>
                  <w:sz w:val="20"/>
                  <w:u w:val="single"/>
                </w:rPr>
                <w:t>, 2020 and 2019</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Section6</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3</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49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720" w:right="0" w:firstLine="0"/>
              <w:jc w:val="left"/>
              <w:outlineLvl w:val="9"/>
              <w:rPr>
                <w:rFonts w:ascii="Times New Roman" w:eastAsia="Times New Roman" w:hAnsi="Times New Roman" w:cs="Times New Roman"/>
                <w:sz w:val="20"/>
              </w:rPr>
            </w:pPr>
            <w:hyperlink w:anchor="Section7" w:history="1">
              <w:r>
                <w:rPr>
                  <w:rFonts w:ascii="Times New Roman" w:eastAsia="Times New Roman" w:hAnsi="Times New Roman" w:cs="Times New Roman"/>
                  <w:color w:val="0000FF"/>
                  <w:sz w:val="20"/>
                  <w:u w:val="single"/>
                </w:rPr>
                <w:t xml:space="preserve">Unaudited Consolidated Statements of Stockholders’ Equity for the </w:t>
              </w:r>
            </w:hyperlink>
            <w:hyperlink w:anchor="Section7" w:history="1">
              <w:r>
                <w:rPr>
                  <w:rFonts w:ascii="Times New Roman" w:eastAsia="Times New Roman" w:hAnsi="Times New Roman" w:cs="Times New Roman"/>
                  <w:color w:val="0000FF"/>
                  <w:sz w:val="20"/>
                  <w:u w:val="single"/>
                </w:rPr>
                <w:t xml:space="preserve">Three and </w:t>
              </w:r>
            </w:hyperlink>
            <w:hyperlink w:anchor="Section7" w:history="1">
              <w:r>
                <w:rPr>
                  <w:rFonts w:ascii="Times New Roman" w:eastAsia="Times New Roman" w:hAnsi="Times New Roman" w:cs="Times New Roman"/>
                  <w:color w:val="0000FF"/>
                  <w:sz w:val="20"/>
                  <w:u w:val="single"/>
                </w:rPr>
                <w:t>Six</w:t>
              </w:r>
            </w:hyperlink>
            <w:hyperlink w:anchor="Section7" w:history="1">
              <w:r>
                <w:rPr>
                  <w:rFonts w:ascii="Times New Roman" w:eastAsia="Times New Roman" w:hAnsi="Times New Roman" w:cs="Times New Roman"/>
                  <w:color w:val="0000FF"/>
                  <w:sz w:val="20"/>
                  <w:u w:val="single"/>
                </w:rPr>
                <w:t xml:space="preserve"> Months Ended </w:t>
              </w:r>
            </w:hyperlink>
            <w:hyperlink w:anchor="Section7" w:history="1">
              <w:r>
                <w:rPr>
                  <w:rFonts w:ascii="Times New Roman" w:eastAsia="Times New Roman" w:hAnsi="Times New Roman" w:cs="Times New Roman"/>
                  <w:color w:val="0000FF"/>
                  <w:sz w:val="20"/>
                  <w:u w:val="single"/>
                </w:rPr>
                <w:t>June 30</w:t>
              </w:r>
            </w:hyperlink>
            <w:hyperlink w:anchor="Section7" w:history="1">
              <w:r>
                <w:rPr>
                  <w:rFonts w:ascii="Times New Roman" w:eastAsia="Times New Roman" w:hAnsi="Times New Roman" w:cs="Times New Roman"/>
                  <w:color w:val="0000FF"/>
                  <w:sz w:val="20"/>
                  <w:u w:val="single"/>
                </w:rPr>
                <w:t>, 2020 and 2019</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Section7</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720" w:right="0" w:firstLine="0"/>
              <w:jc w:val="left"/>
              <w:outlineLvl w:val="9"/>
              <w:rPr>
                <w:rFonts w:ascii="Times New Roman" w:eastAsia="Times New Roman" w:hAnsi="Times New Roman" w:cs="Times New Roman"/>
                <w:sz w:val="20"/>
              </w:rPr>
            </w:pPr>
            <w:hyperlink w:anchor="Section8" w:history="1">
              <w:r>
                <w:rPr>
                  <w:rFonts w:ascii="Times New Roman" w:eastAsia="Times New Roman" w:hAnsi="Times New Roman" w:cs="Times New Roman"/>
                  <w:color w:val="0000FF"/>
                  <w:sz w:val="20"/>
                  <w:u w:val="single"/>
                </w:rPr>
                <w:t xml:space="preserve">Unaudited Consolidated Statements of Cash Flows for the </w:t>
              </w:r>
            </w:hyperlink>
            <w:hyperlink w:anchor="Section8" w:history="1">
              <w:r>
                <w:rPr>
                  <w:rFonts w:ascii="Times New Roman" w:eastAsia="Times New Roman" w:hAnsi="Times New Roman" w:cs="Times New Roman"/>
                  <w:color w:val="0000FF"/>
                  <w:sz w:val="20"/>
                  <w:u w:val="single"/>
                </w:rPr>
                <w:t>Six</w:t>
              </w:r>
            </w:hyperlink>
            <w:hyperlink w:anchor="Section8" w:history="1">
              <w:r>
                <w:rPr>
                  <w:rFonts w:ascii="Times New Roman" w:eastAsia="Times New Roman" w:hAnsi="Times New Roman" w:cs="Times New Roman"/>
                  <w:color w:val="0000FF"/>
                  <w:sz w:val="20"/>
                  <w:u w:val="single"/>
                </w:rPr>
                <w:t xml:space="preserve"> Months Ended </w:t>
              </w:r>
            </w:hyperlink>
            <w:hyperlink w:anchor="Section8" w:history="1">
              <w:r>
                <w:rPr>
                  <w:rFonts w:ascii="Times New Roman" w:eastAsia="Times New Roman" w:hAnsi="Times New Roman" w:cs="Times New Roman"/>
                  <w:color w:val="0000FF"/>
                  <w:sz w:val="20"/>
                  <w:u w:val="single"/>
                </w:rPr>
                <w:t>June 30</w:t>
              </w:r>
            </w:hyperlink>
            <w:hyperlink w:anchor="Section8" w:history="1">
              <w:r>
                <w:rPr>
                  <w:rFonts w:ascii="Times New Roman" w:eastAsia="Times New Roman" w:hAnsi="Times New Roman" w:cs="Times New Roman"/>
                  <w:color w:val="0000FF"/>
                  <w:sz w:val="20"/>
                  <w:u w:val="single"/>
                </w:rPr>
                <w:t>, 2020 and 2019</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Section8</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7</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720" w:right="0" w:firstLine="0"/>
              <w:jc w:val="left"/>
              <w:outlineLvl w:val="9"/>
              <w:rPr>
                <w:rFonts w:ascii="Times New Roman" w:eastAsia="Times New Roman" w:hAnsi="Times New Roman" w:cs="Times New Roman"/>
                <w:sz w:val="20"/>
              </w:rPr>
            </w:pPr>
            <w:hyperlink w:anchor="Section9" w:history="1">
              <w:r>
                <w:rPr>
                  <w:rFonts w:ascii="Times New Roman" w:eastAsia="Times New Roman" w:hAnsi="Times New Roman" w:cs="Times New Roman"/>
                  <w:color w:val="0000FF"/>
                  <w:sz w:val="20"/>
                  <w:u w:val="single"/>
                </w:rPr>
                <w:t>Notes to the Unaudited Consolidated Financial Statements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Section9</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8</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21" w:history="1">
              <w:r>
                <w:rPr>
                  <w:rFonts w:ascii="Times New Roman" w:eastAsia="Times New Roman" w:hAnsi="Times New Roman" w:cs="Times New Roman"/>
                  <w:color w:val="0000FF"/>
                  <w:sz w:val="20"/>
                  <w:u w:val="single"/>
                </w:rPr>
                <w:t>Item 2.     Management’s Discussion and Analysis of Financial Condition and Results of Operations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Section21</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32</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2" w:history="1">
              <w:r>
                <w:rPr>
                  <w:rFonts w:ascii="Times New Roman" w:eastAsia="Times New Roman" w:hAnsi="Times New Roman" w:cs="Times New Roman"/>
                  <w:color w:val="0000FF"/>
                  <w:sz w:val="20"/>
                  <w:u w:val="single"/>
                </w:rPr>
                <w:t>Item 3.     Quantitative and Qualitative Disclosures About Market Risk</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Section32</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47</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3" w:history="1">
              <w:r>
                <w:rPr>
                  <w:rFonts w:ascii="Times New Roman" w:eastAsia="Times New Roman" w:hAnsi="Times New Roman" w:cs="Times New Roman"/>
                  <w:color w:val="0000FF"/>
                  <w:sz w:val="20"/>
                  <w:u w:val="single"/>
                </w:rPr>
                <w:t>Item 4.     Controls and Procedures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Section33</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48</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2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PART II. OTHER INFORMATION</w:t>
            </w:r>
          </w:p>
        </w:tc>
        <w:tc>
          <w:tcPr>
            <w:tcW w:w="7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45" w:type="dxa"/>
          <w:jc w:val="left"/>
          <w:tblInd w:w="0" w:type="dxa"/>
          <w:tblCellMar>
            <w:left w:w="108" w:type="dxa"/>
            <w:right w:w="108" w:type="dxa"/>
          </w:tblCellMar>
        </w:tblPrEx>
        <w:trPr>
          <w:cantSplit/>
          <w:trHeight w:hRule="exact" w:val="300"/>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5" w:history="1">
              <w:r>
                <w:rPr>
                  <w:rFonts w:ascii="Times New Roman" w:eastAsia="Times New Roman" w:hAnsi="Times New Roman" w:cs="Times New Roman"/>
                  <w:color w:val="0000FF"/>
                  <w:sz w:val="20"/>
                  <w:u w:val="single"/>
                </w:rPr>
                <w:t>Item 1.     Legal Proceedings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Section35</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50</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6" w:history="1">
              <w:r>
                <w:rPr>
                  <w:rFonts w:ascii="Times New Roman" w:eastAsia="Times New Roman" w:hAnsi="Times New Roman" w:cs="Times New Roman"/>
                  <w:color w:val="0000FF"/>
                  <w:sz w:val="20"/>
                  <w:u w:val="single"/>
                </w:rPr>
                <w:t>Item 1A.  Risk Factors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Section36</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50</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7" w:history="1">
              <w:r>
                <w:rPr>
                  <w:rFonts w:ascii="Times New Roman" w:eastAsia="Times New Roman" w:hAnsi="Times New Roman" w:cs="Times New Roman"/>
                  <w:color w:val="0000FF"/>
                  <w:sz w:val="20"/>
                  <w:u w:val="single"/>
                </w:rPr>
                <w:t>Item 2.     Unregistered Sales of Equity Securities and Use of Proceeds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Section37</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52</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8" w:history="1">
              <w:r>
                <w:rPr>
                  <w:rFonts w:ascii="Times New Roman" w:eastAsia="Times New Roman" w:hAnsi="Times New Roman" w:cs="Times New Roman"/>
                  <w:color w:val="0000FF"/>
                  <w:sz w:val="20"/>
                  <w:u w:val="single"/>
                </w:rPr>
                <w:t>Item 3.     Defaults Upon Senior Securities</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Section37</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52</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39" w:history="1">
              <w:r>
                <w:rPr>
                  <w:rFonts w:ascii="Times New Roman" w:eastAsia="Times New Roman" w:hAnsi="Times New Roman" w:cs="Times New Roman"/>
                  <w:color w:val="0000FF"/>
                  <w:sz w:val="20"/>
                  <w:u w:val="single"/>
                </w:rPr>
                <w:t>Item 4.     Mine Safety Disclosures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Section39</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53</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40" w:history="1">
              <w:r>
                <w:rPr>
                  <w:rFonts w:ascii="Times New Roman" w:eastAsia="Times New Roman" w:hAnsi="Times New Roman" w:cs="Times New Roman"/>
                  <w:color w:val="0000FF"/>
                  <w:sz w:val="20"/>
                  <w:u w:val="single"/>
                </w:rPr>
                <w:t>Item 5.     Other Information</w:t>
              </w:r>
            </w:hyperlink>
          </w:p>
        </w:tc>
        <w:tc>
          <w:tcPr>
            <w:tcW w:w="720"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Section40</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53</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360" w:right="0" w:firstLine="0"/>
              <w:jc w:val="left"/>
              <w:outlineLvl w:val="9"/>
              <w:rPr>
                <w:rFonts w:ascii="Times New Roman" w:eastAsia="Times New Roman" w:hAnsi="Times New Roman" w:cs="Times New Roman"/>
                <w:sz w:val="20"/>
              </w:rPr>
            </w:pPr>
            <w:hyperlink w:anchor="Section41" w:history="1">
              <w:r>
                <w:rPr>
                  <w:rFonts w:ascii="Times New Roman" w:eastAsia="Times New Roman" w:hAnsi="Times New Roman" w:cs="Times New Roman"/>
                  <w:color w:val="0000FF"/>
                  <w:sz w:val="20"/>
                  <w:u w:val="single"/>
                </w:rPr>
                <w:t>Item 6.     Exhibits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Section41</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54</w:t>
            </w:r>
            <w:r>
              <w:rPr>
                <w:rFonts w:ascii="Times New Roman" w:eastAsia="Times New Roman" w:hAnsi="Times New Roman" w:cs="Times New Roman"/>
                <w:color w:val="0000FF"/>
                <w:sz w:val="20"/>
                <w:u w:val="single"/>
              </w:rPr>
              <w:fldChar w:fldCharType="end"/>
            </w: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2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45" w:type="dxa"/>
          <w:jc w:val="left"/>
          <w:tblInd w:w="0" w:type="dxa"/>
          <w:tblCellMar>
            <w:left w:w="108" w:type="dxa"/>
            <w:right w:w="108" w:type="dxa"/>
          </w:tblCellMar>
        </w:tblPrEx>
        <w:trPr>
          <w:cantSplit/>
          <w:trHeight w:hRule="exact" w:val="285"/>
          <w:jc w:val="left"/>
        </w:trPr>
        <w:tc>
          <w:tcPr>
            <w:tcW w:w="95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w:anchor="Section42" w:history="1">
              <w:r>
                <w:rPr>
                  <w:rFonts w:ascii="Times New Roman" w:eastAsia="Times New Roman" w:hAnsi="Times New Roman" w:cs="Times New Roman"/>
                  <w:color w:val="0000FF"/>
                  <w:sz w:val="20"/>
                  <w:u w:val="single"/>
                </w:rPr>
                <w:t>Signatures</w:t>
              </w:r>
            </w:hyperlink>
          </w:p>
        </w:tc>
        <w:tc>
          <w:tcPr>
            <w:tcW w:w="720"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color w:val="0000FF"/>
                <w:sz w:val="20"/>
                <w:u w:val="single"/>
              </w:rPr>
              <w:fldChar w:fldCharType="begin"/>
            </w:r>
            <w:r>
              <w:rPr>
                <w:rFonts w:ascii="Times New Roman" w:eastAsia="Times New Roman" w:hAnsi="Times New Roman" w:cs="Times New Roman"/>
                <w:color w:val="0000FF"/>
                <w:sz w:val="20"/>
                <w:u w:val="single"/>
              </w:rPr>
              <w:instrText xml:space="preserve"> PAGEREF </w:instrText>
            </w:r>
            <w:r>
              <w:rPr>
                <w:rFonts w:ascii="Times New Roman" w:eastAsia="Times New Roman" w:hAnsi="Times New Roman" w:cs="Times New Roman"/>
                <w:color w:val="0000FF"/>
                <w:sz w:val="20"/>
                <w:u w:val="single"/>
              </w:rPr>
              <w:instrText xml:space="preserve"> </w:instrText>
            </w:r>
            <w:r>
              <w:rPr>
                <w:rFonts w:ascii="Times New Roman" w:eastAsia="Times New Roman" w:hAnsi="Times New Roman" w:cs="Times New Roman"/>
                <w:color w:val="0000FF"/>
                <w:sz w:val="20"/>
                <w:u w:val="single"/>
              </w:rPr>
              <w:instrText>Section42</w:instrText>
            </w:r>
            <w:r>
              <w:rPr>
                <w:rFonts w:ascii="Times New Roman" w:eastAsia="Times New Roman" w:hAnsi="Times New Roman" w:cs="Times New Roman"/>
                <w:color w:val="0000FF"/>
                <w:sz w:val="20"/>
                <w:u w:val="single"/>
              </w:rPr>
              <w:fldChar w:fldCharType="separate"/>
            </w:r>
            <w:r>
              <w:rPr>
                <w:rFonts w:ascii="Times New Roman" w:eastAsia="Times New Roman" w:hAnsi="Times New Roman" w:cs="Times New Roman"/>
                <w:color w:val="0000FF"/>
                <w:sz w:val="20"/>
                <w:u w:val="single"/>
              </w:rPr>
              <w:t>56</w:t>
            </w:r>
            <w:r>
              <w:rPr>
                <w:rFonts w:ascii="Times New Roman" w:eastAsia="Times New Roman" w:hAnsi="Times New Roman" w:cs="Times New Roman"/>
                <w:color w:val="0000FF"/>
                <w:sz w:val="20"/>
                <w:u w:val="single"/>
              </w:rPr>
              <w:fldChar w:fldCharType="end"/>
            </w: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footerReference w:type="default" r:id="rId6"/>
          <w:pgSz w:w="12240" w:h="15840"/>
          <w:pgMar w:top="855" w:right="990" w:bottom="855" w:left="990" w:header="270" w:footer="270"/>
          <w:pgNumType w:fmt="lowerRoman" w:start="1"/>
          <w:cols w:space="708"/>
        </w:sectPr>
      </w:pPr>
    </w:p>
    <w:p>
      <w:pPr>
        <w:keepNext w:val="0"/>
        <w:keepLines w:val="0"/>
        <w:pageBreakBefore w:val="0"/>
        <w:widowControl/>
        <w:numPr>
          <w:ilvl w:val="0"/>
          <w:numId w:val="0"/>
        </w:numPr>
        <w:spacing w:before="0" w:after="0" w:line="248" w:lineRule="auto"/>
        <w:ind w:left="0" w:right="0" w:firstLine="0"/>
        <w:jc w:val="center"/>
        <w:outlineLvl w:val="0"/>
        <w:rPr>
          <w:rFonts w:ascii="Times New Roman" w:eastAsia="Times New Roman" w:hAnsi="Times New Roman" w:cs="Times New Roman"/>
          <w:b/>
          <w:sz w:val="20"/>
        </w:rPr>
      </w:pPr>
      <w:bookmarkStart w:id="2" w:name="Section3"/>
      <w:bookmarkEnd w:id="2"/>
      <w:r>
        <w:rPr>
          <w:rFonts w:ascii="Times New Roman" w:eastAsia="Times New Roman" w:hAnsi="Times New Roman" w:cs="Times New Roman"/>
          <w:b/>
          <w:sz w:val="20"/>
        </w:rPr>
        <w:t>PART I – FINANCIAL INFORMATION</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center"/>
        <w:outlineLvl w:val="9"/>
        <w:sectPr>
          <w:pgSz w:w="12240" w:h="15840"/>
          <w:pgMar w:top="855" w:right="990" w:bottom="855" w:left="990" w:header="270" w:footer="270"/>
          <w:pgNumType w:start="1"/>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 w:name="Section4"/>
      <w:bookmarkEnd w:id="3"/>
      <w:r>
        <w:rPr>
          <w:rFonts w:ascii="Times New Roman" w:eastAsia="Times New Roman" w:hAnsi="Times New Roman" w:cs="Times New Roman"/>
          <w:b/>
          <w:sz w:val="20"/>
        </w:rPr>
        <w:t>ITEM 1 – FINANCIAL STATEMENTS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2"/>
        <w:rPr>
          <w:rFonts w:ascii="Times New Roman" w:eastAsia="Times New Roman" w:hAnsi="Times New Roman" w:cs="Times New Roman"/>
          <w:sz w:val="20"/>
        </w:rPr>
      </w:pPr>
      <w:bookmarkStart w:id="4" w:name="Section5"/>
      <w:bookmarkEnd w:id="4"/>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10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Unaudited Consolidated Balance Sheets</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155"/>
        <w:gridCol w:w="160"/>
        <w:gridCol w:w="1240"/>
        <w:gridCol w:w="100"/>
        <w:gridCol w:w="75"/>
        <w:gridCol w:w="160"/>
        <w:gridCol w:w="1240"/>
        <w:gridCol w:w="100"/>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71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June 30,</w:t>
            </w:r>
            <w:r>
              <w:br/>
            </w:r>
            <w:r>
              <w:rPr>
                <w:rFonts w:ascii="Times New Roman" w:eastAsia="Times New Roman" w:hAnsi="Times New Roman" w:cs="Times New Roman"/>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December 31,</w:t>
            </w:r>
            <w:r>
              <w:br/>
            </w:r>
            <w:r>
              <w:rPr>
                <w:rFonts w:ascii="Times New Roman" w:eastAsia="Times New Roman" w:hAnsi="Times New Roman" w:cs="Times New Roman"/>
                <w:color w:val="000000"/>
                <w:sz w:val="18"/>
              </w:rPr>
              <w:t>2019</w:t>
            </w: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b/>
                <w:color w:val="000000"/>
                <w:sz w:val="20"/>
              </w:rPr>
              <w:t>Assets</w:t>
            </w:r>
          </w:p>
        </w:tc>
        <w:tc>
          <w:tcPr>
            <w:tcW w:w="15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Current assets:</w:t>
            </w: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Cash and cash equivalents</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20,820,273 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5,884,629 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Accounts receivable, net</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3,053,135 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5,596,719 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Prepaid expenses</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368,697 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400,181 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Other current assets</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130,656 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153,031 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current assets</w:t>
            </w: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24,372,761 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12,034,560 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19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xml:space="preserve">Property and equipment, net </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282,082 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309,780 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Goodwill</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4,016,722 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8,316,722 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Intangible assets, net</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1,006,536 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1,611,516 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xml:space="preserve">Software development costs, net </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1,413,920 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1,519,980 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Security deposits</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40,382 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151,803 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720"/>
              <w:jc w:val="left"/>
            </w:pPr>
            <w:r>
              <w:rPr>
                <w:rFonts w:ascii="Times New Roman" w:eastAsia="Times New Roman" w:hAnsi="Times New Roman" w:cs="Times New Roman"/>
                <w:color w:val="000000"/>
                <w:sz w:val="20"/>
              </w:rPr>
              <w:t>Total assets</w:t>
            </w: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31,132,403 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23,944,361 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165"/>
          <w:jc w:val="left"/>
        </w:trPr>
        <w:tc>
          <w:tcPr>
            <w:tcW w:w="715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b/>
                <w:color w:val="000000"/>
                <w:sz w:val="20"/>
              </w:rPr>
              <w:t>Liabilities and Stockholders’ Equity</w:t>
            </w: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Current liabilities:</w:t>
            </w:r>
          </w:p>
        </w:tc>
        <w:tc>
          <w:tcPr>
            <w:tcW w:w="150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Accounts payable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1,022,960 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2,252,536 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Accrued expenses</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1,287,652 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1,377,556 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Contract liabilities</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5,841,264 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6,466,766 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Current portion of notes payable</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837,865 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Right-of-use liability</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83,807 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current liabilities</w:t>
            </w: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8,989,741 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10,180,665 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19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Finance obligation, less current portion</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65,609 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45,673 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Notes payable, less current portion</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1,096,722 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right"/>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liabilities</w:t>
            </w: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10,152,072 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10,226,338 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Commitments and Contingencies (Note 7)</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195"/>
          <w:jc w:val="left"/>
        </w:trPr>
        <w:tc>
          <w:tcPr>
            <w:tcW w:w="715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Stockholders’ equity:</w:t>
            </w: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r>
      <w:tr>
        <w:tblPrEx>
          <w:tblW w:w="10230" w:type="dxa"/>
          <w:jc w:val="left"/>
          <w:tblInd w:w="0" w:type="dxa"/>
          <w:tblCellMar>
            <w:left w:w="108" w:type="dxa"/>
            <w:right w:w="108" w:type="dxa"/>
          </w:tblCellMar>
        </w:tblPrEx>
        <w:trPr>
          <w:cantSplit/>
          <w:trHeight w:hRule="exact" w:val="49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Preferred stock; $.0001 par value; 10,000,000 shares authorized; no shares issued and outstanding</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49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Common stock; $.0001 par value; 200,000,000 shares authorized; 41,784,601 and 34,634,172, respectively, issued and outstanding</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4,178 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3,464 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Additional paid-in capital</w:t>
            </w: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89,315,525 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74,099,328 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Accumulated deficit</w:t>
            </w: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(68,339,372)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(60,384,769)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stockholders’ equity</w:t>
            </w:r>
          </w:p>
        </w:tc>
        <w:tc>
          <w:tcPr>
            <w:tcW w:w="14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20,980,331 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13,718,023 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1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720"/>
              <w:jc w:val="left"/>
            </w:pPr>
            <w:r>
              <w:rPr>
                <w:rFonts w:ascii="Times New Roman" w:eastAsia="Times New Roman" w:hAnsi="Times New Roman" w:cs="Times New Roman"/>
                <w:color w:val="000000"/>
                <w:sz w:val="20"/>
              </w:rPr>
              <w:t>Total liabilities and stockholders’ equity</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31,132,403 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2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23,944,361 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See accompanying notes to the unaudited consolidated financial statements.</w:t>
      </w:r>
    </w:p>
    <w:p>
      <w:pPr>
        <w:keepNext w:val="0"/>
        <w:keepLines w:val="0"/>
        <w:pageBreakBefore w:val="0"/>
        <w:widowControl/>
        <w:numPr>
          <w:ilvl w:val="0"/>
          <w:numId w:val="0"/>
        </w:numPr>
        <w:spacing w:before="0" w:after="0" w:line="248" w:lineRule="auto"/>
        <w:ind w:left="0" w:right="0" w:firstLine="0"/>
        <w:jc w:val="center"/>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2"/>
        <w:rPr>
          <w:rFonts w:ascii="Times New Roman" w:eastAsia="Times New Roman" w:hAnsi="Times New Roman" w:cs="Times New Roman"/>
          <w:sz w:val="20"/>
        </w:rPr>
      </w:pPr>
      <w:bookmarkStart w:id="5" w:name="Section6"/>
      <w:bookmarkEnd w:id="5"/>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Unaudited Consolidated Statements of Operations</w:t>
      </w:r>
    </w:p>
    <w:p>
      <w:pPr>
        <w:keepNext w:val="0"/>
        <w:keepLines w:val="0"/>
        <w:pageBreakBefore w:val="0"/>
        <w:widowControl/>
        <w:numPr>
          <w:ilvl w:val="0"/>
          <w:numId w:val="0"/>
        </w:numPr>
        <w:spacing w:before="0" w:after="10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2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75"/>
        <w:gridCol w:w="160"/>
        <w:gridCol w:w="1180"/>
        <w:gridCol w:w="100"/>
        <w:gridCol w:w="75"/>
        <w:gridCol w:w="160"/>
        <w:gridCol w:w="1180"/>
        <w:gridCol w:w="100"/>
        <w:gridCol w:w="75"/>
        <w:gridCol w:w="160"/>
        <w:gridCol w:w="1180"/>
        <w:gridCol w:w="100"/>
        <w:gridCol w:w="75"/>
        <w:gridCol w:w="160"/>
        <w:gridCol w:w="1180"/>
        <w:gridCol w:w="100"/>
      </w:tblGrid>
      <w:tr>
        <w:tblPrEx>
          <w:tblW w:w="102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42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 </w:t>
            </w:r>
          </w:p>
        </w:tc>
        <w:tc>
          <w:tcPr>
            <w:tcW w:w="295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Three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5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Six Months Ended June 30,</w:t>
            </w:r>
          </w:p>
        </w:tc>
      </w:tr>
      <w:tr>
        <w:tblPrEx>
          <w:tblW w:w="10260" w:type="dxa"/>
          <w:jc w:val="center"/>
          <w:tblInd w:w="0" w:type="dxa"/>
          <w:tblCellMar>
            <w:left w:w="108" w:type="dxa"/>
            <w:right w:w="108" w:type="dxa"/>
          </w:tblCellMar>
        </w:tblPrEx>
        <w:trPr>
          <w:cantSplit/>
          <w:trHeight w:hRule="exact" w:val="285"/>
          <w:jc w:val="center"/>
        </w:trPr>
        <w:tc>
          <w:tcPr>
            <w:tcW w:w="42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2019</w:t>
            </w: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3,135,039 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3,923,864 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7,898,707 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8,717,620 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60" w:type="dxa"/>
          <w:jc w:val="center"/>
          <w:tblInd w:w="0" w:type="dxa"/>
          <w:tblCellMar>
            <w:left w:w="108" w:type="dxa"/>
            <w:right w:w="108" w:type="dxa"/>
          </w:tblCellMar>
        </w:tblPrEx>
        <w:trPr>
          <w:cantSplit/>
          <w:trHeight w:hRule="exact" w:val="165"/>
          <w:jc w:val="center"/>
        </w:trPr>
        <w:tc>
          <w:tcPr>
            <w:tcW w:w="42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Costs and expenses:</w:t>
            </w: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 xml:space="preserve">Cost of revenue (exclusive of amortization) </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1,414,249 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1,817,659 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3,554,766 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3,916,950 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Sales and marketing</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1,228,691 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1,362,242 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2,751,834 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2,719,909 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General and administrative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1,920,492 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2,232,305 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4,338,330 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4,844,359 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Impairment of goodwill</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Depreciation and amortization</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377,107 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448,105 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878,376 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884,329 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costs and expenses</w:t>
            </w: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4,940,539 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5,860,311 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15,823,306 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12,365,547 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60" w:type="dxa"/>
          <w:jc w:val="center"/>
          <w:tblInd w:w="0" w:type="dxa"/>
          <w:tblCellMar>
            <w:left w:w="108" w:type="dxa"/>
            <w:right w:w="108" w:type="dxa"/>
          </w:tblCellMar>
        </w:tblPrEx>
        <w:trPr>
          <w:cantSplit/>
          <w:trHeight w:hRule="exact" w:val="165"/>
          <w:jc w:val="center"/>
        </w:trPr>
        <w:tc>
          <w:tcPr>
            <w:tcW w:w="42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Loss from operations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(1,805,500)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(1,936,447)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(7,924,599)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(3,647,927)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165"/>
          <w:jc w:val="center"/>
        </w:trPr>
        <w:tc>
          <w:tcPr>
            <w:tcW w:w="42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Other income (expense):</w:t>
            </w: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Interest expense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(19,476)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(86,737)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(26,094)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(215,201)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Other income (expense), net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33,834 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30,798 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(3,910)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40,162 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20"/>
              </w:rPr>
              <w:t>Total other income (expense), net</w:t>
            </w:r>
          </w:p>
        </w:tc>
        <w:tc>
          <w:tcPr>
            <w:tcW w:w="13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14,358 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(55,939)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(30,004)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(175,039)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r>
      <w:tr>
        <w:tblPrEx>
          <w:tblW w:w="10260" w:type="dxa"/>
          <w:jc w:val="center"/>
          <w:tblInd w:w="0" w:type="dxa"/>
          <w:tblCellMar>
            <w:left w:w="108" w:type="dxa"/>
            <w:right w:w="108" w:type="dxa"/>
          </w:tblCellMar>
        </w:tblPrEx>
        <w:trPr>
          <w:cantSplit/>
          <w:trHeight w:hRule="exact" w:val="165"/>
          <w:jc w:val="center"/>
        </w:trPr>
        <w:tc>
          <w:tcPr>
            <w:tcW w:w="42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Net loss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(1,791,142)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(1,992,386)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(7,954,603)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(3,822,966)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165"/>
          <w:jc w:val="center"/>
        </w:trPr>
        <w:tc>
          <w:tcPr>
            <w:tcW w:w="42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jc w:val="center"/>
          <w:tblInd w:w="0" w:type="dxa"/>
          <w:tblCellMar>
            <w:left w:w="108" w:type="dxa"/>
            <w:right w:w="108" w:type="dxa"/>
          </w:tblCellMar>
        </w:tblPrEx>
        <w:trPr>
          <w:cantSplit/>
          <w:trHeight w:hRule="exact" w:val="495"/>
          <w:jc w:val="center"/>
        </w:trPr>
        <w:tc>
          <w:tcPr>
            <w:tcW w:w="4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Weighted average common shares outstanding – basic and diluted</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36,108,073 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22,277,677 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35,394,639 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17,466,784 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2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Basic and diluted loss per common share</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(0.05)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(0.09)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(0.22)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(0.22)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jc w:val="left"/>
            </w:pP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See accompanying notes to the unaudited consolidated financial statements.</w:t>
      </w:r>
    </w:p>
    <w:p>
      <w:pPr>
        <w:keepNext w:val="0"/>
        <w:keepLines w:val="0"/>
        <w:pageBreakBefore w:val="0"/>
        <w:widowControl/>
        <w:numPr>
          <w:ilvl w:val="0"/>
          <w:numId w:val="0"/>
        </w:numPr>
        <w:spacing w:before="0" w:after="0" w:line="24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2"/>
        <w:rPr>
          <w:rFonts w:ascii="Times New Roman" w:eastAsia="Times New Roman" w:hAnsi="Times New Roman" w:cs="Times New Roman"/>
          <w:sz w:val="20"/>
        </w:rPr>
      </w:pPr>
      <w:bookmarkStart w:id="6" w:name="Section7"/>
      <w:bookmarkEnd w:id="6"/>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Unaudited Consolidated Statements of Stockholders’ Equity</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Three Months Ended</w:t>
      </w:r>
      <w:r>
        <w:rPr>
          <w:rFonts w:ascii="Times New Roman" w:eastAsia="Times New Roman" w:hAnsi="Times New Roman" w:cs="Times New Roman"/>
          <w:sz w:val="20"/>
        </w:rPr>
        <w:t xml:space="preserve">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p>
    <w:p>
      <w:pPr>
        <w:keepNext w:val="0"/>
        <w:keepLines w:val="0"/>
        <w:pageBreakBefore w:val="0"/>
        <w:widowControl/>
        <w:numPr>
          <w:ilvl w:val="0"/>
          <w:numId w:val="0"/>
        </w:numPr>
        <w:spacing w:before="0" w:after="100" w:line="248" w:lineRule="auto"/>
        <w:ind w:left="0" w:right="0" w:firstLine="0"/>
        <w:jc w:val="left"/>
        <w:outlineLvl w:val="9"/>
        <w:rPr>
          <w:rFonts w:ascii="Times New Roman" w:eastAsia="Times New Roman" w:hAnsi="Times New Roman" w:cs="Times New Roman"/>
          <w:b/>
          <w:sz w:val="20"/>
          <w:u w:val="single"/>
        </w:rPr>
      </w:pPr>
    </w:p>
    <w:tbl>
      <w:tblPr>
        <w:tblW w:w="100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5"/>
        <w:gridCol w:w="75"/>
        <w:gridCol w:w="980"/>
        <w:gridCol w:w="100"/>
        <w:gridCol w:w="75"/>
        <w:gridCol w:w="160"/>
        <w:gridCol w:w="565"/>
        <w:gridCol w:w="100"/>
        <w:gridCol w:w="75"/>
        <w:gridCol w:w="160"/>
        <w:gridCol w:w="895"/>
        <w:gridCol w:w="100"/>
        <w:gridCol w:w="75"/>
        <w:gridCol w:w="160"/>
        <w:gridCol w:w="925"/>
        <w:gridCol w:w="100"/>
        <w:gridCol w:w="75"/>
        <w:gridCol w:w="160"/>
        <w:gridCol w:w="820"/>
        <w:gridCol w:w="100"/>
      </w:tblGrid>
      <w:tr>
        <w:tblPrEx>
          <w:tblW w:w="100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6"/>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Additional</w:t>
            </w:r>
            <w:r>
              <w:br/>
            </w:r>
            <w:r>
              <w:rPr>
                <w:rFonts w:ascii="Times New Roman" w:eastAsia="Times New Roman" w:hAnsi="Times New Roman" w:cs="Times New Roman"/>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Total</w:t>
            </w:r>
            <w:r>
              <w:br/>
            </w:r>
            <w:r>
              <w:rPr>
                <w:rFonts w:ascii="Times New Roman" w:eastAsia="Times New Roman" w:hAnsi="Times New Roman" w:cs="Times New Roman"/>
                <w:color w:val="000000"/>
                <w:sz w:val="16"/>
              </w:rPr>
              <w:t>Stockholders’</w:t>
            </w: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2"/>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6"/>
              </w:rPr>
              <w:t>Shares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6"/>
              </w:rPr>
              <w:t>Amount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Capital</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Deficit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Equity</w:t>
            </w: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Balance, March 31, 2020</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8"/>
              </w:rPr>
              <w:t>34,773,051 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3,477 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74,257,810 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(66,548,230)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7,713,057 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Sale of securities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6,856,241 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685 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15,361,168 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15,361,853 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purchase plan &amp; option exercise issuances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10,034 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2,312 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2,313 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97,655 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31,240 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31,249 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(455,706)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(455,706)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47,620 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118,701 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118,707 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(1,791,142)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(1,791,142)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b/>
                <w:color w:val="000000"/>
                <w:sz w:val="18"/>
              </w:rPr>
              <w:t>Balance, June 30, 2020</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98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18"/>
              </w:rPr>
              <w:t>41,784,601 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55" w:after="30" w:line="200" w:lineRule="auto"/>
              <w:ind w:lef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4,178 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55" w:after="30" w:line="200" w:lineRule="auto"/>
              <w:ind w:lef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89,315,525 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55" w:after="30" w:line="200" w:lineRule="auto"/>
              <w:ind w:left="0"/>
              <w:jc w:val="right"/>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(68,339,372)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20,980,331 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220" w:line="248" w:lineRule="auto"/>
        <w:ind w:left="0" w:right="0" w:firstLine="0"/>
        <w:jc w:val="center"/>
        <w:outlineLvl w:val="9"/>
        <w:rPr>
          <w:rFonts w:ascii="Times New Roman" w:eastAsia="Times New Roman" w:hAnsi="Times New Roman" w:cs="Times New Roman"/>
          <w:i/>
          <w:sz w:val="20"/>
        </w:rPr>
      </w:pPr>
    </w:p>
    <w:tbl>
      <w:tblPr>
        <w:tblW w:w="100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5"/>
        <w:gridCol w:w="75"/>
        <w:gridCol w:w="980"/>
        <w:gridCol w:w="100"/>
        <w:gridCol w:w="75"/>
        <w:gridCol w:w="160"/>
        <w:gridCol w:w="565"/>
        <w:gridCol w:w="100"/>
        <w:gridCol w:w="75"/>
        <w:gridCol w:w="160"/>
        <w:gridCol w:w="895"/>
        <w:gridCol w:w="100"/>
        <w:gridCol w:w="75"/>
        <w:gridCol w:w="160"/>
        <w:gridCol w:w="925"/>
        <w:gridCol w:w="100"/>
        <w:gridCol w:w="75"/>
        <w:gridCol w:w="160"/>
        <w:gridCol w:w="820"/>
        <w:gridCol w:w="100"/>
      </w:tblGrid>
      <w:tr>
        <w:tblPrEx>
          <w:tblW w:w="100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6"/>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Additional</w:t>
            </w:r>
            <w:r>
              <w:br/>
            </w:r>
            <w:r>
              <w:rPr>
                <w:rFonts w:ascii="Times New Roman" w:eastAsia="Times New Roman" w:hAnsi="Times New Roman" w:cs="Times New Roman"/>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Total</w:t>
            </w:r>
            <w:r>
              <w:br/>
            </w:r>
            <w:r>
              <w:rPr>
                <w:rFonts w:ascii="Times New Roman" w:eastAsia="Times New Roman" w:hAnsi="Times New Roman" w:cs="Times New Roman"/>
                <w:color w:val="000000"/>
                <w:sz w:val="16"/>
              </w:rPr>
              <w:t>Stockholders’</w:t>
            </w: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2"/>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6"/>
              </w:rPr>
              <w:t>Shares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6"/>
              </w:rPr>
              <w:t>Amount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Capital</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Deficit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Equity</w:t>
            </w: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Balance, March 31, 2019</w:t>
            </w:r>
          </w:p>
        </w:tc>
        <w:tc>
          <w:tcPr>
            <w:tcW w:w="75" w:type="dxa"/>
            <w:tcBorders>
              <w:top w:val="single" w:sz="16"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8"/>
              </w:rPr>
              <w:t>12,812,108 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1,281 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61,534,711 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(54,925,229)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6,610,763 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Sale of securities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14,285,714 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1,429 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9,998,571 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10,000,000 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acquisition liability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purchase plan issuances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7,099 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3,095 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3,096 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22,191 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37,495 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37,497 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(772,367)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(772,367)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(38,899)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46,981 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46,977 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(1,992,386)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(1,992,386)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b/>
                <w:color w:val="000000"/>
                <w:sz w:val="18"/>
              </w:rPr>
              <w:t>Balance, June 30, 2019</w:t>
            </w:r>
          </w:p>
        </w:tc>
        <w:tc>
          <w:tcPr>
            <w:tcW w:w="75" w:type="dxa"/>
            <w:tcBorders>
              <w:top w:val="single" w:sz="16"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98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18"/>
              </w:rPr>
              <w:t>27,088,213 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2,709 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70,848,486 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(56,917,615)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13,933,580 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See accompanying notes to the unaudited consolidated financial statements.</w:t>
      </w:r>
    </w:p>
    <w:p>
      <w:pPr>
        <w:keepNext w:val="0"/>
        <w:keepLines w:val="0"/>
        <w:pageBreakBefore/>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Unaudited Consolidated Statements of Stockholders’ Equity</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Six Months Ended</w:t>
      </w:r>
      <w:r>
        <w:rPr>
          <w:rFonts w:ascii="Times New Roman" w:eastAsia="Times New Roman" w:hAnsi="Times New Roman" w:cs="Times New Roman"/>
          <w:sz w:val="20"/>
        </w:rPr>
        <w:t xml:space="preserve">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p>
    <w:p>
      <w:pPr>
        <w:keepNext w:val="0"/>
        <w:keepLines w:val="0"/>
        <w:pageBreakBefore w:val="0"/>
        <w:widowControl/>
        <w:numPr>
          <w:ilvl w:val="0"/>
          <w:numId w:val="0"/>
        </w:numPr>
        <w:spacing w:before="0" w:after="100" w:line="248" w:lineRule="auto"/>
        <w:ind w:left="0" w:right="0" w:firstLine="0"/>
        <w:jc w:val="left"/>
        <w:outlineLvl w:val="9"/>
        <w:rPr>
          <w:rFonts w:ascii="Times New Roman" w:eastAsia="Times New Roman" w:hAnsi="Times New Roman" w:cs="Times New Roman"/>
          <w:b/>
          <w:sz w:val="20"/>
          <w:u w:val="single"/>
        </w:rPr>
      </w:pPr>
    </w:p>
    <w:tbl>
      <w:tblPr>
        <w:tblW w:w="100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5"/>
        <w:gridCol w:w="75"/>
        <w:gridCol w:w="980"/>
        <w:gridCol w:w="100"/>
        <w:gridCol w:w="75"/>
        <w:gridCol w:w="160"/>
        <w:gridCol w:w="565"/>
        <w:gridCol w:w="100"/>
        <w:gridCol w:w="75"/>
        <w:gridCol w:w="160"/>
        <w:gridCol w:w="895"/>
        <w:gridCol w:w="100"/>
        <w:gridCol w:w="75"/>
        <w:gridCol w:w="160"/>
        <w:gridCol w:w="925"/>
        <w:gridCol w:w="100"/>
        <w:gridCol w:w="75"/>
        <w:gridCol w:w="160"/>
        <w:gridCol w:w="820"/>
        <w:gridCol w:w="100"/>
      </w:tblGrid>
      <w:tr>
        <w:tblPrEx>
          <w:tblW w:w="100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6"/>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Additional</w:t>
            </w:r>
            <w:r>
              <w:br/>
            </w:r>
            <w:r>
              <w:rPr>
                <w:rFonts w:ascii="Times New Roman" w:eastAsia="Times New Roman" w:hAnsi="Times New Roman" w:cs="Times New Roman"/>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Total</w:t>
            </w:r>
            <w:r>
              <w:br/>
            </w:r>
            <w:r>
              <w:rPr>
                <w:rFonts w:ascii="Times New Roman" w:eastAsia="Times New Roman" w:hAnsi="Times New Roman" w:cs="Times New Roman"/>
                <w:color w:val="000000"/>
                <w:sz w:val="16"/>
              </w:rPr>
              <w:t>Stockholders’</w:t>
            </w: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2"/>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6"/>
              </w:rPr>
              <w:t>Shares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6"/>
              </w:rPr>
              <w:t>Amount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Capital</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Deficit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Equity</w:t>
            </w: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Balance, December 31, 2019</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8"/>
              </w:rPr>
              <w:t>34,634,172 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3,464 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74,099,328 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(60,384,769)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13,718,023 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Sale of securities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6,856,241 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685 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15,361,168 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15,361,853 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purchase plan &amp; option exercise issuances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10,034 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2,312 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2,313 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195,310 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62,480 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62,499 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(458,032)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(458,032)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88,844 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248,269 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248,278 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(7,954,603)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(7,954,603)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b/>
                <w:color w:val="000000"/>
                <w:sz w:val="18"/>
              </w:rPr>
              <w:t>Balance, June 30, 2020</w:t>
            </w: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98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18"/>
              </w:rPr>
              <w:t>41,784,601 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4,178 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89,315,525 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(68,339,372)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20,980,331 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220" w:line="248" w:lineRule="auto"/>
        <w:ind w:left="0" w:right="0" w:firstLine="0"/>
        <w:jc w:val="center"/>
        <w:outlineLvl w:val="9"/>
        <w:rPr>
          <w:rFonts w:ascii="Times New Roman" w:eastAsia="Times New Roman" w:hAnsi="Times New Roman" w:cs="Times New Roman"/>
          <w:i/>
          <w:sz w:val="20"/>
        </w:rPr>
      </w:pPr>
    </w:p>
    <w:tbl>
      <w:tblPr>
        <w:tblW w:w="100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5"/>
        <w:gridCol w:w="75"/>
        <w:gridCol w:w="980"/>
        <w:gridCol w:w="100"/>
        <w:gridCol w:w="75"/>
        <w:gridCol w:w="160"/>
        <w:gridCol w:w="565"/>
        <w:gridCol w:w="100"/>
        <w:gridCol w:w="75"/>
        <w:gridCol w:w="160"/>
        <w:gridCol w:w="895"/>
        <w:gridCol w:w="100"/>
        <w:gridCol w:w="75"/>
        <w:gridCol w:w="160"/>
        <w:gridCol w:w="925"/>
        <w:gridCol w:w="100"/>
        <w:gridCol w:w="75"/>
        <w:gridCol w:w="160"/>
        <w:gridCol w:w="820"/>
        <w:gridCol w:w="100"/>
      </w:tblGrid>
      <w:tr>
        <w:tblPrEx>
          <w:tblW w:w="100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5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80" w:type="dxa"/>
            <w:gridSpan w:val="6"/>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Common Stock</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Additional</w:t>
            </w:r>
            <w:r>
              <w:br/>
            </w:r>
            <w:r>
              <w:rPr>
                <w:rFonts w:ascii="Times New Roman" w:eastAsia="Times New Roman" w:hAnsi="Times New Roman" w:cs="Times New Roman"/>
                <w:color w:val="000000"/>
                <w:sz w:val="16"/>
              </w:rPr>
              <w:t>Paid-In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Accumulated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Total</w:t>
            </w:r>
            <w:r>
              <w:br/>
            </w:r>
            <w:r>
              <w:rPr>
                <w:rFonts w:ascii="Times New Roman" w:eastAsia="Times New Roman" w:hAnsi="Times New Roman" w:cs="Times New Roman"/>
                <w:color w:val="000000"/>
                <w:sz w:val="16"/>
              </w:rPr>
              <w:t>Stockholders’</w:t>
            </w: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2"/>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6"/>
              </w:rPr>
              <w:t>Shares</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82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6"/>
              </w:rPr>
              <w:t>Amount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5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Capital</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8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Deficit</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6"/>
              </w:rPr>
              <w:t>Equity</w:t>
            </w: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Balance, December 31, 2018</w:t>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8"/>
              </w:rPr>
              <w:t>12,075,708 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1,208 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60,311,756 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(53,094,649)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18"/>
              </w:rPr>
              <w:t>7,218,315 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Sale of securities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14,285,714 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1,429 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9,998,571 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10,000,000 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acquisition liability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660,136 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1,075,956 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1,076,022 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purchase plan issuances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7,099 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3,095 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3,096 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issued for payment of services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44,379 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74,991 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74,995 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 issuance costs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(774,557)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(774,557)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Stock-based compensation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15,177 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158,674 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158,675 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8"/>
              </w:rPr>
              <w:t>Net loss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(3,822,966)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8"/>
              </w:rPr>
              <w:t>(3,822,966)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005" w:type="dxa"/>
          <w:jc w:val="center"/>
          <w:tblInd w:w="0" w:type="dxa"/>
          <w:tblCellMar>
            <w:left w:w="108" w:type="dxa"/>
            <w:right w:w="108" w:type="dxa"/>
          </w:tblCellMar>
        </w:tblPrEx>
        <w:trPr>
          <w:cantSplit/>
          <w:trHeight w:hRule="exact" w:val="285"/>
          <w:jc w:val="center"/>
        </w:trPr>
        <w:tc>
          <w:tcPr>
            <w:tcW w:w="43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b/>
                <w:color w:val="000000"/>
                <w:sz w:val="18"/>
              </w:rPr>
              <w:t>Balance, June 30, 2019</w:t>
            </w: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98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18"/>
              </w:rPr>
              <w:t>27,088,213 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2,709 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89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70,848,486 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(56,917,615)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18"/>
              </w:rPr>
              <w:t>$</w:t>
            </w:r>
          </w:p>
        </w:tc>
        <w:tc>
          <w:tcPr>
            <w:tcW w:w="82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18"/>
              </w:rPr>
              <w:t>13,933,580 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See accompanying notes to the unaudited consolidated financial statements.</w:t>
      </w:r>
    </w:p>
    <w:p>
      <w:pPr>
        <w:keepNext w:val="0"/>
        <w:keepLines w:val="0"/>
        <w:pageBreakBefore w:val="0"/>
        <w:widowControl/>
        <w:numPr>
          <w:ilvl w:val="0"/>
          <w:numId w:val="0"/>
        </w:numPr>
        <w:spacing w:before="120" w:after="0" w:line="248" w:lineRule="auto"/>
        <w:ind w:left="0" w:right="0" w:firstLine="0"/>
        <w:jc w:val="center"/>
        <w:outlineLvl w:val="9"/>
        <w:rPr>
          <w:rFonts w:ascii="Times New Roman" w:eastAsia="Times New Roman" w:hAnsi="Times New Roman" w:cs="Times New Roman"/>
          <w:sz w:val="20"/>
        </w:rPr>
      </w:pPr>
    </w:p>
    <w:p>
      <w:pPr>
        <w:keepNext w:val="0"/>
        <w:keepLines w:val="0"/>
        <w:pageBreakBefore w:val="0"/>
        <w:widowControl/>
        <w:numPr>
          <w:ilvl w:val="0"/>
          <w:numId w:val="0"/>
        </w:numPr>
        <w:spacing w:before="120" w:after="0" w:line="24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2"/>
        <w:rPr>
          <w:rFonts w:ascii="Times New Roman" w:eastAsia="Times New Roman" w:hAnsi="Times New Roman" w:cs="Times New Roman"/>
          <w:sz w:val="20"/>
        </w:rPr>
      </w:pPr>
      <w:bookmarkStart w:id="7" w:name="Section8"/>
      <w:bookmarkEnd w:id="7"/>
      <w:r>
        <w:rPr>
          <w:rFonts w:ascii="Times New Roman" w:eastAsia="Times New Roman" w:hAnsi="Times New Roman" w:cs="Times New Roman"/>
          <w:sz w:val="20"/>
        </w:rPr>
        <w:t>IZEA Worldwide, Inc.</w:t>
      </w:r>
    </w:p>
    <w:p>
      <w:pPr>
        <w:keepNext w:val="0"/>
        <w:keepLines w:val="0"/>
        <w:pageBreakBefore w:val="0"/>
        <w:widowControl/>
        <w:numPr>
          <w:ilvl w:val="0"/>
          <w:numId w:val="0"/>
        </w:numPr>
        <w:spacing w:before="0" w:after="10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t>Unaudited Consolidated Statements of Cash Flows</w:t>
      </w:r>
    </w:p>
    <w:tbl>
      <w:tblPr>
        <w:tblW w:w="102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275"/>
        <w:gridCol w:w="160"/>
        <w:gridCol w:w="1180"/>
        <w:gridCol w:w="100"/>
        <w:gridCol w:w="75"/>
        <w:gridCol w:w="160"/>
        <w:gridCol w:w="1180"/>
        <w:gridCol w:w="100"/>
      </w:tblGrid>
      <w:tr>
        <w:tblPrEx>
          <w:tblW w:w="102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center"/>
        </w:trPr>
        <w:tc>
          <w:tcPr>
            <w:tcW w:w="72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95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9"/>
              </w:rPr>
              <w:t>Six Months Ended June 30,</w:t>
            </w:r>
          </w:p>
        </w:tc>
      </w:tr>
      <w:tr>
        <w:tblPrEx>
          <w:tblW w:w="10230" w:type="dxa"/>
          <w:jc w:val="center"/>
          <w:tblInd w:w="0" w:type="dxa"/>
          <w:tblCellMar>
            <w:left w:w="108" w:type="dxa"/>
            <w:right w:w="108" w:type="dxa"/>
          </w:tblCellMar>
        </w:tblPrEx>
        <w:trPr>
          <w:cantSplit/>
          <w:trHeight w:hRule="exact" w:val="240"/>
          <w:jc w:val="center"/>
        </w:trPr>
        <w:tc>
          <w:tcPr>
            <w:tcW w:w="72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2019</w:t>
            </w: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Cash flows from operating activities:</w:t>
            </w: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440" w:type="dxa"/>
            <w:gridSpan w:val="3"/>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19"/>
              </w:rPr>
              <w:t> </w:t>
            </w: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Net loss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(7,954,603)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(3,822,966)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Adjustments to reconcile net loss to net cash provided by (used for) operating activities:</w:t>
            </w: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Depreciation and amortization</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70,207 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74,422 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Amortization of software development costs and other intangible assets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808,169 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809,907 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Impairment of intangible assets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4,300,000 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Gain on disposal of equipment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(23,706)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(515)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Provision for (recovery of) losses on accounts receivable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107,315 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(29,940)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Stock-based compensation, net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248,278 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318,205 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Fair value of stock issued for payment of services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62,499 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74,995 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360"/>
              <w:jc w:val="left"/>
            </w:pPr>
            <w:r>
              <w:rPr>
                <w:rFonts w:ascii="Times New Roman" w:eastAsia="Times New Roman" w:hAnsi="Times New Roman" w:cs="Times New Roman"/>
                <w:color w:val="000000"/>
                <w:sz w:val="19"/>
              </w:rPr>
              <w:t>Loss on settlement of acquisition costs payable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191,439 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Changes in operating assets and liabilities:</w:t>
            </w:r>
          </w:p>
        </w:tc>
        <w:tc>
          <w:tcPr>
            <w:tcW w:w="144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Accounts receivable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2,436,269 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2,916,339 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Prepaid expenses and other current assets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(53,972)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(279,352)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Accounts payable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(1,229,576)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(879,507)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Accrued expenses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(101,561)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(367,733)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Contract liabilities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(625,502)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876,408 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Right-of-use asset</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24,024 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(25,428)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495"/>
              <w:jc w:val="left"/>
            </w:pPr>
            <w:r>
              <w:rPr>
                <w:rFonts w:ascii="Times New Roman" w:eastAsia="Times New Roman" w:hAnsi="Times New Roman" w:cs="Times New Roman"/>
                <w:color w:val="000000"/>
                <w:sz w:val="19"/>
              </w:rPr>
              <w:t>Deferred rent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(17,420)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Net cash used for operating activities</w:t>
            </w:r>
          </w:p>
        </w:tc>
        <w:tc>
          <w:tcPr>
            <w:tcW w:w="13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9"/>
              </w:rPr>
              <w:t>(1,932,159)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9"/>
              </w:rPr>
              <w:t>(161,146)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center"/>
          <w:tblInd w:w="0" w:type="dxa"/>
          <w:tblCellMar>
            <w:left w:w="108" w:type="dxa"/>
            <w:right w:w="108" w:type="dxa"/>
          </w:tblCellMar>
        </w:tblPrEx>
        <w:trPr>
          <w:cantSplit/>
          <w:trHeight w:hRule="exact" w:val="40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Cash flows from investing activities:</w:t>
            </w: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Purchase of equipment, net</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24,200 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(15,535)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Software development costs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(97,129)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(451,619)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Security deposits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111,421 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2,893 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Net cash provided by (used for) investing activities</w:t>
            </w: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9"/>
              </w:rPr>
              <w:t>38,492 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9"/>
              </w:rPr>
              <w:t>(464,261)</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center"/>
          <w:tblInd w:w="0" w:type="dxa"/>
          <w:tblCellMar>
            <w:left w:w="108" w:type="dxa"/>
            <w:right w:w="108" w:type="dxa"/>
          </w:tblCellMar>
        </w:tblPrEx>
        <w:trPr>
          <w:cantSplit/>
          <w:trHeight w:hRule="exact" w:val="40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Cash flows from financing activities:</w:t>
            </w:r>
          </w:p>
        </w:tc>
        <w:tc>
          <w:tcPr>
            <w:tcW w:w="1440" w:type="dxa"/>
            <w:gridSpan w:val="3"/>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9"/>
              </w:rPr>
              <w:t> </w:t>
            </w: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Proceeds from sale of securities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15,361,853 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10,000,000 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Proceeds from stock purchase plan and option exercise issuances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2,313 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3,096 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Net repayments on line of credit</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(1,246,343)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Proceeds from notes payable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1,934,587 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Payments on finance obligation</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(11,410)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Stock issuance costs</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(458,032)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(774,557)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8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Net cash provided by financing activities</w:t>
            </w: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9"/>
              </w:rPr>
              <w:t>16,829,311 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19"/>
              </w:rPr>
              <w:t>7,982,196 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center"/>
          <w:tblInd w:w="0" w:type="dxa"/>
          <w:tblCellMar>
            <w:left w:w="108" w:type="dxa"/>
            <w:right w:w="108" w:type="dxa"/>
          </w:tblCellMar>
        </w:tblPrEx>
        <w:trPr>
          <w:cantSplit/>
          <w:trHeight w:hRule="exact" w:val="165"/>
          <w:jc w:val="center"/>
        </w:trPr>
        <w:tc>
          <w:tcPr>
            <w:tcW w:w="72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center"/>
          <w:tblInd w:w="0" w:type="dxa"/>
          <w:tblCellMar>
            <w:left w:w="108" w:type="dxa"/>
            <w:right w:w="108" w:type="dxa"/>
          </w:tblCellMar>
        </w:tblPrEx>
        <w:trPr>
          <w:cantSplit/>
          <w:trHeight w:hRule="exact" w:val="40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Net increase in cash and cash equivalents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14,935,644 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7,356,789 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Cash and cash equivalents, beginning of period</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5,884,629 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1,968,403 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165"/>
          <w:jc w:val="center"/>
        </w:trPr>
        <w:tc>
          <w:tcPr>
            <w:tcW w:w="72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Cash and cash equivalents, end of period</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20,820,273 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9,325,192 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165"/>
          <w:jc w:val="center"/>
        </w:trPr>
        <w:tc>
          <w:tcPr>
            <w:tcW w:w="72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u w:val="single"/>
              </w:rPr>
              <w:t>Supplemental cash flow information:</w:t>
            </w: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Interest paid</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36,594 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223,757 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165"/>
          <w:jc w:val="center"/>
        </w:trPr>
        <w:tc>
          <w:tcPr>
            <w:tcW w:w="72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u w:val="single"/>
              </w:rPr>
              <w:t>Non-cash financing and investing activities:</w:t>
            </w:r>
          </w:p>
        </w:tc>
        <w:tc>
          <w:tcPr>
            <w:tcW w:w="144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40"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19"/>
              </w:rPr>
              <w:t> </w:t>
            </w: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Equipment acquired with financing arrangement</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43,003 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19"/>
              </w:rPr>
              <w:t>Common stock issued for payment of acquisition liability</w:t>
            </w: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19"/>
              </w:rPr>
              <w:t>1,076,022 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center"/>
          <w:tblInd w:w="0" w:type="dxa"/>
          <w:tblCellMar>
            <w:left w:w="108" w:type="dxa"/>
            <w:right w:w="108" w:type="dxa"/>
          </w:tblCellMar>
        </w:tblPrEx>
        <w:trPr>
          <w:cantSplit/>
          <w:trHeight w:hRule="exact" w:val="255"/>
          <w:jc w:val="center"/>
        </w:trPr>
        <w:tc>
          <w:tcPr>
            <w:tcW w:w="727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19"/>
              </w:rPr>
              <w:t>Fair value of common stock issued for future services, net</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19"/>
              </w:rPr>
              <w:t>125,000 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19"/>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19"/>
              </w:rPr>
              <w:t>192,550 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r>
    </w:tbl>
    <w:p>
      <w:pPr>
        <w:keepNext w:val="0"/>
        <w:keepLines w:val="0"/>
        <w:pageBreakBefore w:val="0"/>
        <w:widowControl/>
        <w:numPr>
          <w:ilvl w:val="0"/>
          <w:numId w:val="0"/>
        </w:numPr>
        <w:spacing w:before="10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i/>
          <w:sz w:val="20"/>
        </w:rPr>
      </w:pPr>
      <w:r>
        <w:rPr>
          <w:rFonts w:ascii="Times New Roman" w:eastAsia="Times New Roman" w:hAnsi="Times New Roman" w:cs="Times New Roman"/>
          <w:i/>
          <w:sz w:val="20"/>
        </w:rPr>
        <w:t>See accompanying notes to the unaudited consolidated financial statements.</w:t>
      </w:r>
    </w:p>
    <w:p>
      <w:pPr>
        <w:keepNext w:val="0"/>
        <w:keepLines w:val="0"/>
        <w:pageBreakBefore w:val="0"/>
        <w:widowControl/>
        <w:numPr>
          <w:ilvl w:val="0"/>
          <w:numId w:val="0"/>
        </w:numPr>
        <w:spacing w:before="0" w:after="0" w:line="24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bookmarkStart w:id="8" w:name="Section9"/>
      <w:bookmarkEnd w:id="8"/>
    </w:p>
    <w:p>
      <w:pPr>
        <w:keepNext w:val="0"/>
        <w:keepLines w:val="0"/>
        <w:pageBreakBefore w:val="0"/>
        <w:widowControl/>
        <w:numPr>
          <w:ilvl w:val="0"/>
          <w:numId w:val="0"/>
        </w:numPr>
        <w:spacing w:before="0" w:after="0" w:line="248" w:lineRule="auto"/>
        <w:ind w:left="0" w:right="0" w:firstLine="0"/>
        <w:jc w:val="both"/>
        <w:outlineLvl w:val="9"/>
        <w:sectPr>
          <w:headerReference w:type="default" r:id="rId7"/>
          <w:pgSz w:w="12240" w:h="15840"/>
          <w:pgMar w:top="855" w:right="990" w:bottom="855" w:left="990" w:header="270" w:footer="270"/>
          <w:cols w:space="708"/>
        </w:sectPr>
      </w:pPr>
    </w:p>
    <w:p>
      <w:pPr>
        <w:keepNext w:val="0"/>
        <w:keepLines w:val="0"/>
        <w:pageBreakBefore w:val="0"/>
        <w:widowControl/>
        <w:numPr>
          <w:ilvl w:val="0"/>
          <w:numId w:val="0"/>
        </w:numPr>
        <w:tabs>
          <w:tab w:val="left" w:pos="1440"/>
        </w:tabs>
        <w:spacing w:before="0" w:after="0" w:line="248" w:lineRule="auto"/>
        <w:ind w:left="0" w:right="0" w:firstLine="0"/>
        <w:jc w:val="left"/>
        <w:outlineLvl w:val="3"/>
        <w:rPr>
          <w:rFonts w:ascii="Times New Roman" w:eastAsia="Times New Roman" w:hAnsi="Times New Roman" w:cs="Times New Roman"/>
          <w:b/>
          <w:sz w:val="20"/>
        </w:rPr>
      </w:pPr>
      <w:bookmarkStart w:id="9" w:name="Section10"/>
      <w:bookmarkEnd w:id="9"/>
      <w:r>
        <w:rPr>
          <w:rFonts w:ascii="Times New Roman" w:eastAsia="Times New Roman" w:hAnsi="Times New Roman" w:cs="Times New Roman"/>
          <w:b/>
          <w:sz w:val="20"/>
        </w:rPr>
        <w:t>NOTE 1.</w:t>
      </w:r>
      <w:r>
        <w:rPr>
          <w:rFonts w:ascii="Times New Roman" w:eastAsia="Times New Roman" w:hAnsi="Times New Roman" w:cs="Times New Roman"/>
          <w:b/>
          <w:sz w:val="20"/>
        </w:rPr>
        <w:tab/>
      </w:r>
      <w:r>
        <w:rPr>
          <w:rFonts w:ascii="Times New Roman" w:eastAsia="Times New Roman" w:hAnsi="Times New Roman" w:cs="Times New Roman"/>
          <w:b/>
          <w:sz w:val="20"/>
        </w:rPr>
        <w:t xml:space="preserve">COMPANY AND </w:t>
      </w:r>
      <w:r>
        <w:rPr>
          <w:rFonts w:ascii="Times New Roman" w:eastAsia="Times New Roman" w:hAnsi="Times New Roman" w:cs="Times New Roman"/>
          <w:b/>
          <w:sz w:val="20"/>
        </w:rPr>
        <w:t>SUMMARY OF SIGNIFICANT ACCOUNTING POLICIES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Nature of Business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IZEA Worldwide, Inc. (together with its wholly-owned subsidiaries, “we,” “us,” “our,” “IZEA” or the “Company”) is a public company incorporated in the state of Nevada. In January 2015, IZEA purchased all of the outstanding shares of capital stock of Ebyline, Inc. (“Ebyline”). In July 2016, IZEA purchased all the outstanding shares of capital stock of ZenContent, Inc. (“ZenContent”). The legal entity of ZenContent was dissolved in December 2017 and the legal entity of Ebyline was dissolved in December 2019 after all assets and transactions were transferred to IZEA. In March 2016, the Company formed IZEA Canada, Inc., a wholly-owned subsidiary, incorporated in Ontario, Canada, to operate as a sales and support office for IZEA’s Canadian customers. On July 26, 2018, </w:t>
      </w:r>
      <w:r>
        <w:rPr>
          <w:rFonts w:ascii="Times New Roman" w:eastAsia="Times New Roman" w:hAnsi="Times New Roman" w:cs="Times New Roman"/>
          <w:sz w:val="20"/>
        </w:rPr>
        <w:t xml:space="preserve">a subsidiary of the </w:t>
      </w:r>
      <w:r>
        <w:rPr>
          <w:rFonts w:ascii="Times New Roman" w:eastAsia="Times New Roman" w:hAnsi="Times New Roman" w:cs="Times New Roman"/>
          <w:sz w:val="20"/>
        </w:rPr>
        <w:t>Company merged with TapInfluence, Inc. (“TapInfluence”) pursuant to the terms of an Agreement and Plan of Merger dated as of July 11, 2018, as amended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Pr>
          <w:rFonts w:ascii="Times New Roman" w:eastAsia="Times New Roman" w:hAnsi="Times New Roman" w:cs="Times New Roman"/>
          <w:sz w:val="20"/>
        </w:rPr>
        <w:t>“</w:t>
      </w:r>
      <w:r>
        <w:rPr>
          <w:rFonts w:ascii="Times New Roman" w:eastAsia="Times New Roman" w:hAnsi="Times New Roman" w:cs="Times New Roman"/>
          <w:sz w:val="20"/>
        </w:rPr>
        <w:t>Merger Agreement</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creates and operates online marketplaces that connect marketers with content creators. The creators are compensated by the Company for producing unique content such as long and short form text, videos, photos, status updates, and illustrations for marketers or distributing such content on behalf of marketers through their personal websites, blogs, and social media channels. Marketers receive influential consumer content and engaging, shareable stories that drive awareness. </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primary technology platform, </w:t>
      </w:r>
      <w:r>
        <w:rPr>
          <w:rFonts w:ascii="Times New Roman" w:eastAsia="Times New Roman" w:hAnsi="Times New Roman" w:cs="Times New Roman"/>
          <w:sz w:val="20"/>
        </w:rPr>
        <w:t>t</w:t>
      </w:r>
      <w:r>
        <w:rPr>
          <w:rFonts w:ascii="Times New Roman" w:eastAsia="Times New Roman" w:hAnsi="Times New Roman" w:cs="Times New Roman"/>
          <w:sz w:val="20"/>
        </w:rPr>
        <w:t>he IZEA Exchange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enables transactions to be completed at scale through the management of custom content workflow, creator search and targeting, bidding, analytics, and payment processing.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is designed to provide a unified ecosystem that enables the creation and publication of multiple types of custom content through a creator’s personal websites, blogs, or social media channels including Twitter, Facebook, Instagram, and YouTube, among others. Until December 2019 when it was merged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the Company operated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technology platform, which was originally designed as a self-service content marketplace to replace </w:t>
      </w:r>
      <w:r>
        <w:rPr>
          <w:rFonts w:ascii="Times New Roman" w:eastAsia="Times New Roman" w:hAnsi="Times New Roman" w:cs="Times New Roman"/>
          <w:sz w:val="20"/>
        </w:rPr>
        <w:t xml:space="preserve">in-house </w:t>
      </w:r>
      <w:r>
        <w:rPr>
          <w:rFonts w:ascii="Times New Roman" w:eastAsia="Times New Roman" w:hAnsi="Times New Roman" w:cs="Times New Roman"/>
          <w:sz w:val="20"/>
        </w:rPr>
        <w:t xml:space="preserve">editorial newsrooms in news agencies with a “virtual newsroom” to </w:t>
      </w:r>
      <w:r>
        <w:rPr>
          <w:rFonts w:ascii="Times New Roman" w:eastAsia="Times New Roman" w:hAnsi="Times New Roman" w:cs="Times New Roman"/>
          <w:sz w:val="20"/>
        </w:rPr>
        <w:t xml:space="preserve">source and </w:t>
      </w:r>
      <w:r>
        <w:rPr>
          <w:rFonts w:ascii="Times New Roman" w:eastAsia="Times New Roman" w:hAnsi="Times New Roman" w:cs="Times New Roman"/>
          <w:sz w:val="20"/>
        </w:rPr>
        <w:t>handle their content workflow</w:t>
      </w:r>
      <w:r>
        <w:rPr>
          <w:rFonts w:ascii="Times New Roman" w:eastAsia="Times New Roman" w:hAnsi="Times New Roman" w:cs="Times New Roman"/>
          <w:sz w:val="20"/>
        </w:rPr>
        <w:t xml:space="preserve"> </w:t>
      </w:r>
      <w:r>
        <w:rPr>
          <w:rFonts w:ascii="Times New Roman" w:eastAsia="Times New Roman" w:hAnsi="Times New Roman" w:cs="Times New Roman"/>
          <w:sz w:val="20"/>
        </w:rPr>
        <w:t>with outside creators</w:t>
      </w:r>
      <w:r>
        <w:rPr>
          <w:rFonts w:ascii="Times New Roman" w:eastAsia="Times New Roman" w:hAnsi="Times New Roman" w:cs="Times New Roman"/>
          <w:sz w:val="20"/>
        </w:rPr>
        <w:t xml:space="preserve">. In July 2016, the Company acquired the </w:t>
      </w:r>
      <w:r>
        <w:rPr>
          <w:rFonts w:ascii="Times New Roman" w:eastAsia="Times New Roman" w:hAnsi="Times New Roman" w:cs="Times New Roman"/>
          <w:i/>
          <w:sz w:val="20"/>
        </w:rPr>
        <w:t>ZenContent</w:t>
      </w:r>
      <w:r>
        <w:rPr>
          <w:rFonts w:ascii="Times New Roman" w:eastAsia="Times New Roman" w:hAnsi="Times New Roman" w:cs="Times New Roman"/>
          <w:sz w:val="20"/>
        </w:rPr>
        <w:t xml:space="preserve"> technology platform to use as an in-house workflow tool that enables the Company to produce highly scalable, multi-part production of content for both e-commerce entities and brand customers.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 acquired in 2018, performed in a similar manner 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was being utilized by the majority of the TapInfluence customers as a self-service platform via a licensing arrangement, allowing access to the platform and its creators for self-managed marketing campaigns. After the migration of the last customers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from the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 xml:space="preserve">platform in December 2019 and from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 in February 2020, all marketplace revenue is solely generated from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Impact of COVID-19</w:t>
      </w:r>
    </w:p>
    <w:p>
      <w:pPr>
        <w:keepNext w:val="0"/>
        <w:keepLines w:val="0"/>
        <w:pageBreakBefore w:val="0"/>
        <w:widowControl/>
        <w:numPr>
          <w:ilvl w:val="0"/>
          <w:numId w:val="0"/>
        </w:numPr>
        <w:spacing w:before="120" w:after="0" w:line="238" w:lineRule="auto"/>
        <w:ind w:left="0" w:right="0" w:firstLine="0"/>
        <w:jc w:val="both"/>
        <w:outlineLvl w:val="9"/>
        <w:rPr>
          <w:rFonts w:ascii="Times New Roman" w:eastAsia="Times New Roman" w:hAnsi="Times New Roman" w:cs="Times New Roman"/>
          <w:color w:val="1A1A1A"/>
          <w:sz w:val="20"/>
        </w:rPr>
      </w:pPr>
      <w:r>
        <w:rPr>
          <w:rFonts w:ascii="Times New Roman" w:eastAsia="Times New Roman" w:hAnsi="Times New Roman" w:cs="Times New Roman"/>
          <w:color w:val="1A1A1A"/>
          <w:sz w:val="20"/>
          <w:shd w:val="clear" w:color="auto" w:fill="FFFFFF"/>
        </w:rPr>
        <w:tab/>
      </w:r>
      <w:r>
        <w:rPr>
          <w:rFonts w:ascii="Times New Roman" w:eastAsia="Times New Roman" w:hAnsi="Times New Roman" w:cs="Times New Roman"/>
          <w:color w:val="1A1A1A"/>
          <w:sz w:val="20"/>
          <w:shd w:val="clear" w:color="auto" w:fill="FFFFFF"/>
        </w:rPr>
        <w:t>On March 11, 2020, the World Health Organization declared the outbreak of the novel coronavirus (COVID-19) as a global pandemic and recommended containment and mitigation measures worldwide. As the spread continued throughout the United States, the Company directed all of its staff to work from home effective March 16, 2020. All of the Company’s business operations and ability to support its customers is fully functional while its employees are working from remote locations. However, the Company has begun to see impacts on its operations due to changes in advertising decisions, timing and spending priorities from customers, which will result in a negative impact to Company bookings and future revenue. While the disruption is currently expected to be temporary, there is uncertainty around the duration and the total economic impact. Therefore, while the Company expects this matter to negatively impact its business, s</w:t>
      </w:r>
      <w:r>
        <w:rPr>
          <w:rFonts w:ascii="Times New Roman" w:eastAsia="Times New Roman" w:hAnsi="Times New Roman" w:cs="Times New Roman"/>
          <w:sz w:val="20"/>
        </w:rPr>
        <w:t xml:space="preserve">uch events are generally outside of the Company’s control and could have a material adverse impact on the Company’s business, </w:t>
      </w:r>
      <w:r>
        <w:rPr>
          <w:rFonts w:ascii="Times New Roman" w:eastAsia="Times New Roman" w:hAnsi="Times New Roman" w:cs="Times New Roman"/>
          <w:color w:val="1A1A1A"/>
          <w:sz w:val="20"/>
          <w:shd w:val="clear" w:color="auto" w:fill="FFFFFF"/>
        </w:rPr>
        <w:t xml:space="preserve">results of operations, and financial position in future periods. As a result, the Company </w:t>
      </w:r>
      <w:r>
        <w:rPr>
          <w:rFonts w:ascii="Times New Roman" w:eastAsia="Times New Roman" w:hAnsi="Times New Roman" w:cs="Times New Roman"/>
          <w:color w:val="1A1A1A"/>
          <w:sz w:val="20"/>
          <w:shd w:val="clear" w:color="auto" w:fill="FFFFFF"/>
        </w:rPr>
        <w:t>leveraged</w:t>
      </w:r>
      <w:r>
        <w:rPr>
          <w:rFonts w:ascii="Times New Roman" w:eastAsia="Times New Roman" w:hAnsi="Times New Roman" w:cs="Times New Roman"/>
          <w:color w:val="1A1A1A"/>
          <w:sz w:val="20"/>
          <w:shd w:val="clear" w:color="auto" w:fill="FFFFFF"/>
        </w:rPr>
        <w:t xml:space="preserve"> its balance sheet </w:t>
      </w:r>
      <w:r>
        <w:rPr>
          <w:rFonts w:ascii="Times New Roman" w:eastAsia="Times New Roman" w:hAnsi="Times New Roman" w:cs="Times New Roman"/>
          <w:color w:val="1A1A1A"/>
          <w:sz w:val="20"/>
          <w:shd w:val="clear" w:color="auto" w:fill="FFFFFF"/>
        </w:rPr>
        <w:t>by drawing</w:t>
      </w:r>
      <w:r>
        <w:rPr>
          <w:rFonts w:ascii="Times New Roman" w:eastAsia="Times New Roman" w:hAnsi="Times New Roman" w:cs="Times New Roman"/>
          <w:color w:val="1A1A1A"/>
          <w:sz w:val="20"/>
          <w:shd w:val="clear" w:color="auto" w:fill="FFFFFF"/>
        </w:rPr>
        <w:t xml:space="preserve"> on its secured credit facility </w:t>
      </w:r>
      <w:r>
        <w:rPr>
          <w:rFonts w:ascii="Times New Roman" w:eastAsia="Times New Roman" w:hAnsi="Times New Roman" w:cs="Times New Roman"/>
          <w:color w:val="1A1A1A"/>
          <w:sz w:val="20"/>
          <w:shd w:val="clear" w:color="auto" w:fill="FFFFFF"/>
        </w:rPr>
        <w:t xml:space="preserve">and obtaining a loan under the Paycheck Protection Program (“PPP”) administered by the U.S. Small Business Administration (“SBA”) </w:t>
      </w:r>
      <w:r>
        <w:rPr>
          <w:rFonts w:ascii="Times New Roman" w:eastAsia="Times New Roman" w:hAnsi="Times New Roman" w:cs="Times New Roman"/>
          <w:color w:val="1A1A1A"/>
          <w:sz w:val="20"/>
          <w:shd w:val="clear" w:color="auto" w:fill="FFFFFF"/>
        </w:rPr>
        <w:t>to increase the Company’s cash position and help preserve its financial flexibility.</w:t>
      </w:r>
      <w:r>
        <w:rPr>
          <w:rFonts w:ascii="Times New Roman" w:eastAsia="Times New Roman" w:hAnsi="Times New Roman" w:cs="Times New Roman"/>
          <w:color w:val="1A1A1A"/>
          <w:sz w:val="20"/>
          <w:shd w:val="clear" w:color="auto" w:fill="FFFFFF"/>
        </w:rPr>
        <w:t xml:space="preserve"> </w:t>
      </w:r>
      <w:r>
        <w:rPr>
          <w:rFonts w:ascii="Times New Roman" w:eastAsia="Times New Roman" w:hAnsi="Times New Roman" w:cs="Times New Roman"/>
          <w:sz w:val="20"/>
        </w:rPr>
        <w:t xml:space="preserve">The secured credit facility was paid down by June 30, 2020 </w:t>
      </w:r>
      <w:r>
        <w:rPr>
          <w:rFonts w:ascii="Times New Roman" w:eastAsia="Times New Roman" w:hAnsi="Times New Roman" w:cs="Times New Roman"/>
          <w:sz w:val="20"/>
        </w:rPr>
        <w:t>after the Company was able to secure additional capital as described in Note 8.</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color w:val="1A1A1A"/>
          <w:sz w:val="20"/>
        </w:rPr>
      </w:pPr>
      <w:r>
        <w:rPr>
          <w:rFonts w:ascii="Times New Roman" w:eastAsia="Times New Roman" w:hAnsi="Times New Roman" w:cs="Times New Roman"/>
          <w:color w:val="1A1A1A"/>
          <w:sz w:val="20"/>
        </w:rPr>
        <w:tab/>
      </w:r>
      <w:r>
        <w:rPr>
          <w:rFonts w:ascii="Times New Roman" w:eastAsia="Times New Roman" w:hAnsi="Times New Roman" w:cs="Times New Roman"/>
          <w:color w:val="1A1A1A"/>
          <w:sz w:val="20"/>
        </w:rPr>
        <w:t>In light of the adverse economic conditions caused by the COVID-19 pandemic, the Company implemented</w:t>
      </w:r>
      <w:r>
        <w:rPr>
          <w:rFonts w:ascii="Times New Roman" w:eastAsia="Times New Roman" w:hAnsi="Times New Roman" w:cs="Times New Roman"/>
          <w:color w:val="1A1A1A"/>
          <w:sz w:val="20"/>
        </w:rPr>
        <w:t xml:space="preserve"> temporary salary and wage reductions </w:t>
      </w:r>
      <w:r>
        <w:rPr>
          <w:rFonts w:ascii="Times New Roman" w:eastAsia="Times New Roman" w:hAnsi="Times New Roman" w:cs="Times New Roman"/>
          <w:color w:val="1A1A1A"/>
          <w:sz w:val="20"/>
        </w:rPr>
        <w:t xml:space="preserve">averaging </w:t>
      </w:r>
      <w:r>
        <w:rPr>
          <w:rFonts w:ascii="Times New Roman" w:eastAsia="Times New Roman" w:hAnsi="Times New Roman" w:cs="Times New Roman"/>
          <w:color w:val="1A1A1A"/>
          <w:sz w:val="20"/>
        </w:rPr>
        <w:t>20%</w:t>
      </w:r>
      <w:r>
        <w:rPr>
          <w:rFonts w:ascii="Times New Roman" w:eastAsia="Times New Roman" w:hAnsi="Times New Roman" w:cs="Times New Roman"/>
          <w:color w:val="1A1A1A"/>
          <w:sz w:val="20"/>
        </w:rPr>
        <w:t xml:space="preserve">, including a </w:t>
      </w:r>
      <w:r>
        <w:rPr>
          <w:rFonts w:ascii="Times New Roman" w:eastAsia="Times New Roman" w:hAnsi="Times New Roman" w:cs="Times New Roman"/>
          <w:color w:val="1A1A1A"/>
          <w:sz w:val="20"/>
        </w:rPr>
        <w:t>21%</w:t>
      </w:r>
      <w:r>
        <w:rPr>
          <w:rFonts w:ascii="Times New Roman" w:eastAsia="Times New Roman" w:hAnsi="Times New Roman" w:cs="Times New Roman"/>
          <w:color w:val="1A1A1A"/>
          <w:sz w:val="20"/>
        </w:rPr>
        <w:t xml:space="preserve"> reduction in base salary</w:t>
      </w:r>
      <w:r>
        <w:rPr>
          <w:rFonts w:ascii="Times New Roman" w:eastAsia="Times New Roman" w:hAnsi="Times New Roman" w:cs="Times New Roman"/>
          <w:color w:val="1A1A1A"/>
          <w:sz w:val="20"/>
        </w:rPr>
        <w:t xml:space="preserve"> for</w:t>
      </w:r>
      <w:r>
        <w:rPr>
          <w:rFonts w:ascii="Times New Roman" w:eastAsia="Times New Roman" w:hAnsi="Times New Roman" w:cs="Times New Roman"/>
          <w:color w:val="1A1A1A"/>
          <w:sz w:val="20"/>
        </w:rPr>
        <w:t xml:space="preserve"> the Company’s Chief Executive Officer</w:t>
      </w:r>
      <w:r>
        <w:rPr>
          <w:rFonts w:ascii="Times New Roman" w:eastAsia="Times New Roman" w:hAnsi="Times New Roman" w:cs="Times New Roman"/>
          <w:color w:val="1A1A1A"/>
          <w:sz w:val="20"/>
        </w:rPr>
        <w:t xml:space="preserve"> and</w:t>
      </w:r>
      <w:r>
        <w:rPr>
          <w:rFonts w:ascii="Times New Roman" w:eastAsia="Times New Roman" w:hAnsi="Times New Roman" w:cs="Times New Roman"/>
          <w:color w:val="1A1A1A"/>
          <w:sz w:val="20"/>
        </w:rPr>
        <w:t xml:space="preserve"> Chief Operating Officer</w:t>
      </w:r>
      <w:r>
        <w:rPr>
          <w:rFonts w:ascii="Times New Roman" w:eastAsia="Times New Roman" w:hAnsi="Times New Roman" w:cs="Times New Roman"/>
          <w:color w:val="1A1A1A"/>
          <w:sz w:val="20"/>
        </w:rPr>
        <w:t xml:space="preserve">. These salary reductions were effective as of April 6, 2020 until the earlier of December 31, 2020 or the Company’s restoring normal payroll rates to the majority of its employees. Members of the Company’s Board of Directors also agreed to a similar temporary reduction to their fees. </w:t>
      </w:r>
      <w:r>
        <w:rPr>
          <w:rFonts w:ascii="Times New Roman" w:eastAsia="Times New Roman" w:hAnsi="Times New Roman" w:cs="Times New Roman"/>
          <w:sz w:val="20"/>
        </w:rPr>
        <w:t xml:space="preserve">In addition to </w:t>
      </w:r>
      <w:r>
        <w:rPr>
          <w:rFonts w:ascii="Times New Roman" w:eastAsia="Times New Roman" w:hAnsi="Times New Roman" w:cs="Times New Roman"/>
          <w:sz w:val="20"/>
        </w:rPr>
        <w:t xml:space="preserve">the </w:t>
      </w:r>
      <w:r>
        <w:rPr>
          <w:rFonts w:ascii="Times New Roman" w:eastAsia="Times New Roman" w:hAnsi="Times New Roman" w:cs="Times New Roman"/>
          <w:sz w:val="20"/>
        </w:rPr>
        <w:t>salary reductions, the Company</w:t>
      </w:r>
      <w:r>
        <w:rPr>
          <w:rFonts w:ascii="Times New Roman" w:eastAsia="Times New Roman" w:hAnsi="Times New Roman" w:cs="Times New Roman"/>
          <w:sz w:val="20"/>
        </w:rPr>
        <w:t xml:space="preserve"> also temporarily reduced certain employee benefits</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implemented a new employee hiring freeze,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w:t>
      </w:r>
      <w:r>
        <w:rPr>
          <w:rFonts w:ascii="Times New Roman" w:eastAsia="Times New Roman" w:hAnsi="Times New Roman" w:cs="Times New Roman"/>
          <w:sz w:val="20"/>
        </w:rPr>
        <w:t xml:space="preserve">ree months ended June 30, </w:t>
      </w:r>
      <w:r>
        <w:rPr>
          <w:rFonts w:ascii="Times New Roman" w:eastAsia="Times New Roman" w:hAnsi="Times New Roman" w:cs="Times New Roman"/>
          <w:sz w:val="20"/>
        </w:rPr>
        <w:t xml:space="preserve">2020. </w:t>
      </w:r>
      <w:r>
        <w:rPr>
          <w:rFonts w:ascii="Times New Roman" w:eastAsia="Times New Roman" w:hAnsi="Times New Roman" w:cs="Times New Roman"/>
          <w:sz w:val="20"/>
        </w:rPr>
        <w:t xml:space="preserve">The </w:t>
      </w:r>
      <w:r>
        <w:rPr>
          <w:rFonts w:ascii="Times New Roman" w:eastAsia="Times New Roman" w:hAnsi="Times New Roman" w:cs="Times New Roman"/>
          <w:sz w:val="20"/>
        </w:rPr>
        <w:t>employee salary reductions and hiring restrictions were removed effective July 1, 2020 after the Company was able to secure additional capital as described in Note 8.</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color w:val="1A1A1A"/>
          <w:sz w:val="20"/>
        </w:rPr>
      </w:pPr>
      <w:r>
        <w:rPr>
          <w:rFonts w:ascii="Times New Roman" w:eastAsia="Times New Roman" w:hAnsi="Times New Roman" w:cs="Times New Roman"/>
          <w:sz w:val="20"/>
        </w:rPr>
        <w:t>T</w:t>
      </w:r>
      <w:r>
        <w:rPr>
          <w:rFonts w:ascii="Times New Roman" w:eastAsia="Times New Roman" w:hAnsi="Times New Roman" w:cs="Times New Roman"/>
          <w:sz w:val="20"/>
        </w:rPr>
        <w:t xml:space="preserve">he Company did not renew leases for its headquarters and temporary office spaces as additional means to reduce fixed costs </w:t>
      </w:r>
      <w:r>
        <w:rPr>
          <w:rFonts w:ascii="Times New Roman" w:eastAsia="Times New Roman" w:hAnsi="Times New Roman" w:cs="Times New Roman"/>
          <w:sz w:val="20"/>
        </w:rPr>
        <w:t>and t</w:t>
      </w:r>
      <w:r>
        <w:rPr>
          <w:rFonts w:ascii="Times New Roman" w:eastAsia="Times New Roman" w:hAnsi="Times New Roman" w:cs="Times New Roman"/>
          <w:sz w:val="20"/>
        </w:rPr>
        <w:t>he Company intends to have all employees work from home for the foreseeable future to protect the health and safety of its workers. There can be no assurance that the Company will return to a typical office environment in the future, nor can the Company say what that office environment may look like.</w:t>
      </w:r>
      <w:r>
        <w:rPr>
          <w:rFonts w:ascii="Times New Roman" w:eastAsia="Times New Roman" w:hAnsi="Times New Roman" w:cs="Times New Roman"/>
          <w:sz w:val="20"/>
        </w:rPr>
        <w:t xml:space="preserve"> The Company also </w:t>
      </w:r>
      <w:r>
        <w:rPr>
          <w:rFonts w:ascii="Times New Roman" w:eastAsia="Times New Roman" w:hAnsi="Times New Roman" w:cs="Times New Roman"/>
          <w:sz w:val="20"/>
        </w:rPr>
        <w:t>reduced and shifted marketing expense</w:t>
      </w:r>
      <w:r>
        <w:rPr>
          <w:rFonts w:ascii="Times New Roman" w:eastAsia="Times New Roman" w:hAnsi="Times New Roman" w:cs="Times New Roman"/>
          <w:sz w:val="20"/>
        </w:rPr>
        <w:t>s in the second quarter</w:t>
      </w:r>
      <w:r>
        <w:rPr>
          <w:rFonts w:ascii="Times New Roman" w:eastAsia="Times New Roman" w:hAnsi="Times New Roman" w:cs="Times New Roman"/>
          <w:sz w:val="20"/>
        </w:rPr>
        <w:t xml:space="preserve"> and eliminated travel </w:t>
      </w:r>
      <w:r>
        <w:rPr>
          <w:rFonts w:ascii="Times New Roman" w:eastAsia="Times New Roman" w:hAnsi="Times New Roman" w:cs="Times New Roman"/>
          <w:sz w:val="20"/>
        </w:rPr>
        <w:t>for the near</w:t>
      </w:r>
      <w:r>
        <w:rPr>
          <w:rFonts w:ascii="Times New Roman" w:eastAsia="Times New Roman" w:hAnsi="Times New Roman" w:cs="Times New Roman"/>
          <w:sz w:val="20"/>
        </w:rPr>
        <w:t>-</w:t>
      </w:r>
      <w:r>
        <w:rPr>
          <w:rFonts w:ascii="Times New Roman" w:eastAsia="Times New Roman" w:hAnsi="Times New Roman" w:cs="Times New Roman"/>
          <w:sz w:val="20"/>
        </w:rPr>
        <w:t xml:space="preserve">term future. These measures may not be sustainable and could prove detrimental long term. Therefore, management will be reviewing these initial actions and other options in conjunction with the changing internal and external economic conditions on an ongoing basis.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Liquidity and Going Concern</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Company’s consolidated financial statements are prepared using GAAP applicable to a going concern, which contemplates the realization of assets and liquidation of liabilities in the normal course of business. The Company has incurred significant net losses and negative cash flow from operations for most periods since its inception, which has resulted in a total accumulated deficit of </w:t>
      </w:r>
      <w:r>
        <w:rPr>
          <w:rFonts w:ascii="Times New Roman" w:eastAsia="Times New Roman" w:hAnsi="Times New Roman" w:cs="Times New Roman"/>
          <w:sz w:val="20"/>
        </w:rPr>
        <w:t>$68,339,372</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the Company had a net loss of </w:t>
      </w:r>
      <w:r>
        <w:rPr>
          <w:rFonts w:ascii="Times New Roman" w:eastAsia="Times New Roman" w:hAnsi="Times New Roman" w:cs="Times New Roman"/>
          <w:sz w:val="20"/>
        </w:rPr>
        <w:t>$7,954,603</w:t>
      </w: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Given the Company’s small market cap, extreme volatility and uncertainty in the financial markets, along with a line of credit that is only available on eligible accounts receivable invoices, coupled with expected reductions in future orders and receivables upon which to access funding, the Company applied for and on April 23, 2020 received a loan from Western Alliance Bank in the principal amount of </w:t>
      </w:r>
      <w:r>
        <w:rPr>
          <w:rFonts w:ascii="Times New Roman" w:eastAsia="Times New Roman" w:hAnsi="Times New Roman" w:cs="Times New Roman"/>
          <w:sz w:val="20"/>
        </w:rPr>
        <w:t>$1,905,100</w:t>
      </w:r>
      <w:r>
        <w:rPr>
          <w:rFonts w:ascii="Times New Roman" w:eastAsia="Times New Roman" w:hAnsi="Times New Roman" w:cs="Times New Roman"/>
          <w:sz w:val="20"/>
        </w:rPr>
        <w:t xml:space="preserve"> under the </w:t>
      </w:r>
      <w:r>
        <w:rPr>
          <w:rFonts w:ascii="Times New Roman" w:eastAsia="Times New Roman" w:hAnsi="Times New Roman" w:cs="Times New Roman"/>
          <w:sz w:val="20"/>
        </w:rPr>
        <w:t>PPP</w:t>
      </w:r>
      <w:r>
        <w:rPr>
          <w:rFonts w:ascii="Times New Roman" w:eastAsia="Times New Roman" w:hAnsi="Times New Roman" w:cs="Times New Roman"/>
          <w:sz w:val="20"/>
        </w:rPr>
        <w:t xml:space="preserve"> </w:t>
      </w:r>
      <w:r>
        <w:rPr>
          <w:rFonts w:ascii="Times New Roman" w:eastAsia="Times New Roman" w:hAnsi="Times New Roman" w:cs="Times New Roman"/>
          <w:sz w:val="20"/>
        </w:rPr>
        <w:t>(the “</w:t>
      </w:r>
      <w:r>
        <w:rPr>
          <w:rFonts w:ascii="Times New Roman" w:eastAsia="Times New Roman" w:hAnsi="Times New Roman" w:cs="Times New Roman"/>
          <w:sz w:val="20"/>
        </w:rPr>
        <w:t>PPP Loan</w:t>
      </w:r>
      <w:r>
        <w:rPr>
          <w:rFonts w:ascii="Times New Roman" w:eastAsia="Times New Roman" w:hAnsi="Times New Roman" w:cs="Times New Roman"/>
          <w:sz w:val="20"/>
        </w:rPr>
        <w:t>”)</w:t>
      </w:r>
      <w:r>
        <w:rPr>
          <w:rFonts w:ascii="Times New Roman" w:eastAsia="Times New Roman" w:hAnsi="Times New Roman" w:cs="Times New Roman"/>
          <w:sz w:val="20"/>
        </w:rPr>
        <w:t>, which was established under the</w:t>
      </w:r>
      <w:r>
        <w:rPr>
          <w:rFonts w:ascii="Times New Roman" w:eastAsia="Times New Roman" w:hAnsi="Times New Roman" w:cs="Times New Roman"/>
          <w:sz w:val="20"/>
        </w:rPr>
        <w:t xml:space="preserve"> Coronavirus Aid, Relief, and Economic Security Act (the “CARES Act”), in order to retain its employees during this time of uncertainty.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3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Sub</w:t>
      </w:r>
      <w:r>
        <w:rPr>
          <w:rFonts w:ascii="Times New Roman" w:eastAsia="Times New Roman" w:hAnsi="Times New Roman" w:cs="Times New Roman"/>
          <w:sz w:val="20"/>
        </w:rPr>
        <w:t>sequently, t</w:t>
      </w:r>
      <w:r>
        <w:rPr>
          <w:rFonts w:ascii="Times New Roman" w:eastAsia="Times New Roman" w:hAnsi="Times New Roman" w:cs="Times New Roman"/>
          <w:sz w:val="20"/>
        </w:rPr>
        <w:t xml:space="preserve">he </w:t>
      </w:r>
      <w:r>
        <w:rPr>
          <w:rFonts w:ascii="Times New Roman" w:eastAsia="Times New Roman" w:hAnsi="Times New Roman" w:cs="Times New Roman"/>
          <w:sz w:val="20"/>
        </w:rPr>
        <w:t>C</w:t>
      </w:r>
      <w:r>
        <w:rPr>
          <w:rFonts w:ascii="Times New Roman" w:eastAsia="Times New Roman" w:hAnsi="Times New Roman" w:cs="Times New Roman"/>
          <w:sz w:val="20"/>
        </w:rPr>
        <w:t xml:space="preserve">ompany </w:t>
      </w:r>
      <w:r>
        <w:rPr>
          <w:rFonts w:ascii="Times New Roman" w:eastAsia="Times New Roman" w:hAnsi="Times New Roman" w:cs="Times New Roman"/>
          <w:sz w:val="20"/>
        </w:rPr>
        <w:t xml:space="preserve">filed a shelf registration statement on Form S-3 and </w:t>
      </w:r>
      <w:r>
        <w:rPr>
          <w:rFonts w:ascii="Times New Roman" w:eastAsia="Times New Roman" w:hAnsi="Times New Roman" w:cs="Times New Roman"/>
          <w:sz w:val="20"/>
        </w:rPr>
        <w:t>raised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gross proceeds of </w:t>
      </w:r>
      <w:r>
        <w:rPr>
          <w:rFonts w:ascii="Times New Roman" w:eastAsia="Times New Roman" w:hAnsi="Times New Roman" w:cs="Times New Roman"/>
          <w:sz w:val="20"/>
        </w:rPr>
        <w:t>$15,361,853</w:t>
      </w:r>
      <w:r>
        <w:rPr>
          <w:rFonts w:ascii="Times New Roman" w:eastAsia="Times New Roman" w:hAnsi="Times New Roman" w:cs="Times New Roman"/>
          <w:sz w:val="20"/>
        </w:rPr>
        <w:t xml:space="preserve"> in Ju</w:t>
      </w:r>
      <w:r>
        <w:rPr>
          <w:rFonts w:ascii="Times New Roman" w:eastAsia="Times New Roman" w:hAnsi="Times New Roman" w:cs="Times New Roman"/>
          <w:sz w:val="20"/>
        </w:rPr>
        <w:t>ne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Company's cash balance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$20,820,273</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With the cash on hand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in addition to the </w:t>
      </w:r>
      <w:r>
        <w:rPr>
          <w:rFonts w:ascii="Times New Roman" w:eastAsia="Times New Roman" w:hAnsi="Times New Roman" w:cs="Times New Roman"/>
          <w:sz w:val="20"/>
        </w:rPr>
        <w:t>PPP</w:t>
      </w:r>
      <w:r>
        <w:rPr>
          <w:rFonts w:ascii="Times New Roman" w:eastAsia="Times New Roman" w:hAnsi="Times New Roman" w:cs="Times New Roman"/>
          <w:sz w:val="20"/>
        </w:rPr>
        <w:t xml:space="preserve"> Loan</w:t>
      </w:r>
      <w:r>
        <w:rPr>
          <w:rFonts w:ascii="Times New Roman" w:eastAsia="Times New Roman" w:hAnsi="Times New Roman" w:cs="Times New Roman"/>
          <w:sz w:val="20"/>
        </w:rPr>
        <w:t xml:space="preserve"> (see Note 6)</w:t>
      </w:r>
      <w:r>
        <w:rPr>
          <w:rFonts w:ascii="Times New Roman" w:eastAsia="Times New Roman" w:hAnsi="Times New Roman" w:cs="Times New Roman"/>
          <w:sz w:val="20"/>
        </w:rPr>
        <w:t xml:space="preserve">, </w:t>
      </w:r>
      <w:r>
        <w:rPr>
          <w:rFonts w:ascii="Times New Roman" w:eastAsia="Times New Roman" w:hAnsi="Times New Roman" w:cs="Times New Roman"/>
          <w:sz w:val="20"/>
        </w:rPr>
        <w:t>the Company</w:t>
      </w:r>
      <w:r>
        <w:rPr>
          <w:rFonts w:ascii="Times New Roman" w:eastAsia="Times New Roman" w:hAnsi="Times New Roman" w:cs="Times New Roman"/>
          <w:sz w:val="20"/>
        </w:rPr>
        <w:t xml:space="preserve"> expect</w:t>
      </w:r>
      <w:r>
        <w:rPr>
          <w:rFonts w:ascii="Times New Roman" w:eastAsia="Times New Roman" w:hAnsi="Times New Roman" w:cs="Times New Roman"/>
          <w:sz w:val="20"/>
        </w:rPr>
        <w:t>s</w:t>
      </w:r>
      <w:r>
        <w:rPr>
          <w:rFonts w:ascii="Times New Roman" w:eastAsia="Times New Roman" w:hAnsi="Times New Roman" w:cs="Times New Roman"/>
          <w:sz w:val="20"/>
        </w:rPr>
        <w:t xml:space="preserve"> to have sufficient cash reserves and financing sources available to cover expenses at least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from the issuance of this Quarterly Report b</w:t>
      </w:r>
      <w:r>
        <w:rPr>
          <w:rFonts w:ascii="Times New Roman" w:eastAsia="Times New Roman" w:hAnsi="Times New Roman" w:cs="Times New Roman"/>
          <w:color w:val="1A1A1A"/>
          <w:sz w:val="20"/>
          <w:shd w:val="clear" w:color="auto" w:fill="FFFFFF"/>
        </w:rPr>
        <w:t xml:space="preserve">ased on our current estimates of revenue and expenses for </w:t>
      </w:r>
      <w:r>
        <w:rPr>
          <w:rFonts w:ascii="Times New Roman" w:eastAsia="Times New Roman" w:hAnsi="Times New Roman" w:cs="Times New Roman"/>
          <w:color w:val="1A1A1A"/>
          <w:sz w:val="20"/>
          <w:shd w:val="clear" w:color="auto" w:fill="FFFFFF"/>
        </w:rPr>
        <w:t xml:space="preserve">the next </w:t>
      </w:r>
      <w:r>
        <w:rPr>
          <w:rFonts w:ascii="Times New Roman" w:eastAsia="Times New Roman" w:hAnsi="Times New Roman" w:cs="Times New Roman"/>
          <w:color w:val="1A1A1A"/>
          <w:sz w:val="20"/>
          <w:shd w:val="clear" w:color="auto" w:fill="FFFFFF"/>
        </w:rPr>
        <w:t>twelve</w:t>
      </w:r>
      <w:r>
        <w:rPr>
          <w:rFonts w:ascii="Times New Roman" w:eastAsia="Times New Roman" w:hAnsi="Times New Roman" w:cs="Times New Roman"/>
          <w:color w:val="1A1A1A"/>
          <w:sz w:val="20"/>
          <w:shd w:val="clear" w:color="auto" w:fill="FFFFFF"/>
        </w:rPr>
        <w:t xml:space="preserve"> months of operations</w:t>
      </w:r>
      <w:r>
        <w:rPr>
          <w:rFonts w:ascii="Times New Roman" w:eastAsia="Times New Roman" w:hAnsi="Times New Roman" w:cs="Times New Roman"/>
          <w:color w:val="1A1A1A"/>
          <w:sz w:val="20"/>
          <w:shd w:val="clear" w:color="auto" w:fill="FFFFFF"/>
        </w:rPr>
        <w:t>.</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Basis of Presentation</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accompanying consolidated balance sheet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the consolidated statements of operations for the </w:t>
      </w:r>
      <w:r>
        <w:rPr>
          <w:rFonts w:ascii="Times New Roman" w:eastAsia="Times New Roman" w:hAnsi="Times New Roman" w:cs="Times New Roman"/>
          <w:sz w:val="20"/>
        </w:rPr>
        <w:t>three and 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consolidated statements of stockholders' equity for the </w:t>
      </w:r>
      <w:r>
        <w:rPr>
          <w:rFonts w:ascii="Times New Roman" w:eastAsia="Times New Roman" w:hAnsi="Times New Roman" w:cs="Times New Roman"/>
          <w:sz w:val="20"/>
        </w:rPr>
        <w:t>three and 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and the consolidated statements of cash flows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are unaudited but include all adjustments that are, in the opinion of management, necessary for a fair presentation of its financial position at such dates and its results of operations and cash flows for the periods then ended in conformity with generally accepted accounting principles in the United States ("GAAP"). The consolidated balance sheet as of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has been derived from the audited consolidated financial statements at that date but, in accordance with the rules and regulations of the</w:t>
      </w:r>
      <w:r>
        <w:rPr>
          <w:rFonts w:ascii="Times New Roman" w:eastAsia="Times New Roman" w:hAnsi="Times New Roman" w:cs="Times New Roman"/>
          <w:sz w:val="20"/>
        </w:rPr>
        <w:t xml:space="preserve"> </w:t>
      </w:r>
      <w:r>
        <w:rPr>
          <w:rFonts w:ascii="Times New Roman" w:eastAsia="Times New Roman" w:hAnsi="Times New Roman" w:cs="Times New Roman"/>
          <w:sz w:val="20"/>
        </w:rPr>
        <w:t>SEC</w:t>
      </w:r>
      <w:r>
        <w:rPr>
          <w:rFonts w:ascii="Times New Roman" w:eastAsia="Times New Roman" w:hAnsi="Times New Roman" w:cs="Times New Roman"/>
          <w:sz w:val="20"/>
        </w:rPr>
        <w:t xml:space="preserve">, does not include all of the information and notes required by GAAP for complete financial statements. Operating results for the </w:t>
      </w:r>
      <w:r>
        <w:rPr>
          <w:rFonts w:ascii="Times New Roman" w:eastAsia="Times New Roman" w:hAnsi="Times New Roman" w:cs="Times New Roman"/>
          <w:sz w:val="20"/>
        </w:rPr>
        <w:t>three and 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are not necessarily indicative of results that may be expected for the entire fiscal year. These unaudited consolidated financial statements should be read in conjunction with the consolidated financial statements and notes thereto for the fiscal year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included in the Company's Annual Report on Form 10-K filed with the SEC on March 30, 2020.</w:t>
      </w: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Principles of Consolidation</w:t>
      </w:r>
    </w:p>
    <w:p>
      <w:pPr>
        <w:keepNext w:val="0"/>
        <w:keepLines/>
        <w:pageBreakBefore w:val="0"/>
        <w:widowControl w:val="0"/>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consolidated financial statements include the accounts of IZEA Worldwide, Inc. and its wholly-owned subsidiaries, subsequent to the subsidiaries’ individual acquisition, merger or formation dates, as applicable. All significant intercompany balances and transactions have been eliminated in consolidation.</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consolidated financial statements were prepared using the acquisition method of accounting with IZEA considered the accounting acquirer of Ebyline, ZenContent and TapInfluence. Under the acquisition method of accounting, the purchase price is allocated to the underlying tangible and intangible assets acquired and liabilities assumed based on their respective fair market values with any excess purchase price allocated to goodwill.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U</w:t>
      </w:r>
      <w:r>
        <w:rPr>
          <w:rFonts w:ascii="Times New Roman" w:eastAsia="Times New Roman" w:hAnsi="Times New Roman" w:cs="Times New Roman"/>
          <w:b/>
          <w:sz w:val="20"/>
          <w:u w:val="single"/>
        </w:rPr>
        <w:t>se of Estimates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13" w:lineRule="auto"/>
        <w:ind w:left="0" w:right="0" w:firstLine="720"/>
        <w:jc w:val="both"/>
        <w:outlineLvl w:val="9"/>
        <w:rPr>
          <w:rFonts w:ascii="Times New Roman" w:eastAsia="Times New Roman" w:hAnsi="Times New Roman" w:cs="Times New Roman"/>
          <w:sz w:val="24"/>
        </w:rPr>
      </w:pPr>
      <w:r>
        <w:rPr>
          <w:rFonts w:ascii="Times New Roman" w:eastAsia="Times New Roman" w:hAnsi="Times New Roman" w:cs="Times New Roman"/>
          <w:sz w:val="20"/>
        </w:rPr>
        <w:t xml:space="preserve">The extent to which COVID-19 impacts the Company’s business and financial results will depend on numerous evolving factors including, but not limited to: the magnitude and duration of COVID-19, the extent to which it will impact worldwide macroeconomic conditions, the speed of the anticipated recovery, access to capital markets, and governmental and business reactions to the pandemic. The Company assessed certain accounting matters that generally require consideration of forecasted financial information in context with the information reasonably available to the Company and the unknown future impacts of COVID-19 as of June 30, 2020 and through the date of the filing of this Quarterly Report on Form 10-Q. The accounting matters assessed included, but were not limited to estimates related to </w:t>
      </w:r>
      <w:r>
        <w:rPr>
          <w:rFonts w:ascii="Times New Roman" w:eastAsia="Times New Roman" w:hAnsi="Times New Roman" w:cs="Times New Roman"/>
          <w:sz w:val="20"/>
        </w:rPr>
        <w:t>r</w:t>
      </w:r>
      <w:r>
        <w:rPr>
          <w:rFonts w:ascii="Times New Roman" w:eastAsia="Times New Roman" w:hAnsi="Times New Roman" w:cs="Times New Roman"/>
          <w:sz w:val="20"/>
        </w:rPr>
        <w:t>evenue, the accounting for potential liabilities and accrued expenses, the assumptions utilized in valuing stock-based compensation issued for services, the realization of deferred tax assets, and assessments of impairment related to long-lived assets and intangibles</w:t>
      </w:r>
      <w:r>
        <w:rPr>
          <w:rFonts w:ascii="Times New Roman" w:eastAsia="Times New Roman" w:hAnsi="Times New Roman" w:cs="Times New Roman"/>
          <w:sz w:val="20"/>
        </w:rPr>
        <w:t>. The Company’s future assessment of the magnitude and duration of COVID-19, as well as other factors, could result in additional material impacts to the Company’s consolidated financial statements in future reporting periods.</w:t>
      </w:r>
    </w:p>
    <w:p>
      <w:pPr>
        <w:keepNext w:val="0"/>
        <w:keepLines w:val="0"/>
        <w:pageBreakBefore w:val="0"/>
        <w:widowControl/>
        <w:numPr>
          <w:ilvl w:val="0"/>
          <w:numId w:val="0"/>
        </w:numPr>
        <w:spacing w:before="0" w:after="0" w:line="238"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0" w:after="0" w:line="23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Despite the Company’s efforts, the ultimate impact of COVID-19 depends on factors beyond the Company’s knowledge or control, including the duration and severity of the outbreak, as well as third-party actions taken to contain its spread and mitigate its public health effects. As a result, the Company is unable to estimate the</w:t>
      </w:r>
      <w:r>
        <w:rPr>
          <w:rFonts w:ascii="Times New Roman" w:eastAsia="Times New Roman" w:hAnsi="Times New Roman" w:cs="Times New Roman"/>
          <w:sz w:val="20"/>
        </w:rPr>
        <w:t xml:space="preserve"> full</w:t>
      </w:r>
      <w:r>
        <w:rPr>
          <w:rFonts w:ascii="Times New Roman" w:eastAsia="Times New Roman" w:hAnsi="Times New Roman" w:cs="Times New Roman"/>
          <w:sz w:val="20"/>
        </w:rPr>
        <w:t xml:space="preserve"> extent to which COVID-19 will negatively impact its financial results or liquidity</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However, i</w:t>
      </w:r>
      <w:r>
        <w:rPr>
          <w:rFonts w:ascii="Times New Roman" w:eastAsia="Times New Roman" w:hAnsi="Times New Roman" w:cs="Times New Roman"/>
          <w:sz w:val="20"/>
        </w:rPr>
        <w:t>n consideration</w:t>
      </w:r>
      <w:r>
        <w:rPr>
          <w:rFonts w:ascii="Times New Roman" w:eastAsia="Times New Roman" w:hAnsi="Times New Roman" w:cs="Times New Roman"/>
          <w:sz w:val="20"/>
        </w:rPr>
        <w:t xml:space="preserve"> of</w:t>
      </w:r>
      <w:r>
        <w:rPr>
          <w:rFonts w:ascii="Times New Roman" w:eastAsia="Times New Roman" w:hAnsi="Times New Roman" w:cs="Times New Roman"/>
          <w:sz w:val="20"/>
        </w:rPr>
        <w:t xml:space="preserve"> the effect of COVID-19 on the assumptions and estimates used in the preparation of the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financial statements</w:t>
      </w:r>
      <w:r>
        <w:rPr>
          <w:rFonts w:ascii="Times New Roman" w:eastAsia="Times New Roman" w:hAnsi="Times New Roman" w:cs="Times New Roman"/>
          <w:sz w:val="20"/>
        </w:rPr>
        <w:t>, the Company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identified </w:t>
      </w:r>
      <w:r>
        <w:rPr>
          <w:rFonts w:ascii="Times New Roman" w:eastAsia="Times New Roman" w:hAnsi="Times New Roman" w:cs="Times New Roman"/>
          <w:sz w:val="20"/>
        </w:rPr>
        <w:t>the goodwill i</w:t>
      </w:r>
      <w:r>
        <w:rPr>
          <w:rFonts w:ascii="Times New Roman" w:eastAsia="Times New Roman" w:hAnsi="Times New Roman" w:cs="Times New Roman"/>
          <w:sz w:val="20"/>
        </w:rPr>
        <w:t>mpairment disclosed in Note 3 as a material adverse effect</w:t>
      </w:r>
      <w:r>
        <w:rPr>
          <w:rFonts w:ascii="Times New Roman" w:eastAsia="Times New Roman" w:hAnsi="Times New Roman" w:cs="Times New Roman"/>
          <w:sz w:val="20"/>
        </w:rPr>
        <w:t xml:space="preserve"> on its</w:t>
      </w:r>
      <w:r>
        <w:rPr>
          <w:rFonts w:ascii="Times New Roman" w:eastAsia="Times New Roman" w:hAnsi="Times New Roman" w:cs="Times New Roman"/>
          <w:sz w:val="20"/>
        </w:rPr>
        <w:t xml:space="preserve"> results of operations and financial position</w:t>
      </w:r>
      <w:r>
        <w:rPr>
          <w:rFonts w:ascii="Times New Roman" w:eastAsia="Times New Roman" w:hAnsi="Times New Roman" w:cs="Times New Roman"/>
          <w:sz w:val="20"/>
        </w:rPr>
        <w:t xml:space="preserve"> that was caused by </w:t>
      </w:r>
      <w:r>
        <w:rPr>
          <w:rFonts w:ascii="Times New Roman" w:eastAsia="Times New Roman" w:hAnsi="Times New Roman" w:cs="Times New Roman"/>
          <w:sz w:val="20"/>
        </w:rPr>
        <w:t>COVID-19</w:t>
      </w:r>
      <w:r>
        <w:rPr>
          <w:rFonts w:ascii="Times New Roman" w:eastAsia="Times New Roman" w:hAnsi="Times New Roman" w:cs="Times New Roman"/>
          <w:sz w:val="20"/>
        </w:rPr>
        <w:t>’</w:t>
      </w:r>
      <w:r>
        <w:rPr>
          <w:rFonts w:ascii="Times New Roman" w:eastAsia="Times New Roman" w:hAnsi="Times New Roman" w:cs="Times New Roman"/>
          <w:sz w:val="20"/>
        </w:rPr>
        <w:t>s effect on economic condi</w:t>
      </w:r>
      <w:r>
        <w:rPr>
          <w:rFonts w:ascii="Times New Roman" w:eastAsia="Times New Roman" w:hAnsi="Times New Roman" w:cs="Times New Roman"/>
          <w:sz w:val="20"/>
        </w:rPr>
        <w:t>tions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Cash and Cash Equivalents</w:t>
      </w:r>
    </w:p>
    <w:p>
      <w:pPr>
        <w:keepNext/>
        <w:keepLines/>
        <w:pageBreakBefore w:val="0"/>
        <w:widowControl w:val="0"/>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Company considers all highly liquid investments purchased with an original maturity of three months or less from the date of purchase to be cash equivalents.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Accounts Receivable and Concentration of Credit Risk</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Company’s accounts receivable balance consists of net trade receivables and unbilled receivables. Trade receivables are customer obligations due under normal trade terms. Unbilled receivables represent amounts owed for work that has been performed, but not yet billed. The Company had trade receivables of </w:t>
      </w:r>
      <w:r>
        <w:rPr>
          <w:rFonts w:ascii="Times New Roman" w:eastAsia="Times New Roman" w:hAnsi="Times New Roman" w:cs="Times New Roman"/>
          <w:sz w:val="20"/>
        </w:rPr>
        <w:t>$3,013,967</w:t>
      </w:r>
      <w:r>
        <w:rPr>
          <w:rFonts w:ascii="Times New Roman" w:eastAsia="Times New Roman" w:hAnsi="Times New Roman" w:cs="Times New Roman"/>
          <w:sz w:val="20"/>
        </w:rPr>
        <w:t xml:space="preserve"> and unbilled receivables of </w:t>
      </w:r>
      <w:r>
        <w:rPr>
          <w:rFonts w:ascii="Times New Roman" w:eastAsia="Times New Roman" w:hAnsi="Times New Roman" w:cs="Times New Roman"/>
          <w:sz w:val="20"/>
        </w:rPr>
        <w:t>$39,168</w:t>
      </w:r>
      <w:r>
        <w:rPr>
          <w:rFonts w:ascii="Times New Roman" w:eastAsia="Times New Roman" w:hAnsi="Times New Roman" w:cs="Times New Roman"/>
          <w:sz w:val="20"/>
        </w:rPr>
        <w:t xml:space="preserve"> at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The Company had trade receivables of </w:t>
      </w:r>
      <w:r>
        <w:rPr>
          <w:rFonts w:ascii="Times New Roman" w:eastAsia="Times New Roman" w:hAnsi="Times New Roman" w:cs="Times New Roman"/>
          <w:sz w:val="20"/>
        </w:rPr>
        <w:t>$5,106,314</w:t>
      </w:r>
      <w:r>
        <w:rPr>
          <w:rFonts w:ascii="Times New Roman" w:eastAsia="Times New Roman" w:hAnsi="Times New Roman" w:cs="Times New Roman"/>
          <w:sz w:val="20"/>
        </w:rPr>
        <w:t xml:space="preserve"> and unbilled receivables of </w:t>
      </w:r>
      <w:r>
        <w:rPr>
          <w:rFonts w:ascii="Times New Roman" w:eastAsia="Times New Roman" w:hAnsi="Times New Roman" w:cs="Times New Roman"/>
          <w:sz w:val="20"/>
        </w:rPr>
        <w:t>$490,405</w:t>
      </w:r>
      <w:r>
        <w:rPr>
          <w:rFonts w:ascii="Times New Roman" w:eastAsia="Times New Roman" w:hAnsi="Times New Roman" w:cs="Times New Roman"/>
          <w:sz w:val="20"/>
        </w:rPr>
        <w:t xml:space="preserve"> at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Management considers an account to be delinquent when the customer has not paid an amount due by its associated due date. Uncollectibility of accounts receivable is not significant since most customers are bound by contract and are required to fund the Company for all the costs of an “opportunity,” defined as an order created by a marketer for a creator to develop or share content on behalf of a marketer. If a portion of the account balance is deemed uncollectible, the Company will either write-off the amount owed or provide a reserve based on its best estimate of the uncollectible portion of the account. Management determines the collectibility of accounts by regularly evaluating individual customer receivables and considering a customer’s financial condition, credit history and current economic conditions. The Company had a reserve </w:t>
      </w:r>
      <w:r>
        <w:rPr>
          <w:rFonts w:ascii="Times New Roman" w:eastAsia="Times New Roman" w:hAnsi="Times New Roman" w:cs="Times New Roman"/>
          <w:sz w:val="20"/>
        </w:rPr>
        <w:t xml:space="preserve">for doubtful accounts </w:t>
      </w:r>
      <w:r>
        <w:rPr>
          <w:rFonts w:ascii="Times New Roman" w:eastAsia="Times New Roman" w:hAnsi="Times New Roman" w:cs="Times New Roman"/>
          <w:sz w:val="20"/>
        </w:rPr>
        <w:t xml:space="preserve">of </w:t>
      </w:r>
      <w:r>
        <w:rPr>
          <w:rFonts w:ascii="Times New Roman" w:eastAsia="Times New Roman" w:hAnsi="Times New Roman" w:cs="Times New Roman"/>
          <w:sz w:val="20"/>
        </w:rPr>
        <w:t>$175,000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$145,000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respectively. Management believes that this estimate is reasonable, but there can be no assurance that the estimate will not change as a result of a change in economic conditions or business conditions within the industry, the individual customers or the Company. Any adjustments to this account are reflected in the consolidated statements of operations as a general and administrative expense. Bad debt expense was </w:t>
      </w:r>
      <w:r>
        <w:rPr>
          <w:rFonts w:ascii="Times New Roman" w:eastAsia="Times New Roman" w:hAnsi="Times New Roman" w:cs="Times New Roman"/>
          <w:sz w:val="20"/>
        </w:rPr>
        <w:t>appro</w:t>
      </w:r>
      <w:r>
        <w:rPr>
          <w:rFonts w:ascii="Times New Roman" w:eastAsia="Times New Roman" w:hAnsi="Times New Roman" w:cs="Times New Roman"/>
          <w:sz w:val="20"/>
        </w:rPr>
        <w:t>ximately</w:t>
      </w:r>
      <w:r>
        <w:rPr>
          <w:rFonts w:ascii="Times New Roman" w:eastAsia="Times New Roman" w:hAnsi="Times New Roman" w:cs="Times New Roman"/>
          <w:sz w:val="20"/>
        </w:rPr>
        <w:t xml:space="preserve"> </w:t>
      </w:r>
      <w:r>
        <w:rPr>
          <w:rFonts w:ascii="Times New Roman" w:eastAsia="Times New Roman" w:hAnsi="Times New Roman" w:cs="Times New Roman"/>
          <w:sz w:val="20"/>
        </w:rPr>
        <w:t>1%</w:t>
      </w:r>
      <w:r>
        <w:rPr>
          <w:rFonts w:ascii="Times New Roman" w:eastAsia="Times New Roman" w:hAnsi="Times New Roman" w:cs="Times New Roman"/>
          <w:sz w:val="20"/>
        </w:rPr>
        <w:t xml:space="preserve"> </w:t>
      </w:r>
      <w:r>
        <w:rPr>
          <w:rFonts w:ascii="Times New Roman" w:eastAsia="Times New Roman" w:hAnsi="Times New Roman" w:cs="Times New Roman"/>
          <w:sz w:val="20"/>
        </w:rPr>
        <w:t>of revenue</w:t>
      </w:r>
      <w:r>
        <w:rPr>
          <w:rFonts w:ascii="Times New Roman" w:eastAsia="Times New Roman" w:hAnsi="Times New Roman" w:cs="Times New Roman"/>
          <w:sz w:val="20"/>
        </w:rPr>
        <w:t xml:space="preserve"> or less</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Concentrations of credit risk with respect to accounts receivable have been typically limited because a large number of geographically diverse customers make up the Company’s customer base, thus spreading the trade credit risk. However, with the Company’s acquisition of TapInfluence, it has increased credit exposure on certain customers who carry significant credit balances related to their marketplace spend. The Company controls credit risk through credit approvals, credit limits and monitoring procedures. The Company performs credit evaluations of its customers, but generally does not require collateral to support accounts receivable. The Company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customer that accounted for </w:t>
      </w:r>
      <w:r>
        <w:rPr>
          <w:rFonts w:ascii="Times New Roman" w:eastAsia="Times New Roman" w:hAnsi="Times New Roman" w:cs="Times New Roman"/>
          <w:sz w:val="20"/>
        </w:rPr>
        <w:t>10%</w:t>
      </w:r>
      <w:r>
        <w:rPr>
          <w:rFonts w:ascii="Times New Roman" w:eastAsia="Times New Roman" w:hAnsi="Times New Roman" w:cs="Times New Roman"/>
          <w:sz w:val="20"/>
        </w:rPr>
        <w:t xml:space="preserve"> of total accounts receivable at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customers that accounted for an aggregate of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total accounts receivable at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customer</w:t>
      </w:r>
      <w:r>
        <w:rPr>
          <w:rFonts w:ascii="Times New Roman" w:eastAsia="Times New Roman" w:hAnsi="Times New Roman" w:cs="Times New Roman"/>
          <w:sz w:val="20"/>
        </w:rPr>
        <w:t xml:space="preserve"> that accounted for </w:t>
      </w:r>
      <w:r>
        <w:rPr>
          <w:rFonts w:ascii="Times New Roman" w:eastAsia="Times New Roman" w:hAnsi="Times New Roman" w:cs="Times New Roman"/>
          <w:sz w:val="20"/>
        </w:rPr>
        <w:t>10%</w:t>
      </w:r>
      <w:r>
        <w:rPr>
          <w:rFonts w:ascii="Times New Roman" w:eastAsia="Times New Roman" w:hAnsi="Times New Roman" w:cs="Times New Roman"/>
          <w:sz w:val="20"/>
        </w:rPr>
        <w:t xml:space="preserve"> of its revenue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and</w:t>
      </w:r>
      <w:r>
        <w:rPr>
          <w:rFonts w:ascii="Times New Roman" w:eastAsia="Times New Roman" w:hAnsi="Times New Roman" w:cs="Times New Roman"/>
          <w:sz w:val="20"/>
        </w:rPr>
        <w:t xml:space="preserve">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 that accounted for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its revenue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2019</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Company had </w:t>
      </w:r>
      <w:r>
        <w:rPr>
          <w:rFonts w:ascii="Times New Roman" w:eastAsia="Times New Roman" w:hAnsi="Times New Roman" w:cs="Times New Roman"/>
          <w:sz w:val="20"/>
        </w:rPr>
        <w:t>no</w:t>
      </w:r>
      <w:r>
        <w:rPr>
          <w:rFonts w:ascii="Times New Roman" w:eastAsia="Times New Roman" w:hAnsi="Times New Roman" w:cs="Times New Roman"/>
          <w:sz w:val="20"/>
        </w:rPr>
        <w:t xml:space="preserve"> customers that accounted for </w:t>
      </w:r>
      <w:r>
        <w:rPr>
          <w:rFonts w:ascii="Times New Roman" w:eastAsia="Times New Roman" w:hAnsi="Times New Roman" w:cs="Times New Roman"/>
          <w:sz w:val="20"/>
        </w:rPr>
        <w:t>more than 10%</w:t>
      </w:r>
      <w:r>
        <w:rPr>
          <w:rFonts w:ascii="Times New Roman" w:eastAsia="Times New Roman" w:hAnsi="Times New Roman" w:cs="Times New Roman"/>
          <w:sz w:val="20"/>
        </w:rPr>
        <w:t xml:space="preserve"> of its revenue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or </w:t>
      </w:r>
      <w:r>
        <w:rPr>
          <w:rFonts w:ascii="Times New Roman" w:eastAsia="Times New Roman" w:hAnsi="Times New Roman" w:cs="Times New Roman"/>
          <w:sz w:val="20"/>
        </w:rPr>
        <w:t>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Property and Equipment</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Property and equipment are recorded at cost, or if acquired in a business combination, at the acquisition date fair value. </w:t>
      </w:r>
    </w:p>
    <w:p>
      <w:pPr>
        <w:keepNext w:val="0"/>
        <w:keepLines w:val="0"/>
        <w:pageBreakBefore w:val="0"/>
        <w:widowControl/>
        <w:numPr>
          <w:ilvl w:val="0"/>
          <w:numId w:val="0"/>
        </w:numPr>
        <w:spacing w:before="12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Depreciation and amortization are computed using the straight-line method over the estimated useful lives of the assets as follows:</w:t>
      </w:r>
    </w:p>
    <w:tbl>
      <w:tblPr>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05"/>
        <w:gridCol w:w="1140"/>
      </w:tblGrid>
      <w:tr>
        <w:tblPrEx>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9105" w:type="dxa"/>
            <w:tcBorders>
              <w:top w:val="single" w:sz="8" w:space="0" w:color="000000"/>
              <w:left w:val="single" w:sz="8" w:space="0" w:color="000000"/>
              <w:bottom w:val="nil"/>
              <w:right w:val="nil"/>
            </w:tcBorders>
            <w:shd w:val="clear" w:color="auto" w:fill="CCEEFF"/>
            <w:tcMar>
              <w:top w:w="0" w:type="dxa"/>
              <w:left w:w="53" w:type="dxa"/>
              <w:bottom w:w="0" w:type="dxa"/>
              <w:right w:w="53" w:type="dxa"/>
            </w:tcMar>
            <w:vAlign w:val="bottom"/>
          </w:tcPr>
          <w:p>
            <w:pPr>
              <w:keepNext/>
              <w:pageBreakBefore w:val="0"/>
              <w:tabs>
                <w:tab w:val="left" w:leader="dot" w:pos="9105"/>
              </w:tabs>
              <w:spacing w:before="55" w:after="30" w:line="200" w:lineRule="auto"/>
              <w:ind w:left="0"/>
              <w:jc w:val="left"/>
            </w:pPr>
            <w:r>
              <w:rPr>
                <w:rFonts w:ascii="Times New Roman" w:eastAsia="Times New Roman" w:hAnsi="Times New Roman" w:cs="Times New Roman"/>
                <w:color w:val="000000"/>
                <w:sz w:val="20"/>
              </w:rPr>
              <w:t>Computer Equipment</w:t>
              <w:tab/>
            </w:r>
          </w:p>
        </w:tc>
        <w:tc>
          <w:tcPr>
            <w:tcW w:w="1140" w:type="dxa"/>
            <w:tcBorders>
              <w:top w:val="single" w:sz="8" w:space="0" w:color="000000"/>
              <w:left w:val="nil"/>
              <w:bottom w:val="nil"/>
              <w:right w:val="single" w:sz="8" w:space="0" w:color="000000"/>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 years</w:t>
            </w:r>
          </w:p>
        </w:tc>
      </w:tr>
      <w:tr>
        <w:tblPrEx>
          <w:tblW w:w="10245" w:type="dxa"/>
          <w:jc w:val="left"/>
          <w:tblInd w:w="0" w:type="dxa"/>
          <w:tblCellMar>
            <w:left w:w="108" w:type="dxa"/>
            <w:right w:w="108" w:type="dxa"/>
          </w:tblCellMar>
        </w:tblPrEx>
        <w:trPr>
          <w:cantSplit/>
          <w:trHeight w:hRule="exact" w:val="285"/>
          <w:jc w:val="left"/>
        </w:trPr>
        <w:tc>
          <w:tcPr>
            <w:tcW w:w="9105" w:type="dxa"/>
            <w:tcBorders>
              <w:top w:val="nil"/>
              <w:left w:val="single" w:sz="8" w:space="0" w:color="000000"/>
              <w:bottom w:val="nil"/>
              <w:right w:val="nil"/>
            </w:tcBorders>
            <w:shd w:val="clear" w:color="auto" w:fill="FFFFFF"/>
            <w:tcMar>
              <w:top w:w="0" w:type="dxa"/>
              <w:left w:w="53" w:type="dxa"/>
              <w:bottom w:w="0" w:type="dxa"/>
              <w:right w:w="53" w:type="dxa"/>
            </w:tcMar>
            <w:vAlign w:val="bottom"/>
          </w:tcPr>
          <w:p>
            <w:pPr>
              <w:keepNext/>
              <w:pageBreakBefore w:val="0"/>
              <w:tabs>
                <w:tab w:val="left" w:leader="dot" w:pos="9105"/>
              </w:tabs>
              <w:spacing w:before="75" w:after="30" w:line="200" w:lineRule="auto"/>
              <w:ind w:left="0"/>
              <w:jc w:val="left"/>
            </w:pPr>
            <w:r>
              <w:rPr>
                <w:rFonts w:ascii="Times New Roman" w:eastAsia="Times New Roman" w:hAnsi="Times New Roman" w:cs="Times New Roman"/>
                <w:color w:val="000000"/>
                <w:sz w:val="20"/>
              </w:rPr>
              <w:t>Office Equipment</w:t>
              <w:tab/>
            </w:r>
          </w:p>
        </w:tc>
        <w:tc>
          <w:tcPr>
            <w:tcW w:w="1140" w:type="dxa"/>
            <w:tcBorders>
              <w:top w:val="nil"/>
              <w:left w:val="nil"/>
              <w:bottom w:val="nil"/>
              <w:right w:val="single" w:sz="8" w:space="0" w:color="000000"/>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3 - 10 years</w:t>
            </w:r>
          </w:p>
        </w:tc>
      </w:tr>
      <w:tr>
        <w:tblPrEx>
          <w:tblW w:w="10245" w:type="dxa"/>
          <w:jc w:val="left"/>
          <w:tblInd w:w="0" w:type="dxa"/>
          <w:tblCellMar>
            <w:left w:w="108" w:type="dxa"/>
            <w:right w:w="108" w:type="dxa"/>
          </w:tblCellMar>
        </w:tblPrEx>
        <w:trPr>
          <w:cantSplit/>
          <w:trHeight w:hRule="exact" w:val="285"/>
          <w:jc w:val="left"/>
        </w:trPr>
        <w:tc>
          <w:tcPr>
            <w:tcW w:w="9105" w:type="dxa"/>
            <w:tcBorders>
              <w:top w:val="nil"/>
              <w:left w:val="single" w:sz="8" w:space="0" w:color="000000"/>
              <w:bottom w:val="single" w:sz="8" w:space="0" w:color="000000"/>
              <w:right w:val="nil"/>
            </w:tcBorders>
            <w:shd w:val="clear" w:color="auto" w:fill="CCEEFF"/>
            <w:tcMar>
              <w:top w:w="0" w:type="dxa"/>
              <w:left w:w="53" w:type="dxa"/>
              <w:bottom w:w="0" w:type="dxa"/>
              <w:right w:w="53" w:type="dxa"/>
            </w:tcMar>
            <w:vAlign w:val="bottom"/>
          </w:tcPr>
          <w:p>
            <w:pPr>
              <w:pageBreakBefore w:val="0"/>
              <w:tabs>
                <w:tab w:val="left" w:leader="dot" w:pos="9105"/>
              </w:tabs>
              <w:spacing w:before="75" w:after="30" w:line="200" w:lineRule="auto"/>
              <w:ind w:left="0"/>
              <w:jc w:val="left"/>
            </w:pPr>
            <w:r>
              <w:rPr>
                <w:rFonts w:ascii="Times New Roman" w:eastAsia="Times New Roman" w:hAnsi="Times New Roman" w:cs="Times New Roman"/>
                <w:color w:val="000000"/>
                <w:sz w:val="20"/>
              </w:rPr>
              <w:t>Furniture and Fixtures</w:t>
              <w:tab/>
            </w:r>
          </w:p>
        </w:tc>
        <w:tc>
          <w:tcPr>
            <w:tcW w:w="1140" w:type="dxa"/>
            <w:tcBorders>
              <w:top w:val="nil"/>
              <w:left w:val="nil"/>
              <w:bottom w:val="single" w:sz="8" w:space="0" w:color="000000"/>
              <w:right w:val="single" w:sz="8" w:space="0" w:color="000000"/>
            </w:tcBorders>
            <w:shd w:val="clear" w:color="auto" w:fill="CCEEFF"/>
            <w:tcMar>
              <w:top w:w="0" w:type="dxa"/>
              <w:left w:w="53" w:type="dxa"/>
              <w:bottom w:w="0" w:type="dxa"/>
              <w:right w:w="53"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5 - 10 years</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Leasehold improvements are amortized over the shorter of the term of the lease or the estimated useful lives of the improvements. Expenditures for repairs and maintenance are charged to expense as incurred. Expenditures for betterments and major improvements are capitalized and depreciated over the remaining useful lives of the assets. The carrying amounts of assets sold or retired and the related accumulated depreciation are eliminated in the year of disposal, with resulting gains or losses included in general and administrative expense in the consolidated statements of operations. 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material impairment charges associated with the Company’s long-lived tangible assets during the </w:t>
      </w:r>
      <w:r>
        <w:rPr>
          <w:rFonts w:ascii="Times New Roman" w:eastAsia="Times New Roman" w:hAnsi="Times New Roman" w:cs="Times New Roman"/>
          <w:sz w:val="20"/>
        </w:rPr>
        <w:t>three and 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Goodwill</w:t>
      </w:r>
    </w:p>
    <w:p>
      <w:pPr>
        <w:keepNext w:val="0"/>
        <w:keepLines/>
        <w:pageBreakBefore w:val="0"/>
        <w:widowControl w:val="0"/>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Goodwill represents the excess of the purchase consideration of an acquired business over the fair value of the underlying net tangible and intangible assets. The Company has goodwill in connection with its acquisitions of Ebyline, ZenContent and TapInfluence. Goodwill is not amortized but instead it is tested for impairment at least annually. In the event that management determines that the value of goodwill has become impaired, the Company will record a charge for the amount of impairment during the fiscal quarter in which the determination is made.</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Company performs its annual impairment tests of goodwill as of October 1 of each year, or more frequently, if certain indicators are present. For instance, in March 2020, the Company identified triggering events, including the reduction in its projected revenue </w:t>
      </w:r>
      <w:r>
        <w:rPr>
          <w:rFonts w:ascii="Times New Roman" w:eastAsia="Times New Roman" w:hAnsi="Times New Roman" w:cs="Times New Roman"/>
          <w:sz w:val="20"/>
        </w:rPr>
        <w:t xml:space="preserve">due </w:t>
      </w:r>
      <w:r>
        <w:rPr>
          <w:rFonts w:ascii="Times New Roman" w:eastAsia="Times New Roman" w:hAnsi="Times New Roman" w:cs="Times New Roman"/>
          <w:sz w:val="20"/>
        </w:rPr>
        <w:t xml:space="preserve">to </w:t>
      </w:r>
      <w:r>
        <w:rPr>
          <w:rFonts w:ascii="Times New Roman" w:eastAsia="Times New Roman" w:hAnsi="Times New Roman" w:cs="Times New Roman"/>
          <w:sz w:val="20"/>
        </w:rPr>
        <w:t>adverse economic condi</w:t>
      </w:r>
      <w:r>
        <w:rPr>
          <w:rFonts w:ascii="Times New Roman" w:eastAsia="Times New Roman" w:hAnsi="Times New Roman" w:cs="Times New Roman"/>
          <w:sz w:val="20"/>
        </w:rPr>
        <w:t>t</w:t>
      </w:r>
      <w:r>
        <w:rPr>
          <w:rFonts w:ascii="Times New Roman" w:eastAsia="Times New Roman" w:hAnsi="Times New Roman" w:cs="Times New Roman"/>
          <w:sz w:val="20"/>
        </w:rPr>
        <w:t xml:space="preserve">ions caused by the </w:t>
      </w:r>
      <w:r>
        <w:rPr>
          <w:rFonts w:ascii="Times New Roman" w:eastAsia="Times New Roman" w:hAnsi="Times New Roman" w:cs="Times New Roman"/>
          <w:sz w:val="20"/>
        </w:rPr>
        <w:t xml:space="preserve">COVID-19 </w:t>
      </w:r>
      <w:r>
        <w:rPr>
          <w:rFonts w:ascii="Times New Roman" w:eastAsia="Times New Roman" w:hAnsi="Times New Roman" w:cs="Times New Roman"/>
          <w:sz w:val="20"/>
        </w:rPr>
        <w:t>pandemic</w:t>
      </w:r>
      <w:r>
        <w:rPr>
          <w:rFonts w:ascii="Times New Roman" w:eastAsia="Times New Roman" w:hAnsi="Times New Roman" w:cs="Times New Roman"/>
          <w:sz w:val="20"/>
        </w:rPr>
        <w:t>,</w:t>
      </w:r>
      <w:r>
        <w:rPr>
          <w:rFonts w:ascii="Times New Roman" w:eastAsia="Times New Roman" w:hAnsi="Times New Roman" w:cs="Times New Roman"/>
          <w:sz w:val="20"/>
        </w:rPr>
        <w:t xml:space="preserve"> the continuation of a market capitalization below the Company’s carrying value</w:t>
      </w:r>
      <w:r>
        <w:rPr>
          <w:rFonts w:ascii="Times New Roman" w:eastAsia="Times New Roman" w:hAnsi="Times New Roman" w:cs="Times New Roman"/>
          <w:sz w:val="20"/>
        </w:rPr>
        <w:t>,</w:t>
      </w:r>
      <w:r>
        <w:rPr>
          <w:rFonts w:ascii="Times New Roman" w:eastAsia="Times New Roman" w:hAnsi="Times New Roman" w:cs="Times New Roman"/>
          <w:sz w:val="20"/>
        </w:rPr>
        <w:t xml:space="preserve"> and uncertainty for recovery given the volatility of the capital markets surrounding COVID-19</w:t>
      </w:r>
      <w:r>
        <w:rPr>
          <w:rFonts w:ascii="Times New Roman" w:eastAsia="Times New Roman" w:hAnsi="Times New Roman" w:cs="Times New Roman"/>
          <w:sz w:val="20"/>
        </w:rPr>
        <w:t xml:space="preserve">.  Therefore, the </w:t>
      </w:r>
      <w:r>
        <w:rPr>
          <w:rFonts w:ascii="Times New Roman" w:eastAsia="Times New Roman" w:hAnsi="Times New Roman" w:cs="Times New Roman"/>
          <w:sz w:val="20"/>
        </w:rPr>
        <w:t>Company</w:t>
      </w:r>
      <w:r>
        <w:rPr>
          <w:rFonts w:ascii="Times New Roman" w:eastAsia="Times New Roman" w:hAnsi="Times New Roman" w:cs="Times New Roman"/>
          <w:sz w:val="20"/>
        </w:rPr>
        <w:t xml:space="preserve"> performed an interim assessment of goodwill, as described in Note 3. Goodwill is required to be tested for impairment at the reporting unit level. A reporting unit is an operating segment or one level below the operating segment level, which is referred to as a component. Management identifies its reporting units by assessing whether components (i) have discrete financial information available; (ii) engage in business activities; and (iii) whether a segment manager regularly reviews the component’s operating results. Net assets and goodwill of acquired businesses are allocated to the reporting unit associated with the acquired business based on the anticipated organizational structure of the combined entities. If two or more components are deemed economically similar, those components are aggregated into one reporting unit when performing the annual goodwill impairment review. The Company has </w:t>
      </w:r>
      <w:r>
        <w:rPr>
          <w:rFonts w:ascii="Times New Roman" w:eastAsia="Times New Roman" w:hAnsi="Times New Roman" w:cs="Times New Roman"/>
          <w:sz w:val="20"/>
        </w:rPr>
        <w:t>one</w:t>
      </w:r>
      <w:r>
        <w:rPr>
          <w:rFonts w:ascii="Times New Roman" w:eastAsia="Times New Roman" w:hAnsi="Times New Roman" w:cs="Times New Roman"/>
          <w:sz w:val="20"/>
        </w:rPr>
        <w:t xml:space="preserve"> reporting unit as of </w:t>
      </w:r>
      <w:r>
        <w:rPr>
          <w:rFonts w:ascii="Times New Roman" w:eastAsia="Times New Roman" w:hAnsi="Times New Roman" w:cs="Times New Roman"/>
          <w:sz w:val="20"/>
        </w:rPr>
        <w:t>June 30,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In January 2017, the FASB issued ASU No. 2017-04, </w:t>
      </w:r>
      <w:r>
        <w:rPr>
          <w:rFonts w:ascii="Times New Roman" w:eastAsia="Times New Roman" w:hAnsi="Times New Roman" w:cs="Times New Roman"/>
          <w:i/>
          <w:sz w:val="20"/>
        </w:rPr>
        <w:t xml:space="preserve">Intangibles—Goodwill and Other (Topic 350): Simplifying the Test for Goodwill Impairment </w:t>
      </w:r>
      <w:r>
        <w:rPr>
          <w:rFonts w:ascii="Times New Roman" w:eastAsia="Times New Roman" w:hAnsi="Times New Roman" w:cs="Times New Roman"/>
          <w:sz w:val="20"/>
        </w:rPr>
        <w:t>(“ASU 2017-04”)</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To address concerns over the cost and complexity of the two-step goodwill impairment test, the new standard removes the requirement for the second step of the goodwill impairment test for certain entities. An entity may apply a one-step quantitative test and record the amount of goodwill impairment as the excess of a reporting unit's carrying amount over its fair value, not to exceed the total amount of goodwill allocated to the reporting unit. The Company adopted this method in the third quarter of 2019 and there were no changes to its financial statements </w:t>
      </w:r>
      <w:r>
        <w:rPr>
          <w:rFonts w:ascii="Times New Roman" w:eastAsia="Times New Roman" w:hAnsi="Times New Roman" w:cs="Times New Roman"/>
          <w:sz w:val="20"/>
        </w:rPr>
        <w:t>at the time</w:t>
      </w:r>
      <w:r>
        <w:rPr>
          <w:rFonts w:ascii="Times New Roman" w:eastAsia="Times New Roman" w:hAnsi="Times New Roman" w:cs="Times New Roman"/>
          <w:sz w:val="20"/>
        </w:rPr>
        <w:t xml:space="preserve"> of the adoption.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Intangible Assets</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Company acquired the majority of its intangible assets through its acquisitions of Ebyline, ZenContent and TapInfluence. The Company is amortizing the identifiable intangible assets over periods of </w:t>
      </w:r>
      <w:r>
        <w:rPr>
          <w:rFonts w:ascii="Times New Roman" w:eastAsia="Times New Roman" w:hAnsi="Times New Roman" w:cs="Times New Roman"/>
          <w:sz w:val="20"/>
        </w:rPr>
        <w:t>12</w:t>
      </w:r>
      <w:r>
        <w:rPr>
          <w:rFonts w:ascii="Times New Roman" w:eastAsia="Times New Roman" w:hAnsi="Times New Roman" w:cs="Times New Roman"/>
          <w:sz w:val="20"/>
        </w:rPr>
        <w:t xml:space="preserve"> to </w:t>
      </w:r>
      <w:r>
        <w:rPr>
          <w:rFonts w:ascii="Times New Roman" w:eastAsia="Times New Roman" w:hAnsi="Times New Roman" w:cs="Times New Roman"/>
          <w:sz w:val="20"/>
        </w:rPr>
        <w:t>60</w:t>
      </w:r>
      <w:r>
        <w:rPr>
          <w:rFonts w:ascii="Times New Roman" w:eastAsia="Times New Roman" w:hAnsi="Times New Roman" w:cs="Times New Roman"/>
          <w:sz w:val="20"/>
        </w:rPr>
        <w:t xml:space="preserve"> months. See Note 3 for further details.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Management reviews long-lived assets, including property and equipment, software development costs and other intangible assets, for impairment whenever events or changes in circumstances indicate that their carrying amounts may not be recoverable. If an evaluation is required, the estimated future undiscounted cash flows associated with the asset are compared with the asset's carrying amount to determine if there has been an impairment, which is calculated as the difference between the fair value of the asset and the carrying value. Estimates of future undiscounted cash flows are based on expected growth rates for the business, anticipated future economic conditions and estimates of residual values. Fair values take into consideration management estimates of risk-adjusted discount rates, which are believed to be consistent with assumptions that marketplace participants would use in their estimates of fair value.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u w:val="single"/>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Software Development Costs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In accordance with Accounting Standards Codification (“ASC”) 350-40,</w:t>
      </w:r>
      <w:r>
        <w:rPr>
          <w:rFonts w:ascii="Times New Roman" w:eastAsia="Times New Roman" w:hAnsi="Times New Roman" w:cs="Times New Roman"/>
          <w:i/>
          <w:sz w:val="20"/>
        </w:rPr>
        <w:t xml:space="preserve"> Internal Use Software,</w:t>
      </w:r>
      <w:r>
        <w:rPr>
          <w:rFonts w:ascii="Times New Roman" w:eastAsia="Times New Roman" w:hAnsi="Times New Roman" w:cs="Times New Roman"/>
          <w:sz w:val="20"/>
        </w:rPr>
        <w:t xml:space="preserve"> the Company capitalizes certain internal use software development costs associated with creating and enhancing internally developed software related to its platforms. Software development activities generally consist of three stages (i) the research and planning stage, (ii) the application and development stage, and (iii) the post-implementation stage. Costs incurred in the research and planning stage and in the post-implementation stage of software development, or other maintenance and development expenses that do not meet the qualification for capitalization,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These software development and acquired technology costs are amortized on a straight-line basis over the estimated useful life of </w:t>
      </w:r>
      <w:r>
        <w:rPr>
          <w:rFonts w:ascii="Times New Roman" w:eastAsia="Times New Roman" w:hAnsi="Times New Roman" w:cs="Times New Roman"/>
          <w:sz w:val="20"/>
        </w:rPr>
        <w:t>five years</w:t>
      </w:r>
      <w:r>
        <w:rPr>
          <w:rFonts w:ascii="Times New Roman" w:eastAsia="Times New Roman" w:hAnsi="Times New Roman" w:cs="Times New Roman"/>
          <w:sz w:val="20"/>
        </w:rPr>
        <w:t xml:space="preserve"> upon initial release of the software or additional features. See Note 4 for further details.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Leases</w:t>
      </w:r>
    </w:p>
    <w:p>
      <w:pPr>
        <w:keepNext w:val="0"/>
        <w:keepLines/>
        <w:pageBreakBefore w:val="0"/>
        <w:widowControl w:val="0"/>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w:t>
      </w:r>
      <w:r>
        <w:rPr>
          <w:rFonts w:ascii="Times New Roman" w:eastAsia="Times New Roman" w:hAnsi="Times New Roman" w:cs="Times New Roman"/>
          <w:sz w:val="20"/>
        </w:rPr>
        <w:t>n January 1, 2019</w:t>
      </w:r>
      <w:r>
        <w:rPr>
          <w:rFonts w:ascii="Times New Roman" w:eastAsia="Times New Roman" w:hAnsi="Times New Roman" w:cs="Times New Roman"/>
          <w:sz w:val="20"/>
        </w:rPr>
        <w:t>, t</w:t>
      </w:r>
      <w:r>
        <w:rPr>
          <w:rFonts w:ascii="Times New Roman" w:eastAsia="Times New Roman" w:hAnsi="Times New Roman" w:cs="Times New Roman"/>
          <w:sz w:val="20"/>
        </w:rPr>
        <w:t>he Company adopted Accounting Standards Update (“ASU”) No. 2016-02,</w:t>
      </w:r>
      <w:r>
        <w:rPr>
          <w:rFonts w:ascii="Times New Roman" w:eastAsia="Times New Roman" w:hAnsi="Times New Roman" w:cs="Times New Roman"/>
          <w:i/>
          <w:sz w:val="20"/>
        </w:rPr>
        <w:t xml:space="preserve"> Leases (Topic 842)</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w</w:t>
      </w:r>
      <w:r>
        <w:rPr>
          <w:rFonts w:ascii="Times New Roman" w:eastAsia="Times New Roman" w:hAnsi="Times New Roman" w:cs="Times New Roman"/>
          <w:sz w:val="20"/>
        </w:rPr>
        <w:t>hich</w:t>
      </w:r>
      <w:r>
        <w:rPr>
          <w:rFonts w:ascii="Times New Roman" w:eastAsia="Times New Roman" w:hAnsi="Times New Roman" w:cs="Times New Roman"/>
          <w:sz w:val="20"/>
        </w:rPr>
        <w:t xml:space="preserve"> establishe</w:t>
      </w:r>
      <w:r>
        <w:rPr>
          <w:rFonts w:ascii="Times New Roman" w:eastAsia="Times New Roman" w:hAnsi="Times New Roman" w:cs="Times New Roman"/>
          <w:sz w:val="20"/>
        </w:rPr>
        <w:t>d</w:t>
      </w:r>
      <w:r>
        <w:rPr>
          <w:rFonts w:ascii="Times New Roman" w:eastAsia="Times New Roman" w:hAnsi="Times New Roman" w:cs="Times New Roman"/>
          <w:sz w:val="20"/>
        </w:rPr>
        <w:t xml:space="preserve"> a right-of-use model that requires a lessee to record a right-of-use asset and a right-of-use liability on the balance sheet for all leases with terms longer than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Leases </w:t>
      </w:r>
      <w:r>
        <w:rPr>
          <w:rFonts w:ascii="Times New Roman" w:eastAsia="Times New Roman" w:hAnsi="Times New Roman" w:cs="Times New Roman"/>
          <w:sz w:val="20"/>
        </w:rPr>
        <w:t>are</w:t>
      </w:r>
      <w:r>
        <w:rPr>
          <w:rFonts w:ascii="Times New Roman" w:eastAsia="Times New Roman" w:hAnsi="Times New Roman" w:cs="Times New Roman"/>
          <w:sz w:val="20"/>
        </w:rPr>
        <w:t xml:space="preserve"> classified as either finance or operating, with classification affecting the pattern of expense recognition in the income statement. The Company </w:t>
      </w:r>
      <w:r>
        <w:rPr>
          <w:rFonts w:ascii="Times New Roman" w:eastAsia="Times New Roman" w:hAnsi="Times New Roman" w:cs="Times New Roman"/>
          <w:sz w:val="20"/>
        </w:rPr>
        <w:t>d</w:t>
      </w:r>
      <w:r>
        <w:rPr>
          <w:rFonts w:ascii="Times New Roman" w:eastAsia="Times New Roman" w:hAnsi="Times New Roman" w:cs="Times New Roman"/>
          <w:sz w:val="20"/>
        </w:rPr>
        <w:t>oes not</w:t>
      </w:r>
      <w:r>
        <w:rPr>
          <w:rFonts w:ascii="Times New Roman" w:eastAsia="Times New Roman" w:hAnsi="Times New Roman" w:cs="Times New Roman"/>
          <w:sz w:val="20"/>
        </w:rPr>
        <w:t xml:space="preserve"> </w:t>
      </w:r>
      <w:r>
        <w:rPr>
          <w:rFonts w:ascii="Times New Roman" w:eastAsia="Times New Roman" w:hAnsi="Times New Roman" w:cs="Times New Roman"/>
          <w:sz w:val="20"/>
        </w:rPr>
        <w:t>record</w:t>
      </w:r>
      <w:r>
        <w:rPr>
          <w:rFonts w:ascii="Times New Roman" w:eastAsia="Times New Roman" w:hAnsi="Times New Roman" w:cs="Times New Roman"/>
          <w:sz w:val="20"/>
        </w:rPr>
        <w:t xml:space="preserve"> leases on the balance sheet that</w:t>
      </w:r>
      <w:r>
        <w:rPr>
          <w:rFonts w:ascii="Times New Roman" w:eastAsia="Times New Roman" w:hAnsi="Times New Roman" w:cs="Times New Roman"/>
          <w:sz w:val="20"/>
        </w:rPr>
        <w:t xml:space="preserve"> have a lease term of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or less</w:t>
      </w:r>
      <w:r>
        <w:rPr>
          <w:rFonts w:ascii="Times New Roman" w:eastAsia="Times New Roman" w:hAnsi="Times New Roman" w:cs="Times New Roman"/>
          <w:sz w:val="20"/>
        </w:rPr>
        <w:t xml:space="preserve"> </w:t>
      </w:r>
      <w:r>
        <w:rPr>
          <w:rFonts w:ascii="Times New Roman" w:eastAsia="Times New Roman" w:hAnsi="Times New Roman" w:cs="Times New Roman"/>
          <w:sz w:val="20"/>
        </w:rPr>
        <w:t>at the commencement date</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Revenue Recognition</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Company historically generated revenue from five primary sources: (1) revenue from its managed services when a marketer (typically a brand, agency or partner) pays the Company to provide custom content, influencer marketing, amplification or other campaign management services (“Managed Services”); (2) revenue from fees charged to software customers on their marketplace spend within the Company's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(“Marketplace Spend Fees”); (3) revenue from fees charged to access the </w:t>
      </w:r>
      <w:r>
        <w:rPr>
          <w:rFonts w:ascii="Times New Roman" w:eastAsia="Times New Roman" w:hAnsi="Times New Roman" w:cs="Times New Roman"/>
          <w:i/>
          <w:sz w:val="20"/>
        </w:rPr>
        <w:t>IZEAx, Ebyline,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(“License Fees”) (4) revenue from transactions generated by the self-service use of the Company's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for professional custom content workflow (“Legacy Workflow Fees”); and (5) revenue derived from other fees such as inactivity fees, early cash-out fees, and plan fees charged to users of the Company's platforms (“Other”).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there is </w:t>
      </w:r>
      <w:r>
        <w:rPr>
          <w:rFonts w:ascii="Times New Roman" w:eastAsia="Times New Roman" w:hAnsi="Times New Roman" w:cs="Times New Roman"/>
          <w:sz w:val="20"/>
        </w:rPr>
        <w:t>no</w:t>
      </w:r>
      <w:r>
        <w:rPr>
          <w:rFonts w:ascii="Times New Roman" w:eastAsia="Times New Roman" w:hAnsi="Times New Roman" w:cs="Times New Roman"/>
          <w:sz w:val="20"/>
        </w:rPr>
        <w:t xml:space="preserve"> longer any revenue generated from Legacy Workflow Fees and all such revenue is reported as Marketplace Spend Fees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platform.</w:t>
      </w:r>
    </w:p>
    <w:p>
      <w:pPr>
        <w:keepNext w:val="0"/>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recognizes revenue in accordance with Accounting Standards Codification Topic 606, </w:t>
      </w:r>
      <w:r>
        <w:rPr>
          <w:rFonts w:ascii="Times New Roman" w:eastAsia="Times New Roman" w:hAnsi="Times New Roman" w:cs="Times New Roman"/>
          <w:i/>
          <w:sz w:val="20"/>
        </w:rPr>
        <w:t xml:space="preserve">Revenue from Contracts with Customers </w:t>
      </w:r>
      <w:r>
        <w:rPr>
          <w:rFonts w:ascii="Times New Roman" w:eastAsia="Times New Roman" w:hAnsi="Times New Roman" w:cs="Times New Roman"/>
          <w:sz w:val="20"/>
        </w:rPr>
        <w:t>(“ASC 606”). Under ASC 606, revenue is recognized based on a five-step model</w:t>
      </w:r>
      <w:r>
        <w:rPr>
          <w:rFonts w:ascii="Times New Roman" w:eastAsia="Times New Roman" w:hAnsi="Times New Roman" w:cs="Times New Roman"/>
          <w:sz w:val="20"/>
        </w:rPr>
        <w:t xml:space="preserve"> as follows: (i) identify the contract with the customer; (ii) identify the performance obligations in the contract; (iii) determine the transaction price; (iv) allocate the transaction price to the performance obligations in the contract; and (v) recognize revenue when (or as) performance obligations are satisfied. The core principle of ASC 606 is that revenue is recognized when the transfer of promised goods or services to customers is made in an amount that reflects the consideration to which the entity expects to be entitled in exchange for those goods or services. The Company applies the five-step model to contracts when it is probable that it will collect the consideration it is entitled to in exchange for the goods or services it transfers to the customer. At contract inception, once the contract is determined to be within the scope of ASC 606, the Company assesses the goods or services promised within each contract and determines those that are distinct performance obligations. The Company also determines whether it acts as an agent or a principal for each identified performance obligation. The determination of whether the Company acts as the principal or the agent is highly subjective and requires the Company to evaluate a number of indicators individually and as a whole in order to make its determination</w:t>
      </w:r>
      <w:r>
        <w:rPr>
          <w:rFonts w:ascii="Times New Roman" w:eastAsia="Times New Roman" w:hAnsi="Times New Roman" w:cs="Times New Roman"/>
          <w:sz w:val="22"/>
        </w:rPr>
        <w:t xml:space="preserve">. </w:t>
      </w:r>
      <w:r>
        <w:rPr>
          <w:rFonts w:ascii="Times New Roman" w:eastAsia="Times New Roman" w:hAnsi="Times New Roman" w:cs="Times New Roman"/>
          <w:sz w:val="20"/>
        </w:rPr>
        <w:t>For transactions in which the Company acts as a principal, revenue is reported on a gross basis as the amount paid by the marketer for the purchase of content or sponsorship, promotion and other related services and the Company records the amounts it pays to third-party creators as cost of revenue. For transactions in which the Company acts as an agent, revenue is reported on a net basis as the amount the Company charged to the self-service marketer using the Company’s platforms, less the amounts paid to the third-party creators providing the service.</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Company maintains separate arrangements with each marketer and content creator either in the form of a master agreement or terms of service, which specify the terms of the relationship and access to its platforms, or by statement of work, which specifies the price and the services to be performed, along with other terms. The transaction price is determined based on the fixed fee stated in the statement of work and does not contain variable consideration. Marketers who contract with the Company to manage their advertising campaigns or custom content requests may prepay for services or request credit terms. Payment terms are typically </w:t>
      </w:r>
      <w:r>
        <w:rPr>
          <w:rFonts w:ascii="Times New Roman" w:eastAsia="Times New Roman" w:hAnsi="Times New Roman" w:cs="Times New Roman"/>
          <w:sz w:val="20"/>
        </w:rPr>
        <w:t>30</w:t>
      </w:r>
      <w:r>
        <w:rPr>
          <w:rFonts w:ascii="Times New Roman" w:eastAsia="Times New Roman" w:hAnsi="Times New Roman" w:cs="Times New Roman"/>
          <w:sz w:val="20"/>
        </w:rPr>
        <w:t xml:space="preserve"> days from the invoice date. The agreement typically provides for either a non-refundable deposit, or a cancellation fee if the agreement is canceled by the customer prior to completion of services. Billings in advance of completed services are recorded as a contract liability until earned. The Company assesses collectibility based on a number of factors, including the creditworthiness of the customer and payment and transaction history. The allocation of the transaction price to the performance obligations in the contract is based on a cost-plus methodology. </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ab/>
      </w:r>
      <w:r>
        <w:rPr>
          <w:rFonts w:ascii="Times New Roman" w:eastAsia="Times New Roman" w:hAnsi="Times New Roman" w:cs="Times New Roman"/>
          <w:b/>
          <w:i/>
          <w:sz w:val="20"/>
        </w:rPr>
        <w:t>Managed Services Revenue</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For Managed Services Revenue, the Company enters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Marketers typically purchase influencer marketing services for the purpose of providing public awareness or advertising buzz regarding the marketer’s brand and they purchase custom content for internal and external use. The Company may provide one type or a combination of all types of these performance obligations on a statement of work for a lump sum fee. The Company allocates revenue to each performance obligation in the contract at inception based on its relative standalone selling price. These performance obligations are to be provided over a stated period that generally ranges from one day to one year. Revenue is accounted for when the performance obligation has been satisfied depending on the type of service provided. The Company views its obligation to deliver influencer marketing services, including management services, as a single performance obligation that is satisfied over time as the customer receives the benefits from the services. Revenue is recognized using an input method of costs incurred compared to total expected costs to measure the progress towards satisfying the overall performance obligation of the marketing campaign. The delivery of custom content represents a distinct performance obligation that is satisfied over time as the Company has no alternative for the custom content and the Company has an enforceable right to payment for performance completed to date under the contracts. The Company considers custom content to be a series of distinct services that are substantially the same and that have the same pattern of transfer to the customer, and revenue is recognized over time using an output method based on when each individual piece of content is delivered to the customer. Based on the Company’s evaluations, revenue from Managed Services is reported on a gross basis because the Company has the primary obligation to fulfill the performance obligations and it creates, reviews and controls the services. The Company takes on the risk of payment to any third-party creators and it establishes the contract price directly with its customers based on the services requested in the statement of work.</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Marketplace Spend Fees and Legacy Workflow Fees Revenue</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For Marketplace Spend Fees and Legacy Workflow Fees Revenue, the self-service customer instructs creators found through the Company’s platforms to provide and/or distribute custom content for an agreed upon transaction price. The Company’s platforms control the contracting, description of services, acceptance of and payment for the requested content. This service is used primarily by news agencies or marketers to control the outsourcing of their content and advertising needs. The Company charges the self-service customer the transaction price plus a fee based on the contract. Revenue is recognized when the transaction is completed by the creator and accepted by the marketer or verified as posted by the system. Based on the Company’s evaluations, this revenue is reported on a net basis since the Company is acting as an agent solely arranging for the third-party creator or influencer to provide the services directly to the self-service customer through the platform or by posting the requested content.</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License Fees Revenue</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License Fees Revenue is generated through the granting of limited, non-exclusive, non-transferable licenses to customers for the use of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until </w:t>
      </w:r>
      <w:r>
        <w:rPr>
          <w:rFonts w:ascii="Times New Roman" w:eastAsia="Times New Roman" w:hAnsi="Times New Roman" w:cs="Times New Roman"/>
          <w:sz w:val="20"/>
        </w:rPr>
        <w:t>February</w:t>
      </w:r>
      <w:r>
        <w:rPr>
          <w:rFonts w:ascii="Times New Roman" w:eastAsia="Times New Roman" w:hAnsi="Times New Roman" w:cs="Times New Roman"/>
          <w:sz w:val="20"/>
        </w:rPr>
        <w:t xml:space="preserve"> 2020,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Other </w:t>
      </w:r>
      <w:r>
        <w:rPr>
          <w:rFonts w:ascii="Times New Roman" w:eastAsia="Times New Roman" w:hAnsi="Times New Roman" w:cs="Times New Roman"/>
          <w:b/>
          <w:i/>
          <w:sz w:val="20"/>
        </w:rPr>
        <w:t xml:space="preserve">Fees </w:t>
      </w: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Other </w:t>
      </w:r>
      <w:r>
        <w:rPr>
          <w:rFonts w:ascii="Times New Roman" w:eastAsia="Times New Roman" w:hAnsi="Times New Roman" w:cs="Times New Roman"/>
          <w:sz w:val="20"/>
        </w:rPr>
        <w:t xml:space="preserve">Fees </w:t>
      </w:r>
      <w:r>
        <w:rPr>
          <w:rFonts w:ascii="Times New Roman" w:eastAsia="Times New Roman" w:hAnsi="Times New Roman" w:cs="Times New Roman"/>
          <w:sz w:val="20"/>
        </w:rPr>
        <w:t xml:space="preserve">Revenue is generated when fees are charged to </w:t>
      </w:r>
      <w:r>
        <w:rPr>
          <w:rFonts w:ascii="Times New Roman" w:eastAsia="Times New Roman" w:hAnsi="Times New Roman" w:cs="Times New Roman"/>
          <w:sz w:val="20"/>
        </w:rPr>
        <w:t>the Comp</w:t>
      </w:r>
      <w:r>
        <w:rPr>
          <w:rFonts w:ascii="Times New Roman" w:eastAsia="Times New Roman" w:hAnsi="Times New Roman" w:cs="Times New Roman"/>
          <w:sz w:val="20"/>
        </w:rPr>
        <w:t>any</w:t>
      </w:r>
      <w:r>
        <w:rPr>
          <w:rFonts w:ascii="Times New Roman" w:eastAsia="Times New Roman" w:hAnsi="Times New Roman" w:cs="Times New Roman"/>
          <w:sz w:val="20"/>
        </w:rPr>
        <w:t>’</w:t>
      </w:r>
      <w:r>
        <w:rPr>
          <w:rFonts w:ascii="Times New Roman" w:eastAsia="Times New Roman" w:hAnsi="Times New Roman" w:cs="Times New Roman"/>
          <w:sz w:val="20"/>
        </w:rPr>
        <w:t>s platform users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primarily related to monthly plan fees, inactivity fees, and early cash-out fees. Plan fees are recognized within the month they relate to, inactivity fees are recognized at a point in time when the account is deemed inactive, and early cash-out fees are recognized when a cash-out </w:t>
      </w:r>
      <w:r>
        <w:rPr>
          <w:rFonts w:ascii="Times New Roman" w:eastAsia="Times New Roman" w:hAnsi="Times New Roman" w:cs="Times New Roman"/>
          <w:sz w:val="20"/>
        </w:rPr>
        <w:t xml:space="preserve">is </w:t>
      </w:r>
      <w:r>
        <w:rPr>
          <w:rFonts w:ascii="Times New Roman" w:eastAsia="Times New Roman" w:hAnsi="Times New Roman" w:cs="Times New Roman"/>
          <w:sz w:val="20"/>
        </w:rPr>
        <w:t xml:space="preserve">either below certain minimum thresholds or </w:t>
      </w:r>
      <w:r>
        <w:rPr>
          <w:rFonts w:ascii="Times New Roman" w:eastAsia="Times New Roman" w:hAnsi="Times New Roman" w:cs="Times New Roman"/>
          <w:sz w:val="20"/>
        </w:rPr>
        <w:t>when</w:t>
      </w:r>
      <w:r>
        <w:rPr>
          <w:rFonts w:ascii="Times New Roman" w:eastAsia="Times New Roman" w:hAnsi="Times New Roman" w:cs="Times New Roman"/>
          <w:sz w:val="20"/>
        </w:rPr>
        <w:t xml:space="preserve"> accelerated </w:t>
      </w:r>
      <w:r>
        <w:rPr>
          <w:rFonts w:ascii="Times New Roman" w:eastAsia="Times New Roman" w:hAnsi="Times New Roman" w:cs="Times New Roman"/>
          <w:sz w:val="20"/>
        </w:rPr>
        <w:t xml:space="preserve">payout </w:t>
      </w:r>
      <w:r>
        <w:rPr>
          <w:rFonts w:ascii="Times New Roman" w:eastAsia="Times New Roman" w:hAnsi="Times New Roman" w:cs="Times New Roman"/>
          <w:sz w:val="20"/>
        </w:rPr>
        <w:t xml:space="preserve">timing is requested. </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does not typically engage in contracts that are longer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Therefore, the Company does not capitalize costs to obtain its customer contracts as these amounts generally would be recognized over a period of less than one year and are not material.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Advertising Costs</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Advertising costs are charged to expense as they are incurred, including payments to content creators to promote the Company. </w:t>
      </w:r>
      <w:r>
        <w:rPr>
          <w:rFonts w:ascii="Times New Roman" w:eastAsia="Times New Roman" w:hAnsi="Times New Roman" w:cs="Times New Roman"/>
          <w:sz w:val="20"/>
        </w:rPr>
        <w:t xml:space="preserve">Advertising costs charged to operations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were approximately </w:t>
      </w:r>
      <w:r>
        <w:rPr>
          <w:rFonts w:ascii="Times New Roman" w:eastAsia="Times New Roman" w:hAnsi="Times New Roman" w:cs="Times New Roman"/>
          <w:sz w:val="20"/>
        </w:rPr>
        <w:t>$79,000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$149,000</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Advertising costs charged to operations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were approximately </w:t>
      </w:r>
      <w:r>
        <w:rPr>
          <w:rFonts w:ascii="Times New Roman" w:eastAsia="Times New Roman" w:hAnsi="Times New Roman" w:cs="Times New Roman"/>
          <w:sz w:val="20"/>
        </w:rPr>
        <w:t>$246,000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$227,000</w:t>
      </w:r>
      <w:r>
        <w:rPr>
          <w:rFonts w:ascii="Times New Roman" w:eastAsia="Times New Roman" w:hAnsi="Times New Roman" w:cs="Times New Roman"/>
          <w:sz w:val="20"/>
        </w:rPr>
        <w:t xml:space="preserve">, respectively. Advertising costs are included in sales and marketing expense in the accompanying consolidated statements of operations.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Income Taxes</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Company has not recorded federal income tax expense due to </w:t>
      </w:r>
      <w:r>
        <w:rPr>
          <w:rFonts w:ascii="Times New Roman" w:eastAsia="Times New Roman" w:hAnsi="Times New Roman" w:cs="Times New Roman"/>
          <w:sz w:val="20"/>
        </w:rPr>
        <w:t>its hi</w:t>
      </w:r>
      <w:r>
        <w:rPr>
          <w:rFonts w:ascii="Times New Roman" w:eastAsia="Times New Roman" w:hAnsi="Times New Roman" w:cs="Times New Roman"/>
          <w:sz w:val="20"/>
        </w:rPr>
        <w:t>story</w:t>
      </w:r>
      <w:r>
        <w:rPr>
          <w:rFonts w:ascii="Times New Roman" w:eastAsia="Times New Roman" w:hAnsi="Times New Roman" w:cs="Times New Roman"/>
          <w:sz w:val="20"/>
        </w:rPr>
        <w:t xml:space="preserve"> of net operating losses. Deferred income taxes are accounted for using the balance sheet approach, which requires recognition of deferred tax assets and liabilities for the expected future consequences of temporary differences between the financial reporting basis and the tax basis of assets and liabilities. A valuation allowance is provided when it is more likely than not that a deferred tax asset will not be realized. The Company incurs minimal state franchise tax in four states, which is included in general and administrative expense in the consolidated statements of operations.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The Company identifies and evaluates uncertain tax positions, if any, and recognizes the impact of uncertain tax positions for which there is a less than more-likely-than-not probability of the position being upheld when reviewed by the relevant taxing authority. Such positions are deemed to be unrecognized tax benefits and a corresponding liability is established on the balance sheet. The Company has not recognized a liability for uncertain tax positions. If there were an unrecognized tax benefit, the Company would recognize interest accrued related to unrecognized tax benefits in interest expense and penalties in operating expenses. The Company’s tax years subject to examination by the Internal Revenue Service are 2016 through 2019.</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On March 27, 2020, President Trump signed into law the CARES Act. The CARES Act, among other things, includes provisions relating to refundable payroll tax credits, deferment of employer side social security payments, net operating loss carryback periods, alternative minimum tax credit refunds, modifications to the net interest deduction limitations, increased limitations on qualified charitable contributions, and technical corrections to tax depreciation methods for qualified improvement property. It also appropriated funds for the </w:t>
      </w:r>
      <w:r>
        <w:rPr>
          <w:rFonts w:ascii="Times New Roman" w:eastAsia="Times New Roman" w:hAnsi="Times New Roman" w:cs="Times New Roman"/>
          <w:sz w:val="20"/>
        </w:rPr>
        <w:t>PPP</w:t>
      </w:r>
      <w:r>
        <w:rPr>
          <w:rFonts w:ascii="Times New Roman" w:eastAsia="Times New Roman" w:hAnsi="Times New Roman" w:cs="Times New Roman"/>
          <w:sz w:val="20"/>
        </w:rPr>
        <w:t xml:space="preserve"> loans that are forgivable in certain situations to promote continued employment, as well as Economic Injury Disaster Loans to provide liquidity to small businesses harmed by COVID-19. </w:t>
      </w:r>
      <w:r>
        <w:rPr>
          <w:rFonts w:ascii="Times New Roman" w:eastAsia="Times New Roman" w:hAnsi="Times New Roman" w:cs="Times New Roman"/>
          <w:sz w:val="20"/>
        </w:rPr>
        <w:t>The Company has</w:t>
      </w:r>
      <w:r>
        <w:rPr>
          <w:rFonts w:ascii="Times New Roman" w:eastAsia="Times New Roman" w:hAnsi="Times New Roman" w:cs="Times New Roman"/>
          <w:sz w:val="20"/>
        </w:rPr>
        <w:t xml:space="preserve"> not yet </w:t>
      </w:r>
      <w:r>
        <w:rPr>
          <w:rFonts w:ascii="Times New Roman" w:eastAsia="Times New Roman" w:hAnsi="Times New Roman" w:cs="Times New Roman"/>
          <w:sz w:val="20"/>
        </w:rPr>
        <w:t xml:space="preserve">deferred any payroll taxes or </w:t>
      </w:r>
      <w:r>
        <w:rPr>
          <w:rFonts w:ascii="Times New Roman" w:eastAsia="Times New Roman" w:hAnsi="Times New Roman" w:cs="Times New Roman"/>
          <w:sz w:val="20"/>
        </w:rPr>
        <w:t>claimed any othe</w:t>
      </w:r>
      <w:r>
        <w:rPr>
          <w:rFonts w:ascii="Times New Roman" w:eastAsia="Times New Roman" w:hAnsi="Times New Roman" w:cs="Times New Roman"/>
          <w:sz w:val="20"/>
        </w:rPr>
        <w:t>r tax benefits</w:t>
      </w:r>
      <w:r>
        <w:rPr>
          <w:rFonts w:ascii="Times New Roman" w:eastAsia="Times New Roman" w:hAnsi="Times New Roman" w:cs="Times New Roman"/>
          <w:sz w:val="20"/>
        </w:rPr>
        <w:t xml:space="preserve"> </w:t>
      </w:r>
      <w:r>
        <w:rPr>
          <w:rFonts w:ascii="Times New Roman" w:eastAsia="Times New Roman" w:hAnsi="Times New Roman" w:cs="Times New Roman"/>
          <w:sz w:val="20"/>
        </w:rPr>
        <w:t>provided by</w:t>
      </w:r>
      <w:r>
        <w:rPr>
          <w:rFonts w:ascii="Times New Roman" w:eastAsia="Times New Roman" w:hAnsi="Times New Roman" w:cs="Times New Roman"/>
          <w:sz w:val="20"/>
        </w:rPr>
        <w:t xml:space="preserve"> the CARES Act</w:t>
      </w:r>
      <w:r>
        <w:rPr>
          <w:rFonts w:ascii="Times New Roman" w:eastAsia="Times New Roman" w:hAnsi="Times New Roman" w:cs="Times New Roman"/>
          <w:sz w:val="20"/>
        </w:rPr>
        <w:t xml:space="preserve">, but </w:t>
      </w:r>
      <w:r>
        <w:rPr>
          <w:rFonts w:ascii="Times New Roman" w:eastAsia="Times New Roman" w:hAnsi="Times New Roman" w:cs="Times New Roman"/>
          <w:sz w:val="20"/>
        </w:rPr>
        <w:t>it is</w:t>
      </w:r>
      <w:r>
        <w:rPr>
          <w:rFonts w:ascii="Times New Roman" w:eastAsia="Times New Roman" w:hAnsi="Times New Roman" w:cs="Times New Roman"/>
          <w:sz w:val="20"/>
        </w:rPr>
        <w:t xml:space="preserve"> currently examining</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any </w:t>
      </w:r>
      <w:r>
        <w:rPr>
          <w:rFonts w:ascii="Times New Roman" w:eastAsia="Times New Roman" w:hAnsi="Times New Roman" w:cs="Times New Roman"/>
          <w:sz w:val="20"/>
        </w:rPr>
        <w:t>changes</w:t>
      </w:r>
      <w:r>
        <w:rPr>
          <w:rFonts w:ascii="Times New Roman" w:eastAsia="Times New Roman" w:hAnsi="Times New Roman" w:cs="Times New Roman"/>
          <w:sz w:val="20"/>
        </w:rPr>
        <w:t xml:space="preserve"> in </w:t>
      </w:r>
      <w:r>
        <w:rPr>
          <w:rFonts w:ascii="Times New Roman" w:eastAsia="Times New Roman" w:hAnsi="Times New Roman" w:cs="Times New Roman"/>
          <w:sz w:val="20"/>
        </w:rPr>
        <w:t xml:space="preserve">final </w:t>
      </w:r>
      <w:r>
        <w:rPr>
          <w:rFonts w:ascii="Times New Roman" w:eastAsia="Times New Roman" w:hAnsi="Times New Roman" w:cs="Times New Roman"/>
          <w:sz w:val="20"/>
        </w:rPr>
        <w:t>regulations</w:t>
      </w:r>
      <w:r>
        <w:rPr>
          <w:rFonts w:ascii="Times New Roman" w:eastAsia="Times New Roman" w:hAnsi="Times New Roman" w:cs="Times New Roman"/>
          <w:sz w:val="20"/>
        </w:rPr>
        <w:t xml:space="preserve"> to determine </w:t>
      </w:r>
      <w:r>
        <w:rPr>
          <w:rFonts w:ascii="Times New Roman" w:eastAsia="Times New Roman" w:hAnsi="Times New Roman" w:cs="Times New Roman"/>
          <w:sz w:val="20"/>
        </w:rPr>
        <w:t>if there will be any</w:t>
      </w:r>
      <w:r>
        <w:rPr>
          <w:rFonts w:ascii="Times New Roman" w:eastAsia="Times New Roman" w:hAnsi="Times New Roman" w:cs="Times New Roman"/>
          <w:sz w:val="20"/>
        </w:rPr>
        <w:t xml:space="preserve"> impact</w:t>
      </w:r>
      <w:r>
        <w:rPr>
          <w:rFonts w:ascii="Times New Roman" w:eastAsia="Times New Roman" w:hAnsi="Times New Roman" w:cs="Times New Roman"/>
          <w:sz w:val="20"/>
        </w:rPr>
        <w:t xml:space="preserve"> on </w:t>
      </w:r>
      <w:r>
        <w:rPr>
          <w:rFonts w:ascii="Times New Roman" w:eastAsia="Times New Roman" w:hAnsi="Times New Roman" w:cs="Times New Roman"/>
          <w:sz w:val="20"/>
        </w:rPr>
        <w:t>its</w:t>
      </w:r>
      <w:r>
        <w:rPr>
          <w:rFonts w:ascii="Times New Roman" w:eastAsia="Times New Roman" w:hAnsi="Times New Roman" w:cs="Times New Roman"/>
          <w:sz w:val="20"/>
        </w:rPr>
        <w:t xml:space="preserve"> business and tax positions.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Fair Value of Financial Instruments</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The Company’s financial instruments are recorded at fair value. Fair value is defined as the exchange price that would be received for an asset or paid to transfer a liability (an exit price) in the principal or most advantageous market for the asset or liability in an orderly transaction between market participants on the measurement date. The valuation techniques are based on observable and unobservable inputs. Observable inputs reflect readily obtainable data from independent sources, while unobservable inputs reflect certain market assumptions. There are three levels of inputs that may be used to measure fair value:</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4"/>
        </w:numPr>
        <w:spacing w:before="0" w:after="180" w:line="24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1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quoted market prices in active markets for identical assets and liabilities.</w:t>
      </w:r>
    </w:p>
    <w:p>
      <w:pPr>
        <w:keepNext w:val="0"/>
        <w:keepLines w:val="0"/>
        <w:pageBreakBefore w:val="0"/>
        <w:widowControl/>
        <w:numPr>
          <w:ilvl w:val="0"/>
          <w:numId w:val="4"/>
        </w:numPr>
        <w:spacing w:before="0" w:after="180" w:line="24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2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quoted market prices for similar assets and liabilities in active markets.</w:t>
      </w:r>
    </w:p>
    <w:p>
      <w:pPr>
        <w:keepNext w:val="0"/>
        <w:keepLines w:val="0"/>
        <w:pageBreakBefore w:val="0"/>
        <w:widowControl/>
        <w:numPr>
          <w:ilvl w:val="0"/>
          <w:numId w:val="4"/>
        </w:numPr>
        <w:spacing w:before="0" w:after="180" w:line="248" w:lineRule="auto"/>
        <w:ind w:left="72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Level 3 </w:t>
      </w:r>
      <w:r>
        <w:rPr>
          <w:rFonts w:ascii="Times New Roman" w:eastAsia="Times New Roman" w:hAnsi="Times New Roman" w:cs="Times New Roman"/>
          <w:i/>
          <w:sz w:val="20"/>
        </w:rPr>
        <w:t>–</w:t>
      </w:r>
      <w:r>
        <w:rPr>
          <w:rFonts w:ascii="Times New Roman" w:eastAsia="Times New Roman" w:hAnsi="Times New Roman" w:cs="Times New Roman"/>
          <w:sz w:val="20"/>
        </w:rPr>
        <w:t xml:space="preserve"> Valuation based on unobservable inputs that are supported by little or no market activity, therefore requiring management’s best estimate of what market participants would use as fair value.</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Fair value estimates discussed herein are based upon certain market assumptions and pertinent information available to management. The Company does not have any Level 1 or 2 financial assets or liabilities. The Company’s Level 3 financial liabilities measured at fair value included its right-of-use liability as of </w:t>
      </w:r>
      <w:r>
        <w:rPr>
          <w:rFonts w:ascii="Times New Roman" w:eastAsia="Times New Roman" w:hAnsi="Times New Roman" w:cs="Times New Roman"/>
          <w:sz w:val="20"/>
        </w:rPr>
        <w:t>December 31, 2019</w:t>
      </w:r>
      <w:r>
        <w:rPr>
          <w:rFonts w:ascii="Times New Roman" w:eastAsia="Times New Roman" w:hAnsi="Times New Roman" w:cs="Times New Roman"/>
          <w:sz w:val="20"/>
        </w:rPr>
        <w:t>. The respective carrying values of certain on-balance-sheet financial instruments approximated their fair values due to the short-term nature of these instruments. These financial instruments include cash and cash equivalents, accounts receivable, accounts payable, contract liabilities, and accrued expenses. Unless otherwise disclosed, the fair values of the Company’s long-term debt obligations approximate their carrying value based upon current rates available to the Company.</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Stock-Based Compensation</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Stock-based compensation cost related to stock options granted under the 2011 Equity Incentive Plan and the 2011 B Equity Incentive Plan (together, the “2011 Equity Incentive Plans”) (see Note </w:t>
      </w:r>
      <w:r>
        <w:rPr>
          <w:rFonts w:ascii="Times New Roman" w:eastAsia="Times New Roman" w:hAnsi="Times New Roman" w:cs="Times New Roman"/>
          <w:sz w:val="20"/>
        </w:rPr>
        <w:t>8</w:t>
      </w:r>
      <w:r>
        <w:rPr>
          <w:rFonts w:ascii="Times New Roman" w:eastAsia="Times New Roman" w:hAnsi="Times New Roman" w:cs="Times New Roman"/>
          <w:sz w:val="20"/>
        </w:rPr>
        <w:t xml:space="preserve">) is measured at the grant date, based on the fair value of the award, and is recognized as expense over the employee’s requisite service period on a straight-line basis. The Company estimates the fair value of each option award on the date of grant using a Black-Scholes option-pricing model that uses the assumptions noted in the table below. </w:t>
      </w:r>
      <w:r>
        <w:rPr>
          <w:rFonts w:ascii="Times New Roman" w:eastAsia="Times New Roman" w:hAnsi="Times New Roman" w:cs="Times New Roman"/>
          <w:sz w:val="20"/>
        </w:rPr>
        <w:t>T</w:t>
      </w:r>
      <w:r>
        <w:rPr>
          <w:rFonts w:ascii="Times New Roman" w:eastAsia="Times New Roman" w:hAnsi="Times New Roman" w:cs="Times New Roman"/>
          <w:sz w:val="20"/>
        </w:rPr>
        <w:t>he Company uses the closing stock price of its common stock on the date of the grant as the associated fair value of its common stock. </w:t>
      </w:r>
      <w:r>
        <w:rPr>
          <w:rFonts w:ascii="Times New Roman" w:eastAsia="Times New Roman" w:hAnsi="Times New Roman" w:cs="Times New Roman"/>
          <w:sz w:val="20"/>
        </w:rPr>
        <w:t>For issuances a</w:t>
      </w:r>
      <w:r>
        <w:rPr>
          <w:rFonts w:ascii="Times New Roman" w:eastAsia="Times New Roman" w:hAnsi="Times New Roman" w:cs="Times New Roman"/>
          <w:sz w:val="20"/>
        </w:rPr>
        <w:t xml:space="preserve">fter June 2019, </w:t>
      </w:r>
      <w:r>
        <w:rPr>
          <w:rFonts w:ascii="Times New Roman" w:eastAsia="Times New Roman" w:hAnsi="Times New Roman" w:cs="Times New Roman"/>
          <w:sz w:val="20"/>
        </w:rPr>
        <w:t>t</w:t>
      </w:r>
      <w:r>
        <w:rPr>
          <w:rFonts w:ascii="Times New Roman" w:eastAsia="Times New Roman" w:hAnsi="Times New Roman" w:cs="Times New Roman"/>
          <w:sz w:val="20"/>
        </w:rPr>
        <w:t xml:space="preserve">he Company estimates the volatility of its common stock at the date of grant based on the volatility </w:t>
      </w:r>
      <w:r>
        <w:rPr>
          <w:rFonts w:ascii="Times New Roman" w:eastAsia="Times New Roman" w:hAnsi="Times New Roman" w:cs="Times New Roman"/>
          <w:sz w:val="20"/>
        </w:rPr>
        <w:t>of its stock during t</w:t>
      </w:r>
      <w:r>
        <w:rPr>
          <w:rFonts w:ascii="Times New Roman" w:eastAsia="Times New Roman" w:hAnsi="Times New Roman" w:cs="Times New Roman"/>
          <w:sz w:val="20"/>
        </w:rPr>
        <w:t>he period</w:t>
      </w:r>
      <w:r>
        <w:rPr>
          <w:rFonts w:ascii="Times New Roman" w:eastAsia="Times New Roman" w:hAnsi="Times New Roman" w:cs="Times New Roman"/>
          <w:sz w:val="20"/>
        </w:rPr>
        <w:t>.  For issuances prior to Ju</w:t>
      </w:r>
      <w:r>
        <w:rPr>
          <w:rFonts w:ascii="Times New Roman" w:eastAsia="Times New Roman" w:hAnsi="Times New Roman" w:cs="Times New Roman"/>
          <w:sz w:val="20"/>
        </w:rPr>
        <w:t xml:space="preserve">ne 30, 2019, </w:t>
      </w:r>
      <w:r>
        <w:rPr>
          <w:rFonts w:ascii="Times New Roman" w:eastAsia="Times New Roman" w:hAnsi="Times New Roman" w:cs="Times New Roman"/>
          <w:sz w:val="20"/>
        </w:rPr>
        <w:t>the Company estimate</w:t>
      </w:r>
      <w:r>
        <w:rPr>
          <w:rFonts w:ascii="Times New Roman" w:eastAsia="Times New Roman" w:hAnsi="Times New Roman" w:cs="Times New Roman"/>
          <w:sz w:val="20"/>
        </w:rPr>
        <w:t>d</w:t>
      </w:r>
      <w:r>
        <w:rPr>
          <w:rFonts w:ascii="Times New Roman" w:eastAsia="Times New Roman" w:hAnsi="Times New Roman" w:cs="Times New Roman"/>
          <w:sz w:val="20"/>
        </w:rPr>
        <w:t xml:space="preserve"> the volatility of its common stock at the date of grant</w:t>
      </w:r>
      <w:r>
        <w:rPr>
          <w:rFonts w:ascii="Times New Roman" w:eastAsia="Times New Roman" w:hAnsi="Times New Roman" w:cs="Times New Roman"/>
          <w:sz w:val="20"/>
        </w:rPr>
        <w:t xml:space="preserve"> based</w:t>
      </w:r>
      <w:r>
        <w:rPr>
          <w:rFonts w:ascii="Times New Roman" w:eastAsia="Times New Roman" w:hAnsi="Times New Roman" w:cs="Times New Roman"/>
          <w:sz w:val="20"/>
        </w:rPr>
        <w:t xml:space="preserve"> on </w:t>
      </w:r>
      <w:r>
        <w:rPr>
          <w:rFonts w:ascii="Times New Roman" w:eastAsia="Times New Roman" w:hAnsi="Times New Roman" w:cs="Times New Roman"/>
          <w:sz w:val="20"/>
        </w:rPr>
        <w:t xml:space="preserve">the volatility </w:t>
      </w:r>
      <w:r>
        <w:rPr>
          <w:rFonts w:ascii="Times New Roman" w:eastAsia="Times New Roman" w:hAnsi="Times New Roman" w:cs="Times New Roman"/>
          <w:sz w:val="20"/>
        </w:rPr>
        <w:t xml:space="preserve">of comparable peer companies that </w:t>
      </w:r>
      <w:r>
        <w:rPr>
          <w:rFonts w:ascii="Times New Roman" w:eastAsia="Times New Roman" w:hAnsi="Times New Roman" w:cs="Times New Roman"/>
          <w:sz w:val="20"/>
        </w:rPr>
        <w:t>were</w:t>
      </w:r>
      <w:r>
        <w:rPr>
          <w:rFonts w:ascii="Times New Roman" w:eastAsia="Times New Roman" w:hAnsi="Times New Roman" w:cs="Times New Roman"/>
          <w:sz w:val="20"/>
        </w:rPr>
        <w:t xml:space="preserve"> publicly traded and </w:t>
      </w:r>
      <w:r>
        <w:rPr>
          <w:rFonts w:ascii="Times New Roman" w:eastAsia="Times New Roman" w:hAnsi="Times New Roman" w:cs="Times New Roman"/>
          <w:sz w:val="20"/>
        </w:rPr>
        <w:t>had</w:t>
      </w:r>
      <w:r>
        <w:rPr>
          <w:rFonts w:ascii="Times New Roman" w:eastAsia="Times New Roman" w:hAnsi="Times New Roman" w:cs="Times New Roman"/>
          <w:sz w:val="20"/>
        </w:rPr>
        <w:t xml:space="preserve"> </w:t>
      </w:r>
      <w:r>
        <w:rPr>
          <w:rFonts w:ascii="Times New Roman" w:eastAsia="Times New Roman" w:hAnsi="Times New Roman" w:cs="Times New Roman"/>
          <w:sz w:val="20"/>
        </w:rPr>
        <w:t>a longer trading history than itself</w:t>
      </w:r>
      <w:r>
        <w:rPr>
          <w:rFonts w:ascii="Times New Roman" w:eastAsia="Times New Roman" w:hAnsi="Times New Roman" w:cs="Times New Roman"/>
          <w:sz w:val="20"/>
        </w:rPr>
        <w:t>.</w:t>
      </w:r>
      <w:r>
        <w:rPr>
          <w:rFonts w:ascii="Times New Roman" w:eastAsia="Times New Roman" w:hAnsi="Times New Roman" w:cs="Times New Roman"/>
          <w:sz w:val="20"/>
        </w:rPr>
        <w:t xml:space="preserve"> The Company determines the expected life based on historical experience with similar awards, giving consideration to the contractual terms, vesting schedules and post-vesting forfeitures. The Company uses the risk-free interest rate on the implied yield currently available on U.S. Treasury issues with an equivalent remaining term approximately equal to the expected life of the award. The Company has never paid any cash dividends on its common stock and does not anticipate paying any cash dividends in the foreseeable future.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Company used the following assumptions for stock options granted under the 2011 Equity Incentive Plans during the </w:t>
      </w:r>
      <w:r>
        <w:rPr>
          <w:rFonts w:ascii="Times New Roman" w:eastAsia="Times New Roman" w:hAnsi="Times New Roman" w:cs="Times New Roman"/>
          <w:sz w:val="20"/>
        </w:rPr>
        <w:t>three and 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tbl>
      <w:tblPr>
        <w:tblW w:w="102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35"/>
        <w:gridCol w:w="1200"/>
        <w:gridCol w:w="75"/>
        <w:gridCol w:w="1200"/>
        <w:gridCol w:w="75"/>
        <w:gridCol w:w="1200"/>
        <w:gridCol w:w="75"/>
        <w:gridCol w:w="1200"/>
      </w:tblGrid>
      <w:tr>
        <w:tblPrEx>
          <w:tblW w:w="102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40"/>
          <w:jc w:val="center"/>
        </w:trPr>
        <w:tc>
          <w:tcPr>
            <w:tcW w:w="52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47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Six Months Ended</w:t>
            </w:r>
          </w:p>
        </w:tc>
      </w:tr>
      <w:tr>
        <w:tblPrEx>
          <w:tblW w:w="10260" w:type="dxa"/>
          <w:jc w:val="center"/>
          <w:tblInd w:w="0" w:type="dxa"/>
          <w:tblCellMar>
            <w:left w:w="108" w:type="dxa"/>
            <w:right w:w="108" w:type="dxa"/>
          </w:tblCellMar>
        </w:tblPrEx>
        <w:trPr>
          <w:cantSplit/>
          <w:trHeight w:hRule="exact" w:val="495"/>
          <w:jc w:val="center"/>
        </w:trPr>
        <w:tc>
          <w:tcPr>
            <w:tcW w:w="523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i/>
                <w:color w:val="000000"/>
                <w:sz w:val="20"/>
              </w:rPr>
              <w:t>2011 Equity Incentive Plans Assumptions</w:t>
            </w:r>
          </w:p>
        </w:tc>
        <w:tc>
          <w:tcPr>
            <w:tcW w:w="120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tcMar>
              <w:top w:w="0" w:type="dxa"/>
              <w:left w:w="53" w:type="dxa"/>
              <w:bottom w:w="0" w:type="dxa"/>
              <w:right w:w="53" w:type="dxa"/>
            </w:tcMar>
            <w:vAlign w:val="top"/>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r>
      <w:tr>
        <w:tblPrEx>
          <w:tblW w:w="10260" w:type="dxa"/>
          <w:jc w:val="center"/>
          <w:tblInd w:w="0" w:type="dxa"/>
          <w:tblCellMar>
            <w:left w:w="108" w:type="dxa"/>
            <w:right w:w="108" w:type="dxa"/>
          </w:tblCellMar>
        </w:tblPrEx>
        <w:trPr>
          <w:cantSplit/>
          <w:trHeight w:hRule="exact" w:val="300"/>
          <w:jc w:val="center"/>
        </w:trPr>
        <w:tc>
          <w:tcPr>
            <w:tcW w:w="52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Expected term</w:t>
            </w: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6 years</w:t>
            </w:r>
          </w:p>
        </w:tc>
      </w:tr>
      <w:tr>
        <w:tblPrEx>
          <w:tblW w:w="10260" w:type="dxa"/>
          <w:jc w:val="center"/>
          <w:tblInd w:w="0" w:type="dxa"/>
          <w:tblCellMar>
            <w:left w:w="108" w:type="dxa"/>
            <w:right w:w="108" w:type="dxa"/>
          </w:tblCellMar>
        </w:tblPrEx>
        <w:trPr>
          <w:cantSplit/>
          <w:trHeight w:hRule="exact" w:val="300"/>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Weighted average volatility</w:t>
            </w: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101.38%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61.85%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101.40%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62.01%</w:t>
            </w:r>
          </w:p>
        </w:tc>
      </w:tr>
      <w:tr>
        <w:tblPrEx>
          <w:tblW w:w="10260" w:type="dxa"/>
          <w:jc w:val="center"/>
          <w:tblInd w:w="0" w:type="dxa"/>
          <w:tblCellMar>
            <w:left w:w="108" w:type="dxa"/>
            <w:right w:w="108" w:type="dxa"/>
          </w:tblCellMar>
        </w:tblPrEx>
        <w:trPr>
          <w:cantSplit/>
          <w:trHeight w:hRule="exact" w:val="300"/>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Weighted average risk-free interest rate</w:t>
            </w: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0.44%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2.38%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0.49%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2.39%</w:t>
            </w:r>
          </w:p>
        </w:tc>
      </w:tr>
      <w:tr>
        <w:tblPrEx>
          <w:tblW w:w="10260" w:type="dxa"/>
          <w:jc w:val="center"/>
          <w:tblInd w:w="0" w:type="dxa"/>
          <w:tblCellMar>
            <w:left w:w="108" w:type="dxa"/>
            <w:right w:w="108" w:type="dxa"/>
          </w:tblCellMar>
        </w:tblPrEx>
        <w:trPr>
          <w:cantSplit/>
          <w:trHeight w:hRule="exact" w:val="300"/>
          <w:jc w:val="center"/>
        </w:trPr>
        <w:tc>
          <w:tcPr>
            <w:tcW w:w="52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Expected dividends</w:t>
            </w: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t>
            </w:r>
          </w:p>
        </w:tc>
      </w:tr>
      <w:tr>
        <w:tblPrEx>
          <w:tblW w:w="10260" w:type="dxa"/>
          <w:jc w:val="center"/>
          <w:tblInd w:w="0" w:type="dxa"/>
          <w:tblCellMar>
            <w:left w:w="108" w:type="dxa"/>
            <w:right w:w="108" w:type="dxa"/>
          </w:tblCellMar>
        </w:tblPrEx>
        <w:trPr>
          <w:cantSplit/>
          <w:trHeight w:hRule="exact" w:val="300"/>
          <w:jc w:val="center"/>
        </w:trPr>
        <w:tc>
          <w:tcPr>
            <w:tcW w:w="52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Weighted average expected forfeiture rate</w:t>
            </w: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8.21%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5.92%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8.50%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6.12%</w:t>
            </w:r>
          </w:p>
        </w:tc>
      </w:tr>
    </w:tbl>
    <w:p>
      <w:pPr>
        <w:keepNext w:val="0"/>
        <w:keepLines w:val="0"/>
        <w:pageBreakBefore w:val="0"/>
        <w:widowControl/>
        <w:numPr>
          <w:ilvl w:val="0"/>
          <w:numId w:val="0"/>
        </w:numPr>
        <w:spacing w:before="2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Company estimates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may issue shares of restricted stock or restricted stock units which vest over future periods. The value of shares is recorded as the fair value of the stock or units upon the issuance date and is expensed on a straight-line basis over the vesting period. See Note </w:t>
      </w:r>
      <w:r>
        <w:rPr>
          <w:rFonts w:ascii="Times New Roman" w:eastAsia="Times New Roman" w:hAnsi="Times New Roman" w:cs="Times New Roman"/>
          <w:sz w:val="20"/>
        </w:rPr>
        <w:t>8</w:t>
      </w:r>
      <w:r>
        <w:rPr>
          <w:rFonts w:ascii="Times New Roman" w:eastAsia="Times New Roman" w:hAnsi="Times New Roman" w:cs="Times New Roman"/>
          <w:sz w:val="20"/>
        </w:rPr>
        <w:t xml:space="preserve"> for additional information related to these shares.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Recently Issued Accounting Pronouncement</w:t>
      </w:r>
      <w:r>
        <w:rPr>
          <w:rFonts w:ascii="Times New Roman" w:eastAsia="Times New Roman" w:hAnsi="Times New Roman" w:cs="Times New Roman"/>
          <w:b/>
          <w:sz w:val="20"/>
          <w:u w:val="single"/>
        </w:rPr>
        <w:t>s</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Recently Adopted Accounting Pronouncements</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i/>
          <w:sz w:val="20"/>
          <w:u w:val="single"/>
        </w:rPr>
        <w:t>Fair Value Measurements:</w:t>
      </w:r>
      <w:r>
        <w:rPr>
          <w:rFonts w:ascii="Times New Roman" w:eastAsia="Times New Roman" w:hAnsi="Times New Roman" w:cs="Times New Roman"/>
          <w:sz w:val="20"/>
        </w:rPr>
        <w:t xml:space="preserve"> In August 2018, the Financial Accounting Standards Board (“FASB”) issued ASU No. 2018-13, </w:t>
      </w:r>
      <w:r>
        <w:rPr>
          <w:rFonts w:ascii="Times New Roman" w:eastAsia="Times New Roman" w:hAnsi="Times New Roman" w:cs="Times New Roman"/>
          <w:i/>
          <w:sz w:val="20"/>
        </w:rPr>
        <w:t xml:space="preserve">Fair Value Measurement (Topic 820): Disclosure Framework—Changes to the Disclosure Requirements for Fair Value Measurement </w:t>
      </w:r>
      <w:r>
        <w:rPr>
          <w:rFonts w:ascii="Times New Roman" w:eastAsia="Times New Roman" w:hAnsi="Times New Roman" w:cs="Times New Roman"/>
          <w:sz w:val="20"/>
        </w:rPr>
        <w:t>(“ASU 2018-13”)</w:t>
      </w:r>
      <w:r>
        <w:rPr>
          <w:rFonts w:ascii="Times New Roman" w:eastAsia="Times New Roman" w:hAnsi="Times New Roman" w:cs="Times New Roman"/>
          <w:i/>
          <w:sz w:val="20"/>
        </w:rPr>
        <w:t>.</w:t>
      </w:r>
      <w:r>
        <w:rPr>
          <w:rFonts w:ascii="Times New Roman" w:eastAsia="Times New Roman" w:hAnsi="Times New Roman" w:cs="Times New Roman"/>
          <w:sz w:val="20"/>
        </w:rPr>
        <w:t xml:space="preserve"> The new guidance amends the disclosure requirements for recurring and nonrecurring fair value measurements by removing, modifying, and adding certain disclosures on fair value measurements in ASC 820. The amendments on changes to the range and weighted average of significant unobservable in</w:t>
      </w:r>
      <w:r>
        <w:rPr>
          <w:rFonts w:ascii="Times New Roman" w:eastAsia="Times New Roman" w:hAnsi="Times New Roman" w:cs="Times New Roman"/>
          <w:sz w:val="20"/>
        </w:rPr>
        <w:t>puts used to develop Level 3 fair value measurements and the narrative description of measurement uncertainty should be applied prospectively for only the most recent interim or annual period presented in the initial fiscal year of adoption. All other amendments should be applied retrospectively to all periods presented upon their effective date. The Company fair valued its right-of-use liability outstanding at December 31, 2019 as a Level 3. The adoption of ASU 2018-13 on January 1, 2020 was not material to the Company’s consolidated financial statements.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i/>
          <w:sz w:val="20"/>
          <w:u w:val="single"/>
        </w:rPr>
        <w:t>Collaborative Arrangements</w:t>
      </w:r>
      <w:r>
        <w:rPr>
          <w:rFonts w:ascii="Times New Roman" w:eastAsia="Times New Roman" w:hAnsi="Times New Roman" w:cs="Times New Roman"/>
          <w:i/>
          <w:sz w:val="20"/>
        </w:rPr>
        <w:t>:</w:t>
      </w:r>
      <w:r>
        <w:rPr>
          <w:rFonts w:ascii="Times New Roman" w:eastAsia="Times New Roman" w:hAnsi="Times New Roman" w:cs="Times New Roman"/>
          <w:sz w:val="20"/>
        </w:rPr>
        <w:t xml:space="preserve"> In November 2018, the FASB issued ASU No. 2018-18, </w:t>
      </w:r>
      <w:r>
        <w:rPr>
          <w:rFonts w:ascii="Times New Roman" w:eastAsia="Times New Roman" w:hAnsi="Times New Roman" w:cs="Times New Roman"/>
          <w:i/>
          <w:sz w:val="20"/>
        </w:rPr>
        <w:t xml:space="preserve">Collaborative Arrangements (Topic 808): Clarifying the interaction between Topic 808 and Topic 606 </w:t>
      </w:r>
      <w:r>
        <w:rPr>
          <w:rFonts w:ascii="Times New Roman" w:eastAsia="Times New Roman" w:hAnsi="Times New Roman" w:cs="Times New Roman"/>
          <w:sz w:val="20"/>
        </w:rPr>
        <w:t xml:space="preserve">(“ASU 2018-18”). The guidance makes targeted improvements to GAAP for collaborative arrangements including: (i) clarifying that certain transactions between collaborative arrangement participants should be accounted for as revenue under ASC 606 when the collaborative arrangement participant is a customer in the context of a unit of account, (ii) adding unit-of-account guidance in ASC 808 to align with the guidance in ASC 606 (that is, a distinct good or service) when an entity is assessing whether the collaborative arrangement or a part of the arrangement is within the scope of ASC 606, and (iii) requiring that in a transaction with a collaborative arrangement participant that is not directly related to sales to third parties, presenting the transaction together with revenue recognized under ASC 606 is precluded if the collaborative arrangement participant is not a customer. The amendments in this update are effective for public entities for fiscal years beginning after December 15, 2019, and interim periods within those fiscal years. The amendments should be applied retrospectively to the date of initial application of ASC 606. An entity may elect to apply the practical expedient for contract modifications that is permitted for entities using the modified retrospective transition method in ASC 606. The Company adopted </w:t>
      </w:r>
      <w:r>
        <w:rPr>
          <w:rFonts w:ascii="Times New Roman" w:eastAsia="Times New Roman" w:hAnsi="Times New Roman" w:cs="Times New Roman"/>
          <w:sz w:val="20"/>
        </w:rPr>
        <w:t>ASU 2018-18 on January 1, 2020 and applied the amendments only to contracts that were not completed as of such date. The adoption of ASU 2018-18 was not material to the Company’s consolidated financial statements.</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Recently Issued Accounting Pronouncements Not Yet Adopted</w:t>
      </w:r>
    </w:p>
    <w:p>
      <w:pPr>
        <w:keepNext w:val="0"/>
        <w:keepLines w:val="0"/>
        <w:pageBreakBefore w:val="0"/>
        <w:widowControl/>
        <w:numPr>
          <w:ilvl w:val="0"/>
          <w:numId w:val="0"/>
        </w:numPr>
        <w:spacing w:before="120" w:after="0" w:line="248" w:lineRule="auto"/>
        <w:ind w:left="0" w:right="0" w:firstLine="720"/>
        <w:jc w:val="both"/>
        <w:outlineLvl w:val="9"/>
        <w:rPr>
          <w:rFonts w:ascii="Times New Roman" w:eastAsia="Times New Roman" w:hAnsi="Times New Roman" w:cs="Times New Roman"/>
          <w:i/>
          <w:sz w:val="20"/>
        </w:rPr>
      </w:pPr>
      <w:r>
        <w:rPr>
          <w:rFonts w:ascii="Times New Roman" w:eastAsia="Times New Roman" w:hAnsi="Times New Roman" w:cs="Times New Roman"/>
          <w:i/>
          <w:sz w:val="20"/>
          <w:u w:val="single"/>
        </w:rPr>
        <w:t>Credit Losses</w:t>
      </w:r>
      <w:r>
        <w:rPr>
          <w:rFonts w:ascii="Times New Roman" w:eastAsia="Times New Roman" w:hAnsi="Times New Roman" w:cs="Times New Roman"/>
          <w:i/>
          <w:sz w:val="20"/>
        </w:rPr>
        <w:t xml:space="preserve">: </w:t>
      </w:r>
      <w:r>
        <w:rPr>
          <w:rFonts w:ascii="Times New Roman" w:eastAsia="Times New Roman" w:hAnsi="Times New Roman" w:cs="Times New Roman"/>
          <w:sz w:val="20"/>
        </w:rPr>
        <w:t>In June 2016, the FASB issued ASU No. 2016-13, </w:t>
      </w:r>
      <w:r>
        <w:rPr>
          <w:rFonts w:ascii="Times New Roman" w:eastAsia="Times New Roman" w:hAnsi="Times New Roman" w:cs="Times New Roman"/>
          <w:i/>
          <w:sz w:val="20"/>
        </w:rPr>
        <w:t>Financial Instruments - Credit Losses (Topic 326): Measurement of Credit Losses on Financial Instruments</w:t>
      </w:r>
      <w:r>
        <w:rPr>
          <w:rFonts w:ascii="Times New Roman" w:eastAsia="Times New Roman" w:hAnsi="Times New Roman" w:cs="Times New Roman"/>
          <w:sz w:val="20"/>
        </w:rPr>
        <w:t> (“ASU 2016-13”). ASU 2016-13 replace</w:t>
      </w:r>
      <w:r>
        <w:rPr>
          <w:rFonts w:ascii="Times New Roman" w:eastAsia="Times New Roman" w:hAnsi="Times New Roman" w:cs="Times New Roman"/>
          <w:sz w:val="20"/>
        </w:rPr>
        <w:t>s</w:t>
      </w:r>
      <w:r>
        <w:rPr>
          <w:rFonts w:ascii="Times New Roman" w:eastAsia="Times New Roman" w:hAnsi="Times New Roman" w:cs="Times New Roman"/>
          <w:sz w:val="20"/>
        </w:rPr>
        <w:t xml:space="preserve"> the incurred loss impairment methodology under current GAAP with a methodology that reflects expected credit losses and requires a consideration of a broader range of reasonable and supportable information to inform credit loss estimates. ASU 2016-13 requires use of a forward-looking expected credit loss model for accounts receivables, loans, and other financial instruments. In May 2019, the FASB issued ASU 2019-05, which provides transition relief for entities adopting ASU 2016-13. For entities that have adopted ASU 2016-13, the amendments in ASU 2019-05 are effective for fiscal years beginning after December 15, 2019, including interim periods therein. An entity may early adopt the ASU in any interim period after its issuance if the entity has adopted ASU 2016-13. For all other entities, the effective date will be the same as the effective date of ASU 2016-13. ASU 2016-13 is effective for fiscal years beginning after December 15, 2022, including interim periods within those fiscal years. The Company is currently evaluating the expected impact of adopting ASU 2016-13 on its consolidated financial statements and disclosures.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i/>
          <w:sz w:val="20"/>
          <w:u w:val="single"/>
        </w:rPr>
        <w:t>Income Taxes:</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In December 2019, the FASB issued ASU </w:t>
      </w:r>
      <w:r>
        <w:rPr>
          <w:rFonts w:ascii="Times New Roman" w:eastAsia="Times New Roman" w:hAnsi="Times New Roman" w:cs="Times New Roman"/>
          <w:sz w:val="20"/>
        </w:rPr>
        <w:t xml:space="preserve">No. </w:t>
      </w:r>
      <w:r>
        <w:rPr>
          <w:rFonts w:ascii="Times New Roman" w:eastAsia="Times New Roman" w:hAnsi="Times New Roman" w:cs="Times New Roman"/>
          <w:sz w:val="20"/>
        </w:rPr>
        <w:t>2019-12, </w:t>
      </w:r>
      <w:r>
        <w:rPr>
          <w:rFonts w:ascii="Times New Roman" w:eastAsia="Times New Roman" w:hAnsi="Times New Roman" w:cs="Times New Roman"/>
          <w:i/>
          <w:sz w:val="20"/>
        </w:rPr>
        <w:t>Income Taxes (Topic 740): Simplifying the Accounting for Income Taxes</w:t>
      </w:r>
      <w:r>
        <w:rPr>
          <w:rFonts w:ascii="Times New Roman" w:eastAsia="Times New Roman" w:hAnsi="Times New Roman" w:cs="Times New Roman"/>
          <w:i/>
          <w:sz w:val="20"/>
        </w:rPr>
        <w:t xml:space="preserve"> </w:t>
      </w:r>
      <w:r>
        <w:rPr>
          <w:rFonts w:ascii="Times New Roman" w:eastAsia="Times New Roman" w:hAnsi="Times New Roman" w:cs="Times New Roman"/>
          <w:sz w:val="20"/>
        </w:rPr>
        <w:t>(“ASU 2019-12”</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 xml:space="preserve"> which is intended to simplify various aspects related to accounting for income taxes. ASU 2019-12 removes certain exceptions to the general principles in Topic 740 and also clarifies and amends existing guidance to improve consistent application. This guidance is effective for fiscal years, and interim periods within those fiscal years, beginning after December 15, 2020, with early adoption permitted. The Company is currently evaluating the impact on its consolidated financial statements and related disclosures.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i/>
          <w:sz w:val="20"/>
          <w:u w:val="single"/>
        </w:rPr>
        <w:t>I</w:t>
      </w:r>
      <w:r>
        <w:rPr>
          <w:rFonts w:ascii="Times New Roman" w:eastAsia="Times New Roman" w:hAnsi="Times New Roman" w:cs="Times New Roman"/>
          <w:i/>
          <w:sz w:val="20"/>
          <w:u w:val="single"/>
        </w:rPr>
        <w:t>nvestments - Equity Securities</w:t>
      </w:r>
      <w:r>
        <w:rPr>
          <w:rFonts w:ascii="Times New Roman" w:eastAsia="Times New Roman" w:hAnsi="Times New Roman" w:cs="Times New Roman"/>
          <w:i/>
          <w:sz w:val="20"/>
          <w:u w:val="single"/>
        </w:rPr>
        <w:t>:</w:t>
      </w:r>
      <w:r>
        <w:rPr>
          <w:rFonts w:ascii="Times New Roman" w:eastAsia="Times New Roman" w:hAnsi="Times New Roman" w:cs="Times New Roman"/>
          <w:sz w:val="20"/>
        </w:rPr>
        <w:t xml:space="preserve"> In </w:t>
      </w:r>
      <w:r>
        <w:rPr>
          <w:rFonts w:ascii="Times New Roman" w:eastAsia="Times New Roman" w:hAnsi="Times New Roman" w:cs="Times New Roman"/>
          <w:sz w:val="20"/>
        </w:rPr>
        <w:t>January</w:t>
      </w:r>
      <w:r>
        <w:rPr>
          <w:rFonts w:ascii="Times New Roman" w:eastAsia="Times New Roman" w:hAnsi="Times New Roman" w:cs="Times New Roman"/>
          <w:sz w:val="20"/>
        </w:rPr>
        <w:t xml:space="preserve"> 2020, the FASB issued ASU </w:t>
      </w:r>
      <w:r>
        <w:rPr>
          <w:rFonts w:ascii="Times New Roman" w:eastAsia="Times New Roman" w:hAnsi="Times New Roman" w:cs="Times New Roman"/>
          <w:sz w:val="20"/>
        </w:rPr>
        <w:t xml:space="preserve">No. </w:t>
      </w:r>
      <w:r>
        <w:rPr>
          <w:rFonts w:ascii="Times New Roman" w:eastAsia="Times New Roman" w:hAnsi="Times New Roman" w:cs="Times New Roman"/>
          <w:sz w:val="20"/>
        </w:rPr>
        <w:t>2020-0</w:t>
      </w:r>
      <w:r>
        <w:rPr>
          <w:rFonts w:ascii="Times New Roman" w:eastAsia="Times New Roman" w:hAnsi="Times New Roman" w:cs="Times New Roman"/>
          <w:sz w:val="20"/>
        </w:rPr>
        <w:t>1</w:t>
      </w:r>
      <w:r>
        <w:rPr>
          <w:rFonts w:ascii="Times New Roman" w:eastAsia="Times New Roman" w:hAnsi="Times New Roman" w:cs="Times New Roman"/>
          <w:sz w:val="20"/>
        </w:rPr>
        <w:t xml:space="preserve">, </w:t>
      </w:r>
      <w:r>
        <w:rPr>
          <w:rFonts w:ascii="Times New Roman" w:eastAsia="Times New Roman" w:hAnsi="Times New Roman" w:cs="Times New Roman"/>
          <w:i/>
          <w:sz w:val="20"/>
        </w:rPr>
        <w:t>Investments - Equity Sec</w:t>
      </w:r>
      <w:r>
        <w:rPr>
          <w:rFonts w:ascii="Times New Roman" w:eastAsia="Times New Roman" w:hAnsi="Times New Roman" w:cs="Times New Roman"/>
          <w:i/>
          <w:sz w:val="20"/>
        </w:rPr>
        <w:t>urities (Topic 321), Investments - Equity Method and Join</w:t>
      </w:r>
      <w:r>
        <w:rPr>
          <w:rFonts w:ascii="Times New Roman" w:eastAsia="Times New Roman" w:hAnsi="Times New Roman" w:cs="Times New Roman"/>
          <w:i/>
          <w:sz w:val="20"/>
        </w:rPr>
        <w:t>t Ventures (Topic 323)</w:t>
      </w:r>
      <w:r>
        <w:rPr>
          <w:rFonts w:ascii="Times New Roman" w:eastAsia="Times New Roman" w:hAnsi="Times New Roman" w:cs="Times New Roman"/>
          <w:i/>
          <w:sz w:val="20"/>
        </w:rPr>
        <w:t>, and D</w:t>
      </w:r>
      <w:r>
        <w:rPr>
          <w:rFonts w:ascii="Times New Roman" w:eastAsia="Times New Roman" w:hAnsi="Times New Roman" w:cs="Times New Roman"/>
          <w:i/>
          <w:sz w:val="20"/>
        </w:rPr>
        <w:t>erivatives and Hedging (Topic 815): Clarifying the Intera</w:t>
      </w:r>
      <w:r>
        <w:rPr>
          <w:rFonts w:ascii="Times New Roman" w:eastAsia="Times New Roman" w:hAnsi="Times New Roman" w:cs="Times New Roman"/>
          <w:i/>
          <w:sz w:val="20"/>
        </w:rPr>
        <w:t xml:space="preserve">ctions between Topic </w:t>
      </w:r>
      <w:r>
        <w:rPr>
          <w:rFonts w:ascii="Times New Roman" w:eastAsia="Times New Roman" w:hAnsi="Times New Roman" w:cs="Times New Roman"/>
          <w:i/>
          <w:sz w:val="20"/>
        </w:rPr>
        <w:t>321, 323 and Topic 815</w:t>
      </w:r>
      <w:r>
        <w:rPr>
          <w:rFonts w:ascii="Times New Roman" w:eastAsia="Times New Roman" w:hAnsi="Times New Roman" w:cs="Times New Roman"/>
          <w:i/>
          <w:sz w:val="20"/>
        </w:rPr>
        <w:t xml:space="preserve"> </w:t>
      </w:r>
      <w:r>
        <w:rPr>
          <w:rFonts w:ascii="Times New Roman" w:eastAsia="Times New Roman" w:hAnsi="Times New Roman" w:cs="Times New Roman"/>
          <w:sz w:val="20"/>
        </w:rPr>
        <w:t>(“ASU 20</w:t>
      </w:r>
      <w:r>
        <w:rPr>
          <w:rFonts w:ascii="Times New Roman" w:eastAsia="Times New Roman" w:hAnsi="Times New Roman" w:cs="Times New Roman"/>
          <w:sz w:val="20"/>
        </w:rPr>
        <w:t>20-01</w:t>
      </w:r>
      <w:r>
        <w:rPr>
          <w:rFonts w:ascii="Times New Roman" w:eastAsia="Times New Roman" w:hAnsi="Times New Roman" w:cs="Times New Roman"/>
          <w:sz w:val="20"/>
        </w:rPr>
        <w:t>”)</w:t>
      </w:r>
      <w:r>
        <w:rPr>
          <w:rFonts w:ascii="Times New Roman" w:eastAsia="Times New Roman" w:hAnsi="Times New Roman" w:cs="Times New Roman"/>
          <w:sz w:val="20"/>
        </w:rPr>
        <w:t xml:space="preserve"> to c</w:t>
      </w:r>
      <w:r>
        <w:rPr>
          <w:rFonts w:ascii="Times New Roman" w:eastAsia="Times New Roman" w:hAnsi="Times New Roman" w:cs="Times New Roman"/>
          <w:sz w:val="20"/>
        </w:rPr>
        <w:t>la</w:t>
      </w:r>
      <w:r>
        <w:rPr>
          <w:rFonts w:ascii="Times New Roman" w:eastAsia="Times New Roman" w:hAnsi="Times New Roman" w:cs="Times New Roman"/>
          <w:sz w:val="20"/>
        </w:rPr>
        <w:t>rify</w:t>
      </w:r>
      <w:r>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scope and</w:t>
      </w:r>
      <w:r>
        <w:rPr>
          <w:rFonts w:ascii="Times New Roman" w:eastAsia="Times New Roman" w:hAnsi="Times New Roman" w:cs="Times New Roman"/>
          <w:sz w:val="20"/>
        </w:rPr>
        <w:t xml:space="preserve"> interaction between these standards for </w:t>
      </w:r>
      <w:r>
        <w:rPr>
          <w:rFonts w:ascii="Times New Roman" w:eastAsia="Times New Roman" w:hAnsi="Times New Roman" w:cs="Times New Roman"/>
          <w:sz w:val="20"/>
        </w:rPr>
        <w:t>equity securities</w:t>
      </w:r>
      <w:r>
        <w:rPr>
          <w:rFonts w:ascii="Times New Roman" w:eastAsia="Times New Roman" w:hAnsi="Times New Roman" w:cs="Times New Roman"/>
          <w:sz w:val="20"/>
        </w:rPr>
        <w:t>, e</w:t>
      </w:r>
      <w:r>
        <w:rPr>
          <w:rFonts w:ascii="Times New Roman" w:eastAsia="Times New Roman" w:hAnsi="Times New Roman" w:cs="Times New Roman"/>
          <w:sz w:val="20"/>
        </w:rPr>
        <w:t>quity method and certain deriv</w:t>
      </w:r>
      <w:r>
        <w:rPr>
          <w:rFonts w:ascii="Times New Roman" w:eastAsia="Times New Roman" w:hAnsi="Times New Roman" w:cs="Times New Roman"/>
          <w:sz w:val="20"/>
        </w:rPr>
        <w:t>atives.</w:t>
      </w:r>
      <w:r>
        <w:rPr>
          <w:rFonts w:ascii="Times New Roman" w:eastAsia="Times New Roman" w:hAnsi="Times New Roman" w:cs="Times New Roman"/>
          <w:sz w:val="20"/>
        </w:rPr>
        <w:t xml:space="preserve"> </w:t>
      </w:r>
      <w:r>
        <w:rPr>
          <w:rFonts w:ascii="Times New Roman" w:eastAsia="Times New Roman" w:hAnsi="Times New Roman" w:cs="Times New Roman"/>
          <w:sz w:val="20"/>
        </w:rPr>
        <w:t>ASU 2020-01</w:t>
      </w:r>
      <w:r>
        <w:rPr>
          <w:rFonts w:ascii="Times New Roman" w:eastAsia="Times New Roman" w:hAnsi="Times New Roman" w:cs="Times New Roman"/>
          <w:sz w:val="20"/>
        </w:rPr>
        <w:t xml:space="preserve"> is effective for fiscal years, and interim periods within those fiscal years, beginning after December 15, 2020, with early adoption permitted. </w:t>
      </w:r>
      <w:r>
        <w:rPr>
          <w:rFonts w:ascii="Times New Roman" w:eastAsia="Times New Roman" w:hAnsi="Times New Roman" w:cs="Times New Roman"/>
          <w:sz w:val="20"/>
        </w:rPr>
        <w:t>The Company is currently evaluating the impact on its consolidated financial statements and related disclosures.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i/>
          <w:sz w:val="20"/>
          <w:u w:val="single"/>
        </w:rPr>
        <w:t>Reference Rate Reform:</w:t>
      </w:r>
      <w:r>
        <w:rPr>
          <w:rFonts w:ascii="Times New Roman" w:eastAsia="Times New Roman" w:hAnsi="Times New Roman" w:cs="Times New Roman"/>
          <w:sz w:val="20"/>
        </w:rPr>
        <w:t xml:space="preserve"> In March 2020, the FASB issued ASU </w:t>
      </w:r>
      <w:r>
        <w:rPr>
          <w:rFonts w:ascii="Times New Roman" w:eastAsia="Times New Roman" w:hAnsi="Times New Roman" w:cs="Times New Roman"/>
          <w:sz w:val="20"/>
        </w:rPr>
        <w:t xml:space="preserve">No. </w:t>
      </w:r>
      <w:r>
        <w:rPr>
          <w:rFonts w:ascii="Times New Roman" w:eastAsia="Times New Roman" w:hAnsi="Times New Roman" w:cs="Times New Roman"/>
          <w:sz w:val="20"/>
        </w:rPr>
        <w:t xml:space="preserve">2020-04, </w:t>
      </w:r>
      <w:r>
        <w:rPr>
          <w:rFonts w:ascii="Times New Roman" w:eastAsia="Times New Roman" w:hAnsi="Times New Roman" w:cs="Times New Roman"/>
          <w:i/>
          <w:sz w:val="20"/>
        </w:rPr>
        <w:t>Reference Rate Reform (Topic 848): Facilitation of the Effects of Reference Rate Reform on Financial Reporting</w:t>
      </w:r>
      <w:r>
        <w:rPr>
          <w:rFonts w:ascii="Times New Roman" w:eastAsia="Times New Roman" w:hAnsi="Times New Roman" w:cs="Times New Roman"/>
          <w:i/>
          <w:sz w:val="20"/>
        </w:rPr>
        <w:t xml:space="preserve"> </w:t>
      </w:r>
      <w:r>
        <w:rPr>
          <w:rFonts w:ascii="Times New Roman" w:eastAsia="Times New Roman" w:hAnsi="Times New Roman" w:cs="Times New Roman"/>
          <w:sz w:val="20"/>
        </w:rPr>
        <w:t>(“ASU 2020-0</w:t>
      </w:r>
      <w:r>
        <w:rPr>
          <w:rFonts w:ascii="Times New Roman" w:eastAsia="Times New Roman" w:hAnsi="Times New Roman" w:cs="Times New Roman"/>
          <w:sz w:val="20"/>
        </w:rPr>
        <w:t>4</w:t>
      </w:r>
      <w:r>
        <w:rPr>
          <w:rFonts w:ascii="Times New Roman" w:eastAsia="Times New Roman" w:hAnsi="Times New Roman" w:cs="Times New Roman"/>
          <w:sz w:val="20"/>
        </w:rPr>
        <w:t>”)</w:t>
      </w:r>
      <w:r>
        <w:rPr>
          <w:rFonts w:ascii="Times New Roman" w:eastAsia="Times New Roman" w:hAnsi="Times New Roman" w:cs="Times New Roman"/>
          <w:i/>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ASU 2020-04</w:t>
      </w:r>
      <w:r>
        <w:rPr>
          <w:rFonts w:ascii="Times New Roman" w:eastAsia="Times New Roman" w:hAnsi="Times New Roman" w:cs="Times New Roman"/>
          <w:sz w:val="20"/>
        </w:rPr>
        <w:t xml:space="preserve"> provide</w:t>
      </w:r>
      <w:r>
        <w:rPr>
          <w:rFonts w:ascii="Times New Roman" w:eastAsia="Times New Roman" w:hAnsi="Times New Roman" w:cs="Times New Roman"/>
          <w:sz w:val="20"/>
        </w:rPr>
        <w:t>s</w:t>
      </w:r>
      <w:r>
        <w:rPr>
          <w:rFonts w:ascii="Times New Roman" w:eastAsia="Times New Roman" w:hAnsi="Times New Roman" w:cs="Times New Roman"/>
          <w:sz w:val="20"/>
        </w:rPr>
        <w:t xml:space="preserve"> optional guidance for a limited time to ease the potential burden in accounting for reference rate reform. </w:t>
      </w:r>
      <w:r>
        <w:rPr>
          <w:rFonts w:ascii="Times New Roman" w:eastAsia="Times New Roman" w:hAnsi="Times New Roman" w:cs="Times New Roman"/>
          <w:sz w:val="20"/>
        </w:rPr>
        <w:t>It also</w:t>
      </w:r>
      <w:r>
        <w:rPr>
          <w:rFonts w:ascii="Times New Roman" w:eastAsia="Times New Roman" w:hAnsi="Times New Roman" w:cs="Times New Roman"/>
          <w:sz w:val="20"/>
        </w:rPr>
        <w:t xml:space="preserve"> provides optional expedients and exceptions for applying U.S. GAAP to contracts, hedging relationships and other transactions affected by reference rate reform if certain criteria are met. </w:t>
      </w:r>
      <w:r>
        <w:rPr>
          <w:rFonts w:ascii="Times New Roman" w:eastAsia="Times New Roman" w:hAnsi="Times New Roman" w:cs="Times New Roman"/>
          <w:sz w:val="20"/>
        </w:rPr>
        <w:t>ASU 2020-04</w:t>
      </w:r>
      <w:r>
        <w:rPr>
          <w:rFonts w:ascii="Times New Roman" w:eastAsia="Times New Roman" w:hAnsi="Times New Roman" w:cs="Times New Roman"/>
          <w:sz w:val="20"/>
        </w:rPr>
        <w:t xml:space="preserve"> appl</w:t>
      </w:r>
      <w:r>
        <w:rPr>
          <w:rFonts w:ascii="Times New Roman" w:eastAsia="Times New Roman" w:hAnsi="Times New Roman" w:cs="Times New Roman"/>
          <w:sz w:val="20"/>
        </w:rPr>
        <w:t>ies</w:t>
      </w:r>
      <w:r>
        <w:rPr>
          <w:rFonts w:ascii="Times New Roman" w:eastAsia="Times New Roman" w:hAnsi="Times New Roman" w:cs="Times New Roman"/>
          <w:sz w:val="20"/>
        </w:rPr>
        <w:t xml:space="preserve"> only to contracts and hedging relationships that reference LIBOR or another reference rate expected to be discontinued due to reference rate reform. </w:t>
      </w:r>
      <w:r>
        <w:rPr>
          <w:rFonts w:ascii="Times New Roman" w:eastAsia="Times New Roman" w:hAnsi="Times New Roman" w:cs="Times New Roman"/>
          <w:sz w:val="20"/>
        </w:rPr>
        <w:t>ASU 2020-04</w:t>
      </w:r>
      <w:r>
        <w:rPr>
          <w:rFonts w:ascii="Times New Roman" w:eastAsia="Times New Roman" w:hAnsi="Times New Roman" w:cs="Times New Roman"/>
          <w:sz w:val="20"/>
        </w:rPr>
        <w:t xml:space="preserve"> </w:t>
      </w:r>
      <w:r>
        <w:rPr>
          <w:rFonts w:ascii="Times New Roman" w:eastAsia="Times New Roman" w:hAnsi="Times New Roman" w:cs="Times New Roman"/>
          <w:sz w:val="20"/>
        </w:rPr>
        <w:t>is</w:t>
      </w:r>
      <w:r>
        <w:rPr>
          <w:rFonts w:ascii="Times New Roman" w:eastAsia="Times New Roman" w:hAnsi="Times New Roman" w:cs="Times New Roman"/>
          <w:sz w:val="20"/>
        </w:rPr>
        <w:t xml:space="preserve"> effective immediately and may be applied prospectively to contract modifications made and hedging relationships entered into or evaluated on or before December 31, 2022. The Company believes this guidance will not have a material impact on its financial statements.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3"/>
        <w:rPr>
          <w:rFonts w:ascii="Times New Roman" w:eastAsia="Times New Roman" w:hAnsi="Times New Roman" w:cs="Times New Roman"/>
          <w:b/>
          <w:sz w:val="20"/>
        </w:rPr>
      </w:pPr>
      <w:bookmarkStart w:id="10" w:name="Section11"/>
      <w:bookmarkEnd w:id="10"/>
      <w:r>
        <w:rPr>
          <w:rFonts w:ascii="Times New Roman" w:eastAsia="Times New Roman" w:hAnsi="Times New Roman" w:cs="Times New Roman"/>
          <w:b/>
          <w:sz w:val="20"/>
        </w:rPr>
        <w:t xml:space="preserve">NOTE 2. </w:t>
      </w:r>
      <w:r>
        <w:rPr>
          <w:rFonts w:ascii="Times New Roman" w:eastAsia="Times New Roman" w:hAnsi="Times New Roman" w:cs="Times New Roman"/>
          <w:b/>
          <w:sz w:val="20"/>
        </w:rPr>
        <w:tab/>
      </w:r>
      <w:r>
        <w:rPr>
          <w:rFonts w:ascii="Times New Roman" w:eastAsia="Times New Roman" w:hAnsi="Times New Roman" w:cs="Times New Roman"/>
          <w:b/>
          <w:sz w:val="20"/>
        </w:rPr>
        <w:t>PROPERTY AND EQUIPMENT</w:t>
      </w:r>
    </w:p>
    <w:p>
      <w:pPr>
        <w:keepNext w:val="0"/>
        <w:keepLines/>
        <w:pageBreakBefore w:val="0"/>
        <w:widowControl w:val="0"/>
        <w:numPr>
          <w:ilvl w:val="0"/>
          <w:numId w:val="0"/>
        </w:numPr>
        <w:spacing w:before="120" w:after="22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Property and equipment consist of the following: </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005"/>
        <w:gridCol w:w="160"/>
        <w:gridCol w:w="1315"/>
        <w:gridCol w:w="100"/>
        <w:gridCol w:w="75"/>
        <w:gridCol w:w="160"/>
        <w:gridCol w:w="1315"/>
        <w:gridCol w:w="100"/>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700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7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June 30,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7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December 31, 2019</w:t>
            </w:r>
          </w:p>
        </w:tc>
      </w:tr>
      <w:tr>
        <w:tblPrEx>
          <w:tblW w:w="10230" w:type="dxa"/>
          <w:jc w:val="left"/>
          <w:tblInd w:w="0" w:type="dxa"/>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Furniture and fixtures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226,577 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1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298,205 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Office equipment</w:t>
            </w: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64,891 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86,884 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Computer equipment</w:t>
            </w:r>
          </w:p>
        </w:tc>
        <w:tc>
          <w:tcPr>
            <w:tcW w:w="14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501,299 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455,008 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Leasehold improvements</w:t>
            </w:r>
          </w:p>
        </w:tc>
        <w:tc>
          <w:tcPr>
            <w:tcW w:w="1475"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338,018 </w:t>
            </w:r>
          </w:p>
        </w:tc>
        <w:tc>
          <w:tcPr>
            <w:tcW w:w="100" w:type="dxa"/>
            <w:tcBorders>
              <w:top w:val="nil"/>
              <w:left w:val="nil"/>
              <w:bottom w:val="nil"/>
              <w:right w:val="nil"/>
            </w:tcBorders>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Total</w:t>
            </w:r>
          </w:p>
        </w:tc>
        <w:tc>
          <w:tcPr>
            <w:tcW w:w="147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792,767 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7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1,178,115 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Less accumulated depreciation and amortization</w:t>
            </w: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(510,685)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7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(868,335)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700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Property and equipment,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3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282,082 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31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309,780 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22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Depreciation and amortization expense on property and equipment recorded in depreciation and amortization expense in the consolidated statements of operations was </w:t>
      </w:r>
      <w:r>
        <w:rPr>
          <w:rFonts w:ascii="Times New Roman" w:eastAsia="Times New Roman" w:hAnsi="Times New Roman" w:cs="Times New Roman"/>
          <w:sz w:val="20"/>
        </w:rPr>
        <w:t>$34,578</w:t>
      </w:r>
      <w:r>
        <w:rPr>
          <w:rFonts w:ascii="Times New Roman" w:eastAsia="Times New Roman" w:hAnsi="Times New Roman" w:cs="Times New Roman"/>
          <w:sz w:val="20"/>
        </w:rPr>
        <w:t xml:space="preserve"> and </w:t>
      </w:r>
      <w:r>
        <w:rPr>
          <w:rFonts w:ascii="Times New Roman" w:eastAsia="Times New Roman" w:hAnsi="Times New Roman" w:cs="Times New Roman"/>
          <w:sz w:val="20"/>
        </w:rPr>
        <w:t>$35,946</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r>
        <w:rPr>
          <w:rFonts w:ascii="Times New Roman" w:eastAsia="Times New Roman" w:hAnsi="Times New Roman" w:cs="Times New Roman"/>
          <w:sz w:val="20"/>
        </w:rPr>
        <w:t>, and</w:t>
      </w:r>
      <w:r>
        <w:rPr>
          <w:rFonts w:ascii="Times New Roman" w:eastAsia="Times New Roman" w:hAnsi="Times New Roman" w:cs="Times New Roman"/>
          <w:sz w:val="20"/>
        </w:rPr>
        <w:t xml:space="preserve"> was </w:t>
      </w:r>
      <w:r>
        <w:rPr>
          <w:rFonts w:ascii="Times New Roman" w:eastAsia="Times New Roman" w:hAnsi="Times New Roman" w:cs="Times New Roman"/>
          <w:sz w:val="20"/>
        </w:rPr>
        <w:t>$70,207</w:t>
      </w:r>
      <w:r>
        <w:rPr>
          <w:rFonts w:ascii="Times New Roman" w:eastAsia="Times New Roman" w:hAnsi="Times New Roman" w:cs="Times New Roman"/>
          <w:sz w:val="20"/>
        </w:rPr>
        <w:t xml:space="preserve"> and </w:t>
      </w:r>
      <w:r>
        <w:rPr>
          <w:rFonts w:ascii="Times New Roman" w:eastAsia="Times New Roman" w:hAnsi="Times New Roman" w:cs="Times New Roman"/>
          <w:sz w:val="20"/>
        </w:rPr>
        <w:t>$74,422</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headerReference w:type="default" r:id="rId8"/>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sz w:val="20"/>
        </w:rPr>
      </w:pPr>
      <w:bookmarkStart w:id="11" w:name="Section12"/>
      <w:bookmarkEnd w:id="11"/>
      <w:r>
        <w:rPr>
          <w:rFonts w:ascii="Times New Roman" w:eastAsia="Times New Roman" w:hAnsi="Times New Roman" w:cs="Times New Roman"/>
          <w:b/>
          <w:sz w:val="20"/>
        </w:rPr>
        <w:t xml:space="preserve">NOTE 3. </w:t>
      </w:r>
      <w:r>
        <w:rPr>
          <w:rFonts w:ascii="Times New Roman" w:eastAsia="Times New Roman" w:hAnsi="Times New Roman" w:cs="Times New Roman"/>
          <w:b/>
          <w:sz w:val="20"/>
        </w:rPr>
        <w:tab/>
      </w:r>
      <w:r>
        <w:rPr>
          <w:rFonts w:ascii="Times New Roman" w:eastAsia="Times New Roman" w:hAnsi="Times New Roman" w:cs="Times New Roman"/>
          <w:b/>
          <w:sz w:val="20"/>
        </w:rPr>
        <w:t>INTANGIBLE ASSETS</w:t>
      </w:r>
    </w:p>
    <w:p>
      <w:pPr>
        <w:keepNext/>
        <w:keepLines/>
        <w:pageBreakBefore w:val="0"/>
        <w:widowControl w:val="0"/>
        <w:numPr>
          <w:ilvl w:val="0"/>
          <w:numId w:val="0"/>
        </w:numPr>
        <w:spacing w:before="120" w:after="10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identifiable intangible assets, other than Goodwill, consists of the following assets:</w:t>
      </w:r>
      <w:r>
        <w:rPr>
          <w:rFonts w:ascii="Times New Roman" w:eastAsia="Times New Roman" w:hAnsi="Times New Roman" w:cs="Times New Roman"/>
          <w:sz w:val="20"/>
        </w:rPr>
        <w:tab/>
      </w:r>
    </w:p>
    <w:tbl>
      <w:tblPr>
        <w:tblW w:w="102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0"/>
        <w:gridCol w:w="160"/>
        <w:gridCol w:w="1135"/>
        <w:gridCol w:w="100"/>
        <w:gridCol w:w="75"/>
        <w:gridCol w:w="160"/>
        <w:gridCol w:w="1135"/>
        <w:gridCol w:w="100"/>
        <w:gridCol w:w="75"/>
        <w:gridCol w:w="160"/>
        <w:gridCol w:w="1135"/>
        <w:gridCol w:w="100"/>
        <w:gridCol w:w="75"/>
        <w:gridCol w:w="160"/>
        <w:gridCol w:w="1135"/>
        <w:gridCol w:w="100"/>
        <w:gridCol w:w="75"/>
        <w:gridCol w:w="1080"/>
      </w:tblGrid>
      <w:tr>
        <w:tblPrEx>
          <w:tblW w:w="102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June 30,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December 31, 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vMerge w:val="restart"/>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Useful Life   (in years)</w:t>
            </w:r>
          </w:p>
        </w:tc>
      </w:tr>
      <w:tr>
        <w:tblPrEx>
          <w:tblW w:w="10200" w:type="dxa"/>
          <w:jc w:val="left"/>
          <w:tblInd w:w="0" w:type="dxa"/>
          <w:tblCellMar>
            <w:left w:w="108" w:type="dxa"/>
            <w:right w:w="108" w:type="dxa"/>
          </w:tblCellMar>
        </w:tblPrEx>
        <w:trPr>
          <w:cantSplit/>
          <w:trHeight w:hRule="exact" w:val="465"/>
          <w:jc w:val="left"/>
        </w:trPr>
        <w:tc>
          <w:tcPr>
            <w:tcW w:w="324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Balance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Accumulated Amortization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Balance</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Accumulated Amortization</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80" w:type="dxa"/>
            <w:vMerge/>
            <w:tcBorders>
              <w:top w:val="nil"/>
              <w:left w:val="nil"/>
              <w:bottom w:val="nil"/>
              <w:right w:val="nil"/>
            </w:tcBorders>
          </w:tcPr>
          <w:p>
            <w:pPr>
              <w:keepNext/>
              <w:pageBreakBefore w:val="0"/>
            </w:pPr>
          </w:p>
        </w:tc>
      </w:tr>
      <w:tr>
        <w:tblPrEx>
          <w:tblW w:w="10200"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Content provider networks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w:t>
            </w:r>
          </w:p>
        </w:tc>
      </w:tr>
      <w:tr>
        <w:tblPrEx>
          <w:tblW w:w="10200"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Trade names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87,000 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1</w:t>
            </w:r>
          </w:p>
        </w:tc>
      </w:tr>
      <w:tr>
        <w:tblPrEx>
          <w:tblW w:w="10200"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Developed technology</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770,167 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820,000 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622,167 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5</w:t>
            </w:r>
          </w:p>
        </w:tc>
      </w:tr>
      <w:tr>
        <w:tblPrEx>
          <w:tblW w:w="10200"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Self-service content customers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2,810,000 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1,871,111 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2,810,000 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1,437,778 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3</w:t>
            </w:r>
          </w:p>
        </w:tc>
      </w:tr>
      <w:tr>
        <w:tblPrEx>
          <w:tblW w:w="10200"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Managed content customers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2,140,000 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3</w:t>
            </w:r>
          </w:p>
        </w:tc>
      </w:tr>
      <w:tr>
        <w:tblPrEx>
          <w:tblW w:w="10200"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Domains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149,822 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133,175 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5</w:t>
            </w:r>
          </w:p>
        </w:tc>
      </w:tr>
      <w:tr>
        <w:tblPrEx>
          <w:tblW w:w="10200" w:type="dxa"/>
          <w:jc w:val="left"/>
          <w:tblInd w:w="0" w:type="dxa"/>
          <w:tblCellMar>
            <w:left w:w="108" w:type="dxa"/>
            <w:right w:w="108" w:type="dxa"/>
          </w:tblCellMar>
        </w:tblPrEx>
        <w:trPr>
          <w:cantSplit/>
          <w:trHeight w:hRule="exact" w:val="285"/>
          <w:jc w:val="left"/>
        </w:trPr>
        <w:tc>
          <w:tcPr>
            <w:tcW w:w="324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Embedded non-compete provision</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28,000 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26,833 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28,000 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19,833 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2</w:t>
            </w:r>
          </w:p>
        </w:tc>
      </w:tr>
      <w:tr>
        <w:tblPrEx>
          <w:tblW w:w="10200" w:type="dxa"/>
          <w:jc w:val="left"/>
          <w:tblInd w:w="0" w:type="dxa"/>
          <w:tblCellMar>
            <w:left w:w="108" w:type="dxa"/>
            <w:right w:w="108" w:type="dxa"/>
          </w:tblCellMar>
        </w:tblPrEx>
        <w:trPr>
          <w:cantSplit/>
          <w:trHeight w:hRule="exact" w:val="300"/>
          <w:jc w:val="left"/>
        </w:trPr>
        <w:tc>
          <w:tcPr>
            <w:tcW w:w="3240"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5,204,933 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4,599,953 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080"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r>
    </w:tbl>
    <w:p>
      <w:pPr>
        <w:keepNext/>
        <w:keepLines/>
        <w:pageBreakBefore w:val="0"/>
        <w:widowControl w:val="0"/>
        <w:numPr>
          <w:ilvl w:val="0"/>
          <w:numId w:val="0"/>
        </w:numPr>
        <w:spacing w:before="22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Total identifiable intangible assets from the Company’s acquisitions and other acquired assets net of accumulated amortization thereon consists of the following:</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60"/>
        <w:gridCol w:w="100"/>
        <w:gridCol w:w="75"/>
        <w:gridCol w:w="160"/>
        <w:gridCol w:w="1360"/>
        <w:gridCol w:w="100"/>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2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June 30,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2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December 31, 2019</w:t>
            </w: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Ebyline Intangible Assets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2,370,000 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2,370,000 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ZenContent Intangible Assets</w:t>
            </w: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722,000 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722,000 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Domains</w:t>
            </w:r>
          </w:p>
        </w:tc>
        <w:tc>
          <w:tcPr>
            <w:tcW w:w="15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166,469 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TapInfluence Intangible Assets</w:t>
            </w: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2,953,000 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2,953,000 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6,211,469 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Less accumulated amortization</w:t>
            </w: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(5,204,933)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(4,599,953)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Intangible assets,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1,006,536 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1,611,516 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keepLines/>
        <w:pageBreakBefore w:val="0"/>
        <w:widowControl w:val="0"/>
        <w:numPr>
          <w:ilvl w:val="0"/>
          <w:numId w:val="0"/>
        </w:numPr>
        <w:spacing w:before="22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 amortizing the identifiable intangible assets over a remaining weighted-average period of </w:t>
      </w:r>
      <w:r>
        <w:rPr>
          <w:rFonts w:ascii="Times New Roman" w:eastAsia="Times New Roman" w:hAnsi="Times New Roman" w:cs="Times New Roman"/>
          <w:sz w:val="20"/>
        </w:rPr>
        <w:t>one year, four months</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there were </w:t>
      </w:r>
      <w:r>
        <w:rPr>
          <w:rFonts w:ascii="Times New Roman" w:eastAsia="Times New Roman" w:hAnsi="Times New Roman" w:cs="Times New Roman"/>
          <w:sz w:val="20"/>
        </w:rPr>
        <w:t>no</w:t>
      </w:r>
      <w:r>
        <w:rPr>
          <w:rFonts w:ascii="Times New Roman" w:eastAsia="Times New Roman" w:hAnsi="Times New Roman" w:cs="Times New Roman"/>
          <w:sz w:val="20"/>
        </w:rPr>
        <w:t xml:space="preserve"> impairment charges associated with the Company's identifiable intangible assets. </w:t>
      </w: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Amortization expense recorded in depreciation and amortization in the accompanying consolidated statements of operations was </w:t>
      </w:r>
      <w:r>
        <w:rPr>
          <w:rFonts w:ascii="Times New Roman" w:eastAsia="Times New Roman" w:hAnsi="Times New Roman" w:cs="Times New Roman"/>
          <w:sz w:val="20"/>
        </w:rPr>
        <w:t>$239,990</w:t>
      </w:r>
      <w:r>
        <w:rPr>
          <w:rFonts w:ascii="Times New Roman" w:eastAsia="Times New Roman" w:hAnsi="Times New Roman" w:cs="Times New Roman"/>
          <w:sz w:val="20"/>
        </w:rPr>
        <w:t xml:space="preserve"> and </w:t>
      </w:r>
      <w:r>
        <w:rPr>
          <w:rFonts w:ascii="Times New Roman" w:eastAsia="Times New Roman" w:hAnsi="Times New Roman" w:cs="Times New Roman"/>
          <w:sz w:val="20"/>
        </w:rPr>
        <w:t>$322,907</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r>
        <w:rPr>
          <w:rFonts w:ascii="Times New Roman" w:eastAsia="Times New Roman" w:hAnsi="Times New Roman" w:cs="Times New Roman"/>
          <w:sz w:val="20"/>
        </w:rPr>
        <w:t>, and</w:t>
      </w:r>
      <w:r>
        <w:rPr>
          <w:rFonts w:ascii="Times New Roman" w:eastAsia="Times New Roman" w:hAnsi="Times New Roman" w:cs="Times New Roman"/>
          <w:sz w:val="20"/>
        </w:rPr>
        <w:t xml:space="preserve"> </w:t>
      </w:r>
      <w:r>
        <w:rPr>
          <w:rFonts w:ascii="Times New Roman" w:eastAsia="Times New Roman" w:hAnsi="Times New Roman" w:cs="Times New Roman"/>
          <w:sz w:val="20"/>
        </w:rPr>
        <w:t>$604,980</w:t>
      </w:r>
      <w:r>
        <w:rPr>
          <w:rFonts w:ascii="Times New Roman" w:eastAsia="Times New Roman" w:hAnsi="Times New Roman" w:cs="Times New Roman"/>
          <w:sz w:val="20"/>
        </w:rPr>
        <w:t xml:space="preserve"> and </w:t>
      </w:r>
      <w:r>
        <w:rPr>
          <w:rFonts w:ascii="Times New Roman" w:eastAsia="Times New Roman" w:hAnsi="Times New Roman" w:cs="Times New Roman"/>
          <w:sz w:val="20"/>
        </w:rPr>
        <w:t>$645,814</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portion of </w:t>
      </w:r>
      <w:r>
        <w:rPr>
          <w:rFonts w:ascii="Times New Roman" w:eastAsia="Times New Roman" w:hAnsi="Times New Roman" w:cs="Times New Roman"/>
          <w:sz w:val="20"/>
        </w:rPr>
        <w:t xml:space="preserve">amortization expense specifically related to the costs of acquired technology for its platforms that is presented separately from cost of revenue was </w:t>
      </w:r>
      <w:r>
        <w:rPr>
          <w:rFonts w:ascii="Times New Roman" w:eastAsia="Times New Roman" w:hAnsi="Times New Roman" w:cs="Times New Roman"/>
          <w:sz w:val="20"/>
        </w:rPr>
        <w:t>$11,500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$56,500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r>
        <w:rPr>
          <w:rFonts w:ascii="Times New Roman" w:eastAsia="Times New Roman" w:hAnsi="Times New Roman" w:cs="Times New Roman"/>
          <w:sz w:val="20"/>
        </w:rPr>
        <w:t>, and</w:t>
      </w:r>
      <w:r>
        <w:rPr>
          <w:rFonts w:ascii="Times New Roman" w:eastAsia="Times New Roman" w:hAnsi="Times New Roman" w:cs="Times New Roman"/>
          <w:sz w:val="20"/>
        </w:rPr>
        <w:t xml:space="preserve"> </w:t>
      </w:r>
      <w:r>
        <w:rPr>
          <w:rFonts w:ascii="Times New Roman" w:eastAsia="Times New Roman" w:hAnsi="Times New Roman" w:cs="Times New Roman"/>
          <w:sz w:val="20"/>
        </w:rPr>
        <w:t>$148,000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$113,000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2020</w:t>
      </w:r>
      <w:r>
        <w:rPr>
          <w:rFonts w:ascii="Times New Roman" w:eastAsia="Times New Roman" w:hAnsi="Times New Roman" w:cs="Times New Roman"/>
          <w:sz w:val="20"/>
        </w:rPr>
        <w:t>, future estimated amortization expense related to identifiable intangible assets is set forth in the following schedule:</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160"/>
        <w:gridCol w:w="75"/>
        <w:gridCol w:w="160"/>
        <w:gridCol w:w="1735"/>
        <w:gridCol w:w="100"/>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81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Intangible Asset</w:t>
            </w:r>
            <w:r>
              <w:br/>
            </w:r>
            <w:r>
              <w:rPr>
                <w:rFonts w:ascii="Times New Roman" w:eastAsia="Times New Roman" w:hAnsi="Times New Roman" w:cs="Times New Roman"/>
                <w:color w:val="000000"/>
                <w:sz w:val="18"/>
              </w:rPr>
              <w:t>Amortization Expense</w:t>
            </w:r>
          </w:p>
        </w:tc>
      </w:tr>
      <w:tr>
        <w:tblPrEx>
          <w:tblW w:w="10230" w:type="dxa"/>
          <w:jc w:val="left"/>
          <w:tblInd w:w="0" w:type="dxa"/>
          <w:tblCellMar>
            <w:left w:w="108" w:type="dxa"/>
            <w:right w:w="108" w:type="dxa"/>
          </w:tblCellMar>
        </w:tblPrEx>
        <w:trPr>
          <w:cantSplit/>
          <w:trHeight w:hRule="exact" w:val="300"/>
          <w:jc w:val="left"/>
        </w:trPr>
        <w:tc>
          <w:tcPr>
            <w:tcW w:w="81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Remainder of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7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474,147 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81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2021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532,389 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81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7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1,006,536 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keepLines/>
        <w:pageBreakBefore w:val="0"/>
        <w:widowControl w:val="0"/>
        <w:numPr>
          <w:ilvl w:val="0"/>
          <w:numId w:val="0"/>
        </w:numPr>
        <w:spacing w:before="100" w:after="0" w:line="24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w:t>
      </w:r>
      <w:r>
        <w:rPr>
          <w:rFonts w:ascii="Times New Roman" w:eastAsia="Times New Roman" w:hAnsi="Times New Roman" w:cs="Times New Roman"/>
          <w:sz w:val="20"/>
        </w:rPr>
        <w:t>goodwill balance changed as follows:</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760"/>
        <w:gridCol w:w="75"/>
        <w:gridCol w:w="160"/>
        <w:gridCol w:w="1135"/>
        <w:gridCol w:w="100"/>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87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Amount</w:t>
            </w:r>
          </w:p>
        </w:tc>
      </w:tr>
      <w:tr>
        <w:tblPrEx>
          <w:tblW w:w="10230" w:type="dxa"/>
          <w:jc w:val="left"/>
          <w:tblInd w:w="0" w:type="dxa"/>
          <w:tblCellMar>
            <w:left w:w="108" w:type="dxa"/>
            <w:right w:w="108" w:type="dxa"/>
          </w:tblCellMar>
        </w:tblPrEx>
        <w:trPr>
          <w:cantSplit/>
          <w:trHeight w:hRule="exact" w:val="300"/>
          <w:jc w:val="left"/>
        </w:trPr>
        <w:tc>
          <w:tcPr>
            <w:tcW w:w="87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Balance on December 31,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8,316,722 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87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Acquisitions, impairments or other changes during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(4,300,000)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87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Balance on June 30, 2020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4,016,722 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In March 2020, the Company identified triggering events due to the reduction in its projected revenue </w:t>
      </w:r>
      <w:r>
        <w:rPr>
          <w:rFonts w:ascii="Times New Roman" w:eastAsia="Times New Roman" w:hAnsi="Times New Roman" w:cs="Times New Roman"/>
          <w:sz w:val="20"/>
        </w:rPr>
        <w:t>due</w:t>
      </w:r>
      <w:r>
        <w:rPr>
          <w:rFonts w:ascii="Times New Roman" w:eastAsia="Times New Roman" w:hAnsi="Times New Roman" w:cs="Times New Roman"/>
          <w:sz w:val="20"/>
        </w:rPr>
        <w:t xml:space="preserve"> to </w:t>
      </w:r>
      <w:r>
        <w:rPr>
          <w:rFonts w:ascii="Times New Roman" w:eastAsia="Times New Roman" w:hAnsi="Times New Roman" w:cs="Times New Roman"/>
          <w:sz w:val="20"/>
        </w:rPr>
        <w:t xml:space="preserve">adverse </w:t>
      </w:r>
      <w:r>
        <w:rPr>
          <w:rFonts w:ascii="Times New Roman" w:eastAsia="Times New Roman" w:hAnsi="Times New Roman" w:cs="Times New Roman"/>
          <w:sz w:val="20"/>
        </w:rPr>
        <w:t xml:space="preserve">economic conditions caused by the </w:t>
      </w:r>
      <w:r>
        <w:rPr>
          <w:rFonts w:ascii="Times New Roman" w:eastAsia="Times New Roman" w:hAnsi="Times New Roman" w:cs="Times New Roman"/>
          <w:sz w:val="20"/>
        </w:rPr>
        <w:t xml:space="preserve">COVID-19 </w:t>
      </w:r>
      <w:r>
        <w:rPr>
          <w:rFonts w:ascii="Times New Roman" w:eastAsia="Times New Roman" w:hAnsi="Times New Roman" w:cs="Times New Roman"/>
          <w:sz w:val="20"/>
        </w:rPr>
        <w:t>pandemic,</w:t>
      </w:r>
      <w:r>
        <w:rPr>
          <w:rFonts w:ascii="Times New Roman" w:eastAsia="Times New Roman" w:hAnsi="Times New Roman" w:cs="Times New Roman"/>
          <w:sz w:val="20"/>
        </w:rPr>
        <w:t xml:space="preserve"> the continuation of a market capitalization below the Company’s carrying value</w:t>
      </w:r>
      <w:r>
        <w:rPr>
          <w:rFonts w:ascii="Times New Roman" w:eastAsia="Times New Roman" w:hAnsi="Times New Roman" w:cs="Times New Roman"/>
          <w:sz w:val="20"/>
        </w:rPr>
        <w:t>,</w:t>
      </w:r>
      <w:r>
        <w:rPr>
          <w:rFonts w:ascii="Times New Roman" w:eastAsia="Times New Roman" w:hAnsi="Times New Roman" w:cs="Times New Roman"/>
          <w:sz w:val="20"/>
        </w:rPr>
        <w:t xml:space="preserve"> and uncertainty for recovery given the volatility of the capital markets surrounding COVID-19. The Company performed an interim assessment of goodwill using the income approach of the discounted cash flow method and the market approach of the guideline transaction method and determined that the carrying value of the Company as of March 31, 2020 exceeded the fair value. As a result of the valuation, the Company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 xml:space="preserve">March </w:t>
      </w:r>
      <w:r>
        <w:rPr>
          <w:rFonts w:ascii="Times New Roman" w:eastAsia="Times New Roman" w:hAnsi="Times New Roman" w:cs="Times New Roman"/>
          <w:sz w:val="20"/>
        </w:rPr>
        <w:t xml:space="preserve">31, </w:t>
      </w:r>
      <w:r>
        <w:rPr>
          <w:rFonts w:ascii="Times New Roman" w:eastAsia="Times New Roman" w:hAnsi="Times New Roman" w:cs="Times New Roman"/>
          <w:sz w:val="20"/>
        </w:rPr>
        <w:t>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which </w:t>
      </w:r>
      <w:r>
        <w:rPr>
          <w:rFonts w:ascii="Times New Roman" w:eastAsia="Times New Roman" w:hAnsi="Times New Roman" w:cs="Times New Roman"/>
          <w:sz w:val="20"/>
        </w:rPr>
        <w:t>is reflected</w:t>
      </w:r>
      <w:r>
        <w:rPr>
          <w:rFonts w:ascii="Times New Roman" w:eastAsia="Times New Roman" w:hAnsi="Times New Roman" w:cs="Times New Roman"/>
          <w:sz w:val="20"/>
        </w:rPr>
        <w:t xml:space="preserve"> as an expense</w:t>
      </w:r>
      <w:r>
        <w:rPr>
          <w:rFonts w:ascii="Times New Roman" w:eastAsia="Times New Roman" w:hAnsi="Times New Roman" w:cs="Times New Roman"/>
          <w:sz w:val="20"/>
        </w:rPr>
        <w:t xml:space="preserve"> i</w:t>
      </w:r>
      <w:r>
        <w:rPr>
          <w:rFonts w:ascii="Times New Roman" w:eastAsia="Times New Roman" w:hAnsi="Times New Roman" w:cs="Times New Roman"/>
          <w:sz w:val="20"/>
        </w:rPr>
        <w:t xml:space="preserve">n the consolidated statements of operations </w:t>
      </w:r>
      <w:r>
        <w:rPr>
          <w:rFonts w:ascii="Times New Roman" w:eastAsia="Times New Roman" w:hAnsi="Times New Roman" w:cs="Times New Roman"/>
          <w:sz w:val="20"/>
        </w:rPr>
        <w:t>for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sectPr>
          <w:headerReference w:type="default" r:id="rId9"/>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3"/>
        <w:rPr>
          <w:rFonts w:ascii="Times New Roman" w:eastAsia="Times New Roman" w:hAnsi="Times New Roman" w:cs="Times New Roman"/>
          <w:b/>
          <w:sz w:val="20"/>
        </w:rPr>
      </w:pPr>
      <w:bookmarkStart w:id="12" w:name="Section13"/>
      <w:bookmarkEnd w:id="12"/>
      <w:r>
        <w:rPr>
          <w:rFonts w:ascii="Times New Roman" w:eastAsia="Times New Roman" w:hAnsi="Times New Roman" w:cs="Times New Roman"/>
          <w:b/>
          <w:sz w:val="20"/>
        </w:rPr>
        <w:t xml:space="preserve">NOTE 4. </w:t>
      </w:r>
      <w:r>
        <w:rPr>
          <w:rFonts w:ascii="Times New Roman" w:eastAsia="Times New Roman" w:hAnsi="Times New Roman" w:cs="Times New Roman"/>
          <w:b/>
          <w:sz w:val="20"/>
        </w:rPr>
        <w:tab/>
      </w:r>
      <w:r>
        <w:rPr>
          <w:rFonts w:ascii="Times New Roman" w:eastAsia="Times New Roman" w:hAnsi="Times New Roman" w:cs="Times New Roman"/>
          <w:b/>
          <w:sz w:val="20"/>
        </w:rPr>
        <w:t>SOFTWARE DEVELOPMENT COSTS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Software development costs consists of the following: </w:t>
      </w: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45"/>
        <w:gridCol w:w="160"/>
        <w:gridCol w:w="1360"/>
        <w:gridCol w:w="100"/>
        <w:gridCol w:w="75"/>
        <w:gridCol w:w="160"/>
        <w:gridCol w:w="1360"/>
        <w:gridCol w:w="1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4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2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June 30,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2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December 31, 2019</w:t>
            </w:r>
          </w:p>
        </w:tc>
      </w:tr>
      <w:tr>
        <w:tblPrEx>
          <w:tblW w:w="10260" w:type="dxa"/>
          <w:jc w:val="left"/>
          <w:tblInd w:w="0" w:type="dxa"/>
          <w:tblCellMar>
            <w:left w:w="108" w:type="dxa"/>
            <w:right w:w="108" w:type="dxa"/>
          </w:tblCellMar>
        </w:tblPrEx>
        <w:trPr>
          <w:cantSplit/>
          <w:trHeight w:hRule="exact" w:val="300"/>
          <w:jc w:val="left"/>
        </w:trPr>
        <w:tc>
          <w:tcPr>
            <w:tcW w:w="694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Software development costs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2,770,146 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2,673,017 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60" w:type="dxa"/>
          <w:jc w:val="left"/>
          <w:tblInd w:w="0" w:type="dxa"/>
          <w:tblCellMar>
            <w:left w:w="108" w:type="dxa"/>
            <w:right w:w="108" w:type="dxa"/>
          </w:tblCellMar>
        </w:tblPrEx>
        <w:trPr>
          <w:cantSplit/>
          <w:trHeight w:hRule="exact" w:val="300"/>
          <w:jc w:val="left"/>
        </w:trPr>
        <w:tc>
          <w:tcPr>
            <w:tcW w:w="694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Less accumulated amortization</w:t>
            </w: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(1,356,226)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(1,153,037)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left"/>
          <w:tblInd w:w="0" w:type="dxa"/>
          <w:tblCellMar>
            <w:left w:w="108" w:type="dxa"/>
            <w:right w:w="108" w:type="dxa"/>
          </w:tblCellMar>
        </w:tblPrEx>
        <w:trPr>
          <w:cantSplit/>
          <w:trHeight w:hRule="exact" w:val="300"/>
          <w:jc w:val="left"/>
        </w:trPr>
        <w:tc>
          <w:tcPr>
            <w:tcW w:w="694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Software development costs, net</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1,413,920 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1,519,980 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22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developed its web-based advertising and content exchange platform,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to enable native advertising campaigns on a greater scale. The Company continues to add new features and additional functionality 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to facilitate the contracting, workflow, and delivery </w:t>
      </w:r>
      <w:r>
        <w:rPr>
          <w:rFonts w:ascii="Times New Roman" w:eastAsia="Times New Roman" w:hAnsi="Times New Roman" w:cs="Times New Roman"/>
          <w:sz w:val="20"/>
        </w:rPr>
        <w:t>or p</w:t>
      </w:r>
      <w:r>
        <w:rPr>
          <w:rFonts w:ascii="Times New Roman" w:eastAsia="Times New Roman" w:hAnsi="Times New Roman" w:cs="Times New Roman"/>
          <w:sz w:val="20"/>
        </w:rPr>
        <w:t xml:space="preserve">osting </w:t>
      </w:r>
      <w:r>
        <w:rPr>
          <w:rFonts w:ascii="Times New Roman" w:eastAsia="Times New Roman" w:hAnsi="Times New Roman" w:cs="Times New Roman"/>
          <w:sz w:val="20"/>
        </w:rPr>
        <w:t xml:space="preserve">of </w:t>
      </w:r>
      <w:r>
        <w:rPr>
          <w:rFonts w:ascii="Times New Roman" w:eastAsia="Times New Roman" w:hAnsi="Times New Roman" w:cs="Times New Roman"/>
          <w:sz w:val="20"/>
        </w:rPr>
        <w:t xml:space="preserve">content as well as provide for invoicing, collaborating, and direct payments for the Company’s </w:t>
      </w:r>
      <w:r>
        <w:rPr>
          <w:rFonts w:ascii="Times New Roman" w:eastAsia="Times New Roman" w:hAnsi="Times New Roman" w:cs="Times New Roman"/>
          <w:sz w:val="20"/>
        </w:rPr>
        <w:t>customers</w:t>
      </w:r>
      <w:r>
        <w:rPr>
          <w:rFonts w:ascii="Times New Roman" w:eastAsia="Times New Roman" w:hAnsi="Times New Roman" w:cs="Times New Roman"/>
          <w:sz w:val="20"/>
        </w:rPr>
        <w:t xml:space="preserve"> </w:t>
      </w:r>
      <w:r>
        <w:rPr>
          <w:rFonts w:ascii="Times New Roman" w:eastAsia="Times New Roman" w:hAnsi="Times New Roman" w:cs="Times New Roman"/>
          <w:sz w:val="20"/>
        </w:rPr>
        <w:t>and creators</w:t>
      </w:r>
      <w:r>
        <w:rPr>
          <w:rFonts w:ascii="Times New Roman" w:eastAsia="Times New Roman" w:hAnsi="Times New Roman" w:cs="Times New Roman"/>
          <w:sz w:val="20"/>
        </w:rPr>
        <w:t xml:space="preserve">. The Company capitalized software development costs of </w:t>
      </w:r>
      <w:r>
        <w:rPr>
          <w:rFonts w:ascii="Times New Roman" w:eastAsia="Times New Roman" w:hAnsi="Times New Roman" w:cs="Times New Roman"/>
          <w:sz w:val="20"/>
        </w:rPr>
        <w:t>$97,129</w:t>
      </w:r>
      <w:r>
        <w:rPr>
          <w:rFonts w:ascii="Times New Roman" w:eastAsia="Times New Roman" w:hAnsi="Times New Roman" w:cs="Times New Roman"/>
          <w:sz w:val="20"/>
        </w:rPr>
        <w:t xml:space="preserve"> and </w:t>
      </w:r>
      <w:r>
        <w:rPr>
          <w:rFonts w:ascii="Times New Roman" w:eastAsia="Times New Roman" w:hAnsi="Times New Roman" w:cs="Times New Roman"/>
          <w:sz w:val="20"/>
        </w:rPr>
        <w:t>$451,619</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As a result, the Company has capitalized a total of </w:t>
      </w:r>
      <w:r>
        <w:rPr>
          <w:rFonts w:ascii="Times New Roman" w:eastAsia="Times New Roman" w:hAnsi="Times New Roman" w:cs="Times New Roman"/>
          <w:sz w:val="20"/>
        </w:rPr>
        <w:t>$2,770,146</w:t>
      </w:r>
      <w:r>
        <w:rPr>
          <w:rFonts w:ascii="Times New Roman" w:eastAsia="Times New Roman" w:hAnsi="Times New Roman" w:cs="Times New Roman"/>
          <w:sz w:val="20"/>
        </w:rPr>
        <w:t xml:space="preserve"> in direct materials, consulting, payroll and benefit costs to its internal use software development costs in the consolidated balance sheet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amortizes its software development costs, commencing upon initial release of the software or additional features, on a straight-line basis over the estimated useful life of </w:t>
      </w:r>
      <w:r>
        <w:rPr>
          <w:rFonts w:ascii="Times New Roman" w:eastAsia="Times New Roman" w:hAnsi="Times New Roman" w:cs="Times New Roman"/>
          <w:sz w:val="20"/>
        </w:rPr>
        <w:t>five years</w:t>
      </w:r>
      <w:r>
        <w:rPr>
          <w:rFonts w:ascii="Times New Roman" w:eastAsia="Times New Roman" w:hAnsi="Times New Roman" w:cs="Times New Roman"/>
          <w:sz w:val="20"/>
        </w:rPr>
        <w:t>, which is consistent with the amount of time its legacy platforms were in service. Amortization expense on software development costs that is presented separately from cost of revenue and recorded in depreciation and amortization expense in the accompanying consolidated statements of operations was</w:t>
      </w:r>
      <w:r>
        <w:rPr>
          <w:rFonts w:ascii="Times New Roman" w:eastAsia="Times New Roman" w:hAnsi="Times New Roman" w:cs="Times New Roman"/>
          <w:sz w:val="20"/>
        </w:rPr>
        <w:t xml:space="preserve"> </w:t>
      </w:r>
      <w:r>
        <w:rPr>
          <w:rFonts w:ascii="Times New Roman" w:eastAsia="Times New Roman" w:hAnsi="Times New Roman" w:cs="Times New Roman"/>
          <w:sz w:val="20"/>
        </w:rPr>
        <w:t>$102,539</w:t>
      </w:r>
      <w:r>
        <w:rPr>
          <w:rFonts w:ascii="Times New Roman" w:eastAsia="Times New Roman" w:hAnsi="Times New Roman" w:cs="Times New Roman"/>
          <w:sz w:val="20"/>
        </w:rPr>
        <w:t xml:space="preserve"> and </w:t>
      </w:r>
      <w:r>
        <w:rPr>
          <w:rFonts w:ascii="Times New Roman" w:eastAsia="Times New Roman" w:hAnsi="Times New Roman" w:cs="Times New Roman"/>
          <w:sz w:val="20"/>
        </w:rPr>
        <w:t>$89,251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and </w:t>
      </w:r>
      <w:r>
        <w:rPr>
          <w:rFonts w:ascii="Times New Roman" w:eastAsia="Times New Roman" w:hAnsi="Times New Roman" w:cs="Times New Roman"/>
          <w:sz w:val="20"/>
        </w:rPr>
        <w:t>$203,189</w:t>
      </w:r>
      <w:r>
        <w:rPr>
          <w:rFonts w:ascii="Times New Roman" w:eastAsia="Times New Roman" w:hAnsi="Times New Roman" w:cs="Times New Roman"/>
          <w:sz w:val="20"/>
        </w:rPr>
        <w:t xml:space="preserve"> and </w:t>
      </w:r>
      <w:r>
        <w:rPr>
          <w:rFonts w:ascii="Times New Roman" w:eastAsia="Times New Roman" w:hAnsi="Times New Roman" w:cs="Times New Roman"/>
          <w:sz w:val="20"/>
        </w:rPr>
        <w:t>$164,093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2020</w:t>
      </w:r>
      <w:r>
        <w:rPr>
          <w:rFonts w:ascii="Times New Roman" w:eastAsia="Times New Roman" w:hAnsi="Times New Roman" w:cs="Times New Roman"/>
          <w:sz w:val="20"/>
        </w:rPr>
        <w:t>, future estimated amortization expense related to software development costs is set forth in the following schedule:</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235"/>
        <w:gridCol w:w="160"/>
        <w:gridCol w:w="1735"/>
        <w:gridCol w:w="100"/>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823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Software Development Amortization Expense</w:t>
            </w:r>
          </w:p>
        </w:tc>
      </w:tr>
      <w:tr>
        <w:tblPrEx>
          <w:tblW w:w="10230" w:type="dxa"/>
          <w:jc w:val="left"/>
          <w:tblInd w:w="0" w:type="dxa"/>
          <w:tblCellMar>
            <w:left w:w="108" w:type="dxa"/>
            <w:right w:w="108" w:type="dxa"/>
          </w:tblCellMar>
        </w:tblPrEx>
        <w:trPr>
          <w:cantSplit/>
          <w:trHeight w:hRule="exact" w:val="300"/>
          <w:jc w:val="left"/>
        </w:trPr>
        <w:tc>
          <w:tcPr>
            <w:tcW w:w="82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Remainder of 2020</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7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201,500 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82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2021</w:t>
            </w: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402,508 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82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2022</w:t>
            </w: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347,141 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82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2023</w:t>
            </w: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306,352 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823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2024</w:t>
            </w:r>
          </w:p>
        </w:tc>
        <w:tc>
          <w:tcPr>
            <w:tcW w:w="18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124,431 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823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Thereafter</w:t>
            </w:r>
          </w:p>
        </w:tc>
        <w:tc>
          <w:tcPr>
            <w:tcW w:w="18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31,988 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823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Total</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7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1,413,920 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pageBreakBefore w:val="0"/>
        <w:widowControl w:val="0"/>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3"/>
        <w:rPr>
          <w:rFonts w:ascii="Times New Roman" w:eastAsia="Times New Roman" w:hAnsi="Times New Roman" w:cs="Times New Roman"/>
          <w:b/>
          <w:sz w:val="20"/>
        </w:rPr>
      </w:pPr>
      <w:bookmarkStart w:id="13" w:name="Section14"/>
      <w:bookmarkEnd w:id="13"/>
      <w:r>
        <w:rPr>
          <w:rFonts w:ascii="Times New Roman" w:eastAsia="Times New Roman" w:hAnsi="Times New Roman" w:cs="Times New Roman"/>
          <w:b/>
          <w:sz w:val="20"/>
        </w:rPr>
        <w:t xml:space="preserve">NOTE 5. </w:t>
      </w:r>
      <w:r>
        <w:rPr>
          <w:rFonts w:ascii="Times New Roman" w:eastAsia="Times New Roman" w:hAnsi="Times New Roman" w:cs="Times New Roman"/>
          <w:b/>
          <w:sz w:val="20"/>
        </w:rPr>
        <w:tab/>
      </w:r>
      <w:r>
        <w:rPr>
          <w:rFonts w:ascii="Times New Roman" w:eastAsia="Times New Roman" w:hAnsi="Times New Roman" w:cs="Times New Roman"/>
          <w:b/>
          <w:sz w:val="20"/>
        </w:rPr>
        <w:t>ACCRUED EXPENSES</w:t>
      </w:r>
    </w:p>
    <w:p>
      <w:pPr>
        <w:keepNext w:val="0"/>
        <w:keepLines w:val="0"/>
        <w:pageBreakBefore w:val="0"/>
        <w:widowControl/>
        <w:numPr>
          <w:ilvl w:val="0"/>
          <w:numId w:val="0"/>
        </w:numPr>
        <w:spacing w:before="120" w:after="10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Accrued expenses consist of the following: </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15"/>
        <w:gridCol w:w="160"/>
        <w:gridCol w:w="1360"/>
        <w:gridCol w:w="100"/>
        <w:gridCol w:w="75"/>
        <w:gridCol w:w="160"/>
        <w:gridCol w:w="1360"/>
        <w:gridCol w:w="100"/>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69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2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June 30, 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2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December 31, 2019</w:t>
            </w: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Accrued payroll liabilities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1,069,490 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1,202,765 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Accrued taxes</w:t>
            </w: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165,150 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117,698 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Current portion of finance obligation</w:t>
            </w:r>
          </w:p>
        </w:tc>
        <w:tc>
          <w:tcPr>
            <w:tcW w:w="15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28,603 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2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26,837 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Accrued other</w:t>
            </w: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24,409 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2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30,256 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30" w:type="dxa"/>
          <w:jc w:val="left"/>
          <w:tblInd w:w="0" w:type="dxa"/>
          <w:tblCellMar>
            <w:left w:w="108" w:type="dxa"/>
            <w:right w:w="108" w:type="dxa"/>
          </w:tblCellMar>
        </w:tblPrEx>
        <w:trPr>
          <w:cantSplit/>
          <w:trHeight w:hRule="exact" w:val="300"/>
          <w:jc w:val="left"/>
        </w:trPr>
        <w:tc>
          <w:tcPr>
            <w:tcW w:w="691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Total accrued liabilities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1,287,652 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3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1,377,556 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48" w:lineRule="auto"/>
        <w:ind w:left="0" w:right="0" w:firstLine="0"/>
        <w:jc w:val="left"/>
        <w:outlineLvl w:val="3"/>
        <w:rPr>
          <w:rFonts w:ascii="Times New Roman" w:eastAsia="Times New Roman" w:hAnsi="Times New Roman" w:cs="Times New Roman"/>
          <w:b/>
          <w:sz w:val="20"/>
        </w:rPr>
      </w:pPr>
      <w:bookmarkStart w:id="14" w:name="Section15"/>
      <w:bookmarkEnd w:id="14"/>
      <w:r>
        <w:rPr>
          <w:rFonts w:ascii="Times New Roman" w:eastAsia="Times New Roman" w:hAnsi="Times New Roman" w:cs="Times New Roman"/>
          <w:b/>
          <w:sz w:val="20"/>
        </w:rPr>
        <w:t>NOTE 6.</w:t>
      </w:r>
      <w:r>
        <w:rPr>
          <w:rFonts w:ascii="Times New Roman" w:eastAsia="Times New Roman" w:hAnsi="Times New Roman" w:cs="Times New Roman"/>
          <w:b/>
          <w:sz w:val="20"/>
        </w:rPr>
        <w:tab/>
      </w:r>
      <w:r>
        <w:rPr>
          <w:rFonts w:ascii="Times New Roman" w:eastAsia="Times New Roman" w:hAnsi="Times New Roman" w:cs="Times New Roman"/>
          <w:b/>
          <w:sz w:val="20"/>
        </w:rPr>
        <w:t>NOTES PAYABLE</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12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color w:val="1A1A1A"/>
          <w:sz w:val="20"/>
          <w:u w:val="single"/>
          <w:shd w:val="clear" w:color="auto" w:fill="FFFFFF"/>
        </w:rPr>
        <w:t xml:space="preserve">Canada Emergency Business Account </w:t>
      </w:r>
      <w:r>
        <w:rPr>
          <w:rFonts w:ascii="Times New Roman" w:eastAsia="Times New Roman" w:hAnsi="Times New Roman" w:cs="Times New Roman"/>
          <w:b/>
          <w:color w:val="1A1A1A"/>
          <w:sz w:val="20"/>
          <w:u w:val="single"/>
          <w:shd w:val="clear" w:color="auto" w:fill="FFFFFF"/>
        </w:rPr>
        <w:t>(</w:t>
      </w:r>
      <w:r>
        <w:rPr>
          <w:rFonts w:ascii="Times New Roman" w:eastAsia="Times New Roman" w:hAnsi="Times New Roman" w:cs="Times New Roman"/>
          <w:b/>
          <w:color w:val="1A1A1A"/>
          <w:sz w:val="20"/>
          <w:u w:val="single"/>
          <w:shd w:val="clear" w:color="auto" w:fill="FFFFFF"/>
        </w:rPr>
        <w:t>“</w:t>
      </w:r>
      <w:r>
        <w:rPr>
          <w:rFonts w:ascii="Times New Roman" w:eastAsia="Times New Roman" w:hAnsi="Times New Roman" w:cs="Times New Roman"/>
          <w:b/>
          <w:sz w:val="20"/>
          <w:u w:val="single"/>
        </w:rPr>
        <w:t>C</w:t>
      </w:r>
      <w:r>
        <w:rPr>
          <w:rFonts w:ascii="Times New Roman" w:eastAsia="Times New Roman" w:hAnsi="Times New Roman" w:cs="Times New Roman"/>
          <w:b/>
          <w:sz w:val="20"/>
          <w:u w:val="single"/>
        </w:rPr>
        <w:t>EBA</w:t>
      </w:r>
      <w:r>
        <w:rPr>
          <w:rFonts w:ascii="Times New Roman" w:eastAsia="Times New Roman" w:hAnsi="Times New Roman" w:cs="Times New Roman"/>
          <w:b/>
          <w:sz w:val="20"/>
          <w:u w:val="single"/>
        </w:rPr>
        <w:t>”</w:t>
      </w:r>
      <w:r>
        <w:rPr>
          <w:rFonts w:ascii="Times New Roman" w:eastAsia="Times New Roman" w:hAnsi="Times New Roman" w:cs="Times New Roman"/>
          <w:b/>
          <w:sz w:val="20"/>
          <w:u w:val="single"/>
        </w:rPr>
        <w:t>)</w:t>
      </w:r>
      <w:r>
        <w:rPr>
          <w:rFonts w:ascii="Times New Roman" w:eastAsia="Times New Roman" w:hAnsi="Times New Roman" w:cs="Times New Roman"/>
          <w:b/>
          <w:sz w:val="20"/>
          <w:u w:val="single"/>
        </w:rPr>
        <w:t xml:space="preserve"> Loan</w:t>
      </w:r>
    </w:p>
    <w:p>
      <w:pPr>
        <w:keepNext/>
        <w:keepLines/>
        <w:pageBreakBefore w:val="0"/>
        <w:widowControl w:val="0"/>
        <w:numPr>
          <w:ilvl w:val="0"/>
          <w:numId w:val="0"/>
        </w:numPr>
        <w:spacing w:before="12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color w:val="1A1A1A"/>
          <w:sz w:val="20"/>
          <w:shd w:val="clear" w:color="auto" w:fill="FFFFFF"/>
        </w:rPr>
        <w:tab/>
      </w:r>
      <w:r>
        <w:rPr>
          <w:rFonts w:ascii="Times New Roman" w:eastAsia="Times New Roman" w:hAnsi="Times New Roman" w:cs="Times New Roman"/>
          <w:color w:val="1A1A1A"/>
          <w:sz w:val="20"/>
          <w:shd w:val="clear" w:color="auto" w:fill="FFFFFF"/>
        </w:rPr>
        <w:t xml:space="preserve">On April 22, 2020, the Company received a Canadian dollar loan in the principal amount of </w:t>
      </w:r>
      <w:r>
        <w:rPr>
          <w:rFonts w:ascii="Times New Roman" w:eastAsia="Times New Roman" w:hAnsi="Times New Roman" w:cs="Times New Roman"/>
          <w:color w:val="1A1A1A"/>
          <w:sz w:val="20"/>
          <w:shd w:val="clear" w:color="auto" w:fill="FFFFFF"/>
        </w:rPr>
        <w:t>40,000</w:t>
      </w:r>
      <w:r>
        <w:rPr>
          <w:rFonts w:ascii="Times New Roman" w:eastAsia="Times New Roman" w:hAnsi="Times New Roman" w:cs="Times New Roman"/>
          <w:color w:val="1A1A1A"/>
          <w:sz w:val="20"/>
          <w:shd w:val="clear" w:color="auto" w:fill="FFFFFF"/>
        </w:rPr>
        <w:t xml:space="preserve"> CAD (</w:t>
      </w:r>
      <w:r>
        <w:rPr>
          <w:rFonts w:ascii="Times New Roman" w:eastAsia="Times New Roman" w:hAnsi="Times New Roman" w:cs="Times New Roman"/>
          <w:color w:val="1A1A1A"/>
          <w:sz w:val="20"/>
          <w:shd w:val="clear" w:color="auto" w:fill="FFFFFF"/>
        </w:rPr>
        <w:t>$29,487</w:t>
      </w:r>
      <w:r>
        <w:rPr>
          <w:rFonts w:ascii="Times New Roman" w:eastAsia="Times New Roman" w:hAnsi="Times New Roman" w:cs="Times New Roman"/>
          <w:color w:val="1A1A1A"/>
          <w:sz w:val="20"/>
          <w:shd w:val="clear" w:color="auto" w:fill="FFFFFF"/>
        </w:rPr>
        <w:t xml:space="preserve"> USD</w:t>
      </w:r>
      <w:r>
        <w:rPr>
          <w:rFonts w:ascii="Times New Roman" w:eastAsia="Times New Roman" w:hAnsi="Times New Roman" w:cs="Times New Roman"/>
          <w:color w:val="1A1A1A"/>
          <w:sz w:val="20"/>
          <w:shd w:val="clear" w:color="auto" w:fill="FFFFFF"/>
        </w:rPr>
        <w:t xml:space="preserve"> as of </w:t>
      </w:r>
      <w:r>
        <w:rPr>
          <w:rFonts w:ascii="Times New Roman" w:eastAsia="Times New Roman" w:hAnsi="Times New Roman" w:cs="Times New Roman"/>
          <w:sz w:val="20"/>
        </w:rPr>
        <w:t>June 30, 2020</w:t>
      </w:r>
      <w:r>
        <w:rPr>
          <w:rFonts w:ascii="Times New Roman" w:eastAsia="Times New Roman" w:hAnsi="Times New Roman" w:cs="Times New Roman"/>
          <w:color w:val="1A1A1A"/>
          <w:sz w:val="20"/>
          <w:shd w:val="clear" w:color="auto" w:fill="FFFFFF"/>
        </w:rPr>
        <w:t xml:space="preserve">), from TD Canada Trust Bank pursuant to </w:t>
      </w:r>
      <w:r>
        <w:rPr>
          <w:rFonts w:ascii="Times New Roman" w:eastAsia="Times New Roman" w:hAnsi="Times New Roman" w:cs="Times New Roman"/>
          <w:color w:val="1A1A1A"/>
          <w:sz w:val="20"/>
          <w:shd w:val="clear" w:color="auto" w:fill="FFFFFF"/>
        </w:rPr>
        <w:t>a</w:t>
      </w:r>
      <w:r>
        <w:rPr>
          <w:rFonts w:ascii="Times New Roman" w:eastAsia="Times New Roman" w:hAnsi="Times New Roman" w:cs="Times New Roman"/>
          <w:color w:val="1A1A1A"/>
          <w:sz w:val="20"/>
          <w:shd w:val="clear" w:color="auto" w:fill="FFFFFF"/>
        </w:rPr>
        <w:t xml:space="preserve"> </w:t>
      </w:r>
      <w:r>
        <w:rPr>
          <w:rFonts w:ascii="Times New Roman" w:eastAsia="Times New Roman" w:hAnsi="Times New Roman" w:cs="Times New Roman"/>
          <w:color w:val="1A1A1A"/>
          <w:sz w:val="20"/>
          <w:shd w:val="clear" w:color="auto" w:fill="FFFFFF"/>
        </w:rPr>
        <w:t>CEBA</w:t>
      </w:r>
      <w:r>
        <w:rPr>
          <w:rFonts w:ascii="Times New Roman" w:eastAsia="Times New Roman" w:hAnsi="Times New Roman" w:cs="Times New Roman"/>
          <w:color w:val="1A1A1A"/>
          <w:sz w:val="20"/>
          <w:shd w:val="clear" w:color="auto" w:fill="FFFFFF"/>
        </w:rPr>
        <w:t xml:space="preserve"> term loan agreement (the “CEBA Loan”). </w:t>
      </w:r>
      <w:r>
        <w:rPr>
          <w:rFonts w:ascii="Times New Roman" w:eastAsia="Times New Roman" w:hAnsi="Times New Roman" w:cs="Times New Roman"/>
          <w:color w:val="1A1A1A"/>
          <w:sz w:val="20"/>
          <w:shd w:val="clear" w:color="auto" w:fill="FFFFFF"/>
        </w:rPr>
        <w:t xml:space="preserve">The CEBA Loan has an initial term from inception through December 31, 2022 (the “Initial Term”) and an extended term from January 1, 2023 through December 31, 2025 (the “Extended Term”). </w:t>
      </w:r>
      <w:r>
        <w:rPr>
          <w:rFonts w:ascii="Times New Roman" w:eastAsia="Times New Roman" w:hAnsi="Times New Roman" w:cs="Times New Roman"/>
          <w:color w:val="1A1A1A"/>
          <w:sz w:val="20"/>
          <w:shd w:val="clear" w:color="auto" w:fill="FFFFFF"/>
        </w:rPr>
        <w:t>No</w:t>
      </w:r>
      <w:r>
        <w:rPr>
          <w:rFonts w:ascii="Times New Roman" w:eastAsia="Times New Roman" w:hAnsi="Times New Roman" w:cs="Times New Roman"/>
          <w:color w:val="1A1A1A"/>
          <w:sz w:val="20"/>
          <w:shd w:val="clear" w:color="auto" w:fill="FFFFFF"/>
        </w:rPr>
        <w:t xml:space="preserve"> interest is accrued and </w:t>
      </w:r>
      <w:r>
        <w:rPr>
          <w:rFonts w:ascii="Times New Roman" w:eastAsia="Times New Roman" w:hAnsi="Times New Roman" w:cs="Times New Roman"/>
          <w:color w:val="1A1A1A"/>
          <w:sz w:val="20"/>
          <w:shd w:val="clear" w:color="auto" w:fill="FFFFFF"/>
        </w:rPr>
        <w:t>no</w:t>
      </w:r>
      <w:r>
        <w:rPr>
          <w:rFonts w:ascii="Times New Roman" w:eastAsia="Times New Roman" w:hAnsi="Times New Roman" w:cs="Times New Roman"/>
          <w:color w:val="1A1A1A"/>
          <w:sz w:val="20"/>
          <w:shd w:val="clear" w:color="auto" w:fill="FFFFFF"/>
        </w:rPr>
        <w:t xml:space="preserve"> payments are due on the loan during the Initial Term.  If the Company repays </w:t>
      </w:r>
      <w:r>
        <w:rPr>
          <w:rFonts w:ascii="Times New Roman" w:eastAsia="Times New Roman" w:hAnsi="Times New Roman" w:cs="Times New Roman"/>
          <w:color w:val="1A1A1A"/>
          <w:sz w:val="20"/>
          <w:shd w:val="clear" w:color="auto" w:fill="FFFFFF"/>
        </w:rPr>
        <w:t>75%</w:t>
      </w:r>
      <w:r>
        <w:rPr>
          <w:rFonts w:ascii="Times New Roman" w:eastAsia="Times New Roman" w:hAnsi="Times New Roman" w:cs="Times New Roman"/>
          <w:color w:val="1A1A1A"/>
          <w:sz w:val="20"/>
          <w:shd w:val="clear" w:color="auto" w:fill="FFFFFF"/>
        </w:rPr>
        <w:t xml:space="preserve"> of the CEBA Loan (</w:t>
      </w:r>
      <w:r>
        <w:rPr>
          <w:rFonts w:ascii="Times New Roman" w:eastAsia="Times New Roman" w:hAnsi="Times New Roman" w:cs="Times New Roman"/>
          <w:color w:val="1A1A1A"/>
          <w:sz w:val="20"/>
          <w:shd w:val="clear" w:color="auto" w:fill="FFFFFF"/>
        </w:rPr>
        <w:t>30,000</w:t>
      </w:r>
      <w:r>
        <w:rPr>
          <w:rFonts w:ascii="Times New Roman" w:eastAsia="Times New Roman" w:hAnsi="Times New Roman" w:cs="Times New Roman"/>
          <w:color w:val="1A1A1A"/>
          <w:sz w:val="20"/>
          <w:shd w:val="clear" w:color="auto" w:fill="FFFFFF"/>
        </w:rPr>
        <w:t xml:space="preserve"> CAD) on or prior to </w:t>
      </w:r>
      <w:r>
        <w:rPr>
          <w:rFonts w:ascii="Times New Roman" w:eastAsia="Times New Roman" w:hAnsi="Times New Roman" w:cs="Times New Roman"/>
          <w:color w:val="1A1A1A"/>
          <w:sz w:val="20"/>
          <w:shd w:val="clear" w:color="auto" w:fill="FFFFFF"/>
        </w:rPr>
        <w:t>December 31, 2022</w:t>
      </w:r>
      <w:r>
        <w:rPr>
          <w:rFonts w:ascii="Times New Roman" w:eastAsia="Times New Roman" w:hAnsi="Times New Roman" w:cs="Times New Roman"/>
          <w:color w:val="1A1A1A"/>
          <w:sz w:val="20"/>
          <w:shd w:val="clear" w:color="auto" w:fill="FFFFFF"/>
        </w:rPr>
        <w:t xml:space="preserve">, the remaining </w:t>
      </w:r>
      <w:r>
        <w:rPr>
          <w:rFonts w:ascii="Times New Roman" w:eastAsia="Times New Roman" w:hAnsi="Times New Roman" w:cs="Times New Roman"/>
          <w:color w:val="1A1A1A"/>
          <w:sz w:val="20"/>
          <w:shd w:val="clear" w:color="auto" w:fill="FFFFFF"/>
        </w:rPr>
        <w:t>10,000</w:t>
      </w:r>
      <w:r>
        <w:rPr>
          <w:rFonts w:ascii="Times New Roman" w:eastAsia="Times New Roman" w:hAnsi="Times New Roman" w:cs="Times New Roman"/>
          <w:color w:val="1A1A1A"/>
          <w:sz w:val="20"/>
          <w:shd w:val="clear" w:color="auto" w:fill="FFFFFF"/>
        </w:rPr>
        <w:t xml:space="preserve"> CAD balance will be forgiven. Otherwise, interest will begin to accrue on the unpaid balance on January 1, 2023 with monthly interest payments commencing on January 31, 2023 until the CEBA Loan is paid in full on or before the end of the Extended Term.</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Paycheck Protection Program</w:t>
      </w:r>
      <w:r>
        <w:rPr>
          <w:rFonts w:ascii="Times New Roman" w:eastAsia="Times New Roman" w:hAnsi="Times New Roman" w:cs="Times New Roman"/>
          <w:b/>
          <w:sz w:val="20"/>
          <w:u w:val="single"/>
        </w:rPr>
        <w:t xml:space="preserve"> </w:t>
      </w:r>
      <w:r>
        <w:rPr>
          <w:rFonts w:ascii="Times New Roman" w:eastAsia="Times New Roman" w:hAnsi="Times New Roman" w:cs="Times New Roman"/>
          <w:b/>
          <w:sz w:val="20"/>
          <w:u w:val="single"/>
        </w:rPr>
        <w:t>(“PPP”)</w:t>
      </w:r>
      <w:r>
        <w:rPr>
          <w:rFonts w:ascii="Times New Roman" w:eastAsia="Times New Roman" w:hAnsi="Times New Roman" w:cs="Times New Roman"/>
          <w:b/>
          <w:sz w:val="20"/>
          <w:u w:val="single"/>
        </w:rPr>
        <w:t xml:space="preserve"> Loan</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color w:val="1A1A1A"/>
          <w:sz w:val="20"/>
          <w:shd w:val="clear" w:color="auto" w:fill="FFFFFF"/>
        </w:rPr>
        <w:tab/>
      </w:r>
      <w:r>
        <w:rPr>
          <w:rFonts w:ascii="Times New Roman" w:eastAsia="Times New Roman" w:hAnsi="Times New Roman" w:cs="Times New Roman"/>
          <w:color w:val="1A1A1A"/>
          <w:sz w:val="20"/>
          <w:shd w:val="clear" w:color="auto" w:fill="FFFFFF"/>
        </w:rPr>
        <w:t>The Company applied for and o</w:t>
      </w:r>
      <w:r>
        <w:rPr>
          <w:rFonts w:ascii="Times New Roman" w:eastAsia="Times New Roman" w:hAnsi="Times New Roman" w:cs="Times New Roman"/>
          <w:sz w:val="20"/>
        </w:rPr>
        <w:t xml:space="preserve">n April 23, 2020, received a loan from Western Alliance Bank (the “Lender”) in the principal amount of </w:t>
      </w:r>
      <w:r>
        <w:rPr>
          <w:rFonts w:ascii="Times New Roman" w:eastAsia="Times New Roman" w:hAnsi="Times New Roman" w:cs="Times New Roman"/>
          <w:sz w:val="20"/>
        </w:rPr>
        <w:t>$1,905,100</w:t>
      </w:r>
      <w:r>
        <w:rPr>
          <w:rFonts w:ascii="Times New Roman" w:eastAsia="Times New Roman" w:hAnsi="Times New Roman" w:cs="Times New Roman"/>
          <w:sz w:val="20"/>
        </w:rPr>
        <w:t xml:space="preserve">, under the </w:t>
      </w:r>
      <w:r>
        <w:rPr>
          <w:rFonts w:ascii="Times New Roman" w:eastAsia="Times New Roman" w:hAnsi="Times New Roman" w:cs="Times New Roman"/>
          <w:sz w:val="20"/>
        </w:rPr>
        <w:t>PPP</w:t>
      </w:r>
      <w:r>
        <w:rPr>
          <w:rFonts w:ascii="Times New Roman" w:eastAsia="Times New Roman" w:hAnsi="Times New Roman" w:cs="Times New Roman"/>
          <w:sz w:val="20"/>
        </w:rPr>
        <w:t xml:space="preserve">, which was established under the </w:t>
      </w:r>
      <w:r>
        <w:rPr>
          <w:rFonts w:ascii="Times New Roman" w:eastAsia="Times New Roman" w:hAnsi="Times New Roman" w:cs="Times New Roman"/>
          <w:sz w:val="20"/>
        </w:rPr>
        <w:t xml:space="preserve">CARES Act administered by the </w:t>
      </w:r>
      <w:r>
        <w:rPr>
          <w:rFonts w:ascii="Times New Roman" w:eastAsia="Times New Roman" w:hAnsi="Times New Roman" w:cs="Times New Roman"/>
          <w:sz w:val="20"/>
        </w:rPr>
        <w:t>SBA</w:t>
      </w:r>
      <w:r>
        <w:rPr>
          <w:rFonts w:ascii="Times New Roman" w:eastAsia="Times New Roman" w:hAnsi="Times New Roman" w:cs="Times New Roman"/>
          <w:sz w:val="20"/>
        </w:rPr>
        <w:t xml:space="preserve">. The </w:t>
      </w:r>
      <w:r>
        <w:rPr>
          <w:rFonts w:ascii="Times New Roman" w:eastAsia="Times New Roman" w:hAnsi="Times New Roman" w:cs="Times New Roman"/>
          <w:sz w:val="20"/>
        </w:rPr>
        <w:t>PPP</w:t>
      </w:r>
      <w:r>
        <w:rPr>
          <w:rFonts w:ascii="Times New Roman" w:eastAsia="Times New Roman" w:hAnsi="Times New Roman" w:cs="Times New Roman"/>
          <w:sz w:val="20"/>
        </w:rPr>
        <w:t xml:space="preserve"> Loan is evidenced by a promissory note issued by the Company (the “Note”) to the Lender.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term of the Note is two years, though it may be payable sooner in connection with an event of default under the Note. The </w:t>
      </w:r>
      <w:r>
        <w:rPr>
          <w:rFonts w:ascii="Times New Roman" w:eastAsia="Times New Roman" w:hAnsi="Times New Roman" w:cs="Times New Roman"/>
          <w:sz w:val="20"/>
        </w:rPr>
        <w:t>PPP</w:t>
      </w:r>
      <w:r>
        <w:rPr>
          <w:rFonts w:ascii="Times New Roman" w:eastAsia="Times New Roman" w:hAnsi="Times New Roman" w:cs="Times New Roman"/>
          <w:sz w:val="20"/>
        </w:rPr>
        <w:t xml:space="preserve"> Loan carries a fixed interest rate of one percent per year, with the first </w:t>
      </w:r>
      <w:r>
        <w:rPr>
          <w:rFonts w:ascii="Times New Roman" w:eastAsia="Times New Roman" w:hAnsi="Times New Roman" w:cs="Times New Roman"/>
          <w:sz w:val="20"/>
        </w:rPr>
        <w:t>pri</w:t>
      </w:r>
      <w:r>
        <w:rPr>
          <w:rFonts w:ascii="Times New Roman" w:eastAsia="Times New Roman" w:hAnsi="Times New Roman" w:cs="Times New Roman"/>
          <w:sz w:val="20"/>
        </w:rPr>
        <w:t xml:space="preserve">ncipal and </w:t>
      </w:r>
      <w:r>
        <w:rPr>
          <w:rFonts w:ascii="Times New Roman" w:eastAsia="Times New Roman" w:hAnsi="Times New Roman" w:cs="Times New Roman"/>
          <w:sz w:val="20"/>
        </w:rPr>
        <w:t xml:space="preserve">interest </w:t>
      </w:r>
      <w:r>
        <w:rPr>
          <w:rFonts w:ascii="Times New Roman" w:eastAsia="Times New Roman" w:hAnsi="Times New Roman" w:cs="Times New Roman"/>
          <w:sz w:val="20"/>
        </w:rPr>
        <w:t xml:space="preserve">payment due seven months from the date of initial cash receipt. Under the CARES Act and the PPP, certain amounts of loans made under the PPP may be forgiven if the recipients use the loan proceeds for eligible purposes, including payroll costs and certain rent or utility costs, and meet other requirements regarding, among other things, the maintenance of employment and compensation levels. </w:t>
      </w:r>
      <w:r>
        <w:rPr>
          <w:rFonts w:ascii="Times New Roman" w:eastAsia="Times New Roman" w:hAnsi="Times New Roman" w:cs="Times New Roman"/>
          <w:color w:val="1A1A1A"/>
          <w:sz w:val="20"/>
        </w:rPr>
        <w:t>T</w:t>
      </w:r>
      <w:r>
        <w:rPr>
          <w:rFonts w:ascii="Times New Roman" w:eastAsia="Times New Roman" w:hAnsi="Times New Roman" w:cs="Times New Roman"/>
          <w:color w:val="1A1A1A"/>
          <w:sz w:val="20"/>
        </w:rPr>
        <w:t xml:space="preserve">he forgiveness of the </w:t>
      </w:r>
      <w:r>
        <w:rPr>
          <w:rFonts w:ascii="Times New Roman" w:eastAsia="Times New Roman" w:hAnsi="Times New Roman" w:cs="Times New Roman"/>
          <w:color w:val="1A1A1A"/>
          <w:sz w:val="20"/>
        </w:rPr>
        <w:t>PPP Loan</w:t>
      </w:r>
      <w:r>
        <w:rPr>
          <w:rFonts w:ascii="Times New Roman" w:eastAsia="Times New Roman" w:hAnsi="Times New Roman" w:cs="Times New Roman"/>
          <w:color w:val="1A1A1A"/>
          <w:sz w:val="20"/>
        </w:rPr>
        <w:t xml:space="preserve"> is dependent on the Company </w:t>
      </w:r>
      <w:r>
        <w:rPr>
          <w:rFonts w:ascii="Times New Roman" w:eastAsia="Times New Roman" w:hAnsi="Times New Roman" w:cs="Times New Roman"/>
          <w:color w:val="1A1A1A"/>
          <w:sz w:val="20"/>
        </w:rPr>
        <w:t xml:space="preserve">qualifying for the forgiveness of </w:t>
      </w:r>
      <w:r>
        <w:rPr>
          <w:rFonts w:ascii="Times New Roman" w:eastAsia="Times New Roman" w:hAnsi="Times New Roman" w:cs="Times New Roman"/>
          <w:color w:val="1A1A1A"/>
          <w:sz w:val="20"/>
        </w:rPr>
        <w:t>the PPP L</w:t>
      </w:r>
      <w:r>
        <w:rPr>
          <w:rFonts w:ascii="Times New Roman" w:eastAsia="Times New Roman" w:hAnsi="Times New Roman" w:cs="Times New Roman"/>
          <w:color w:val="1A1A1A"/>
          <w:sz w:val="20"/>
        </w:rPr>
        <w:t>oan based on its future adherence to the forgiveness criteria</w:t>
      </w:r>
      <w:r>
        <w:rPr>
          <w:rFonts w:ascii="Times New Roman" w:eastAsia="Times New Roman" w:hAnsi="Times New Roman" w:cs="Times New Roman"/>
          <w:color w:val="1A1A1A"/>
          <w:sz w:val="20"/>
        </w:rPr>
        <w:t xml:space="preserve"> under the CARES Act</w:t>
      </w:r>
      <w:r>
        <w:rPr>
          <w:rFonts w:ascii="Times New Roman" w:eastAsia="Times New Roman" w:hAnsi="Times New Roman" w:cs="Times New Roman"/>
          <w:color w:val="1A1A1A"/>
          <w:sz w:val="20"/>
        </w:rPr>
        <w:t xml:space="preserve">, but </w:t>
      </w:r>
      <w:r>
        <w:rPr>
          <w:rFonts w:ascii="Times New Roman" w:eastAsia="Times New Roman" w:hAnsi="Times New Roman" w:cs="Times New Roman"/>
          <w:color w:val="1A1A1A"/>
          <w:sz w:val="20"/>
        </w:rPr>
        <w:t xml:space="preserve">no assurance is provided that </w:t>
      </w:r>
      <w:r>
        <w:rPr>
          <w:rFonts w:ascii="Times New Roman" w:eastAsia="Times New Roman" w:hAnsi="Times New Roman" w:cs="Times New Roman"/>
          <w:color w:val="1A1A1A"/>
          <w:sz w:val="20"/>
        </w:rPr>
        <w:t>the Company</w:t>
      </w:r>
      <w:r>
        <w:rPr>
          <w:rFonts w:ascii="Times New Roman" w:eastAsia="Times New Roman" w:hAnsi="Times New Roman" w:cs="Times New Roman"/>
          <w:color w:val="1A1A1A"/>
          <w:sz w:val="20"/>
        </w:rPr>
        <w:t xml:space="preserve"> will ob</w:t>
      </w:r>
      <w:r>
        <w:rPr>
          <w:rFonts w:ascii="Times New Roman" w:eastAsia="Times New Roman" w:hAnsi="Times New Roman" w:cs="Times New Roman"/>
          <w:color w:val="1A1A1A"/>
          <w:sz w:val="20"/>
        </w:rPr>
        <w:t>tain forgiveness of the PPP Loan in whole or in part</w:t>
      </w:r>
      <w:r>
        <w:rPr>
          <w:rFonts w:ascii="Times New Roman" w:eastAsia="Times New Roman" w:hAnsi="Times New Roman" w:cs="Times New Roman"/>
          <w:color w:val="1A1A1A"/>
          <w:sz w:val="20"/>
        </w:rPr>
        <w:t>.</w:t>
      </w:r>
      <w:r>
        <w:rPr>
          <w:rFonts w:ascii="Times New Roman" w:eastAsia="Times New Roman" w:hAnsi="Times New Roman" w:cs="Times New Roman"/>
          <w:color w:val="1A1A1A"/>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48" w:lineRule="auto"/>
        <w:ind w:left="0" w:right="0" w:firstLine="0"/>
        <w:jc w:val="left"/>
        <w:outlineLvl w:val="3"/>
        <w:rPr>
          <w:rFonts w:ascii="Times New Roman" w:eastAsia="Times New Roman" w:hAnsi="Times New Roman" w:cs="Times New Roman"/>
          <w:b/>
          <w:sz w:val="20"/>
        </w:rPr>
      </w:pPr>
      <w:bookmarkStart w:id="15" w:name="Section16"/>
      <w:bookmarkEnd w:id="15"/>
      <w:r>
        <w:rPr>
          <w:rFonts w:ascii="Times New Roman" w:eastAsia="Times New Roman" w:hAnsi="Times New Roman" w:cs="Times New Roman"/>
          <w:b/>
          <w:sz w:val="20"/>
        </w:rPr>
        <w:t xml:space="preserve">NOTE </w:t>
      </w:r>
      <w:r>
        <w:rPr>
          <w:rFonts w:ascii="Times New Roman" w:eastAsia="Times New Roman" w:hAnsi="Times New Roman" w:cs="Times New Roman"/>
          <w:b/>
          <w:sz w:val="20"/>
        </w:rPr>
        <w:t>7</w:t>
      </w:r>
      <w:r>
        <w:rPr>
          <w:rFonts w:ascii="Times New Roman" w:eastAsia="Times New Roman" w:hAnsi="Times New Roman" w:cs="Times New Roman"/>
          <w:b/>
          <w:sz w:val="20"/>
        </w:rPr>
        <w:t>.</w:t>
      </w:r>
      <w:r>
        <w:rPr>
          <w:rFonts w:ascii="Times New Roman" w:eastAsia="Times New Roman" w:hAnsi="Times New Roman" w:cs="Times New Roman"/>
          <w:b/>
          <w:sz w:val="20"/>
        </w:rPr>
        <w:tab/>
      </w:r>
      <w:r>
        <w:rPr>
          <w:rFonts w:ascii="Times New Roman" w:eastAsia="Times New Roman" w:hAnsi="Times New Roman" w:cs="Times New Roman"/>
          <w:b/>
          <w:sz w:val="20"/>
        </w:rPr>
        <w:t>COMMITMENTS AND CONTINGENCIES</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Secured Credit Facility</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a secured credit facility agreement (also referred to herein as “line of credit”) with Western Alliance Bank, the parent company of Bridge Bank, N.A. of San Jose, California, which it obtained on March 1, 2013 and expanded on April 13, 2015. Pursuant to the secured credit facility agreement, as amended, the Company may submit requests for funding up to </w:t>
      </w:r>
      <w:r>
        <w:rPr>
          <w:rFonts w:ascii="Times New Roman" w:eastAsia="Times New Roman" w:hAnsi="Times New Roman" w:cs="Times New Roman"/>
          <w:sz w:val="20"/>
        </w:rPr>
        <w:t>80%</w:t>
      </w:r>
      <w:r>
        <w:rPr>
          <w:rFonts w:ascii="Times New Roman" w:eastAsia="Times New Roman" w:hAnsi="Times New Roman" w:cs="Times New Roman"/>
          <w:sz w:val="20"/>
        </w:rPr>
        <w:t xml:space="preserve"> of its eligible accounts receivable up to a maximum credit limit of </w:t>
      </w:r>
      <w:r>
        <w:rPr>
          <w:rFonts w:ascii="Times New Roman" w:eastAsia="Times New Roman" w:hAnsi="Times New Roman" w:cs="Times New Roman"/>
          <w:sz w:val="20"/>
        </w:rPr>
        <w:t>$5 million</w:t>
      </w:r>
      <w:r>
        <w:rPr>
          <w:rFonts w:ascii="Times New Roman" w:eastAsia="Times New Roman" w:hAnsi="Times New Roman" w:cs="Times New Roman"/>
          <w:sz w:val="20"/>
        </w:rPr>
        <w:t>. This agreement is secured by the Company’s accounts receivable and substantially all of the Company’s other assets. The</w:t>
      </w:r>
      <w:r>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greement automatically renews in April of each year and requires the Company to pay an annual facility fee of </w:t>
      </w:r>
      <w:r>
        <w:rPr>
          <w:rFonts w:ascii="Times New Roman" w:eastAsia="Times New Roman" w:hAnsi="Times New Roman" w:cs="Times New Roman"/>
          <w:sz w:val="20"/>
        </w:rPr>
        <w:t>$20,000</w:t>
      </w:r>
      <w:r>
        <w:rPr>
          <w:rFonts w:ascii="Times New Roman" w:eastAsia="Times New Roman" w:hAnsi="Times New Roman" w:cs="Times New Roman"/>
          <w:sz w:val="20"/>
        </w:rPr>
        <w:t xml:space="preserve"> (</w:t>
      </w:r>
      <w:r>
        <w:rPr>
          <w:rFonts w:ascii="Times New Roman" w:eastAsia="Times New Roman" w:hAnsi="Times New Roman" w:cs="Times New Roman"/>
          <w:sz w:val="20"/>
        </w:rPr>
        <w:t>0.4%</w:t>
      </w:r>
      <w:r>
        <w:rPr>
          <w:rFonts w:ascii="Times New Roman" w:eastAsia="Times New Roman" w:hAnsi="Times New Roman" w:cs="Times New Roman"/>
          <w:sz w:val="20"/>
        </w:rPr>
        <w:t xml:space="preserve"> of the credit limit) and an annual due diligence fee of </w:t>
      </w:r>
      <w:r>
        <w:rPr>
          <w:rFonts w:ascii="Times New Roman" w:eastAsia="Times New Roman" w:hAnsi="Times New Roman" w:cs="Times New Roman"/>
          <w:sz w:val="20"/>
        </w:rPr>
        <w:t>$1,000</w:t>
      </w:r>
      <w:r>
        <w:rPr>
          <w:rFonts w:ascii="Times New Roman" w:eastAsia="Times New Roman" w:hAnsi="Times New Roman" w:cs="Times New Roman"/>
          <w:sz w:val="20"/>
        </w:rPr>
        <w:t xml:space="preserve">. Interest accrues on the advances at the rate of </w:t>
      </w:r>
      <w:r>
        <w:rPr>
          <w:rFonts w:ascii="Times New Roman" w:eastAsia="Times New Roman" w:hAnsi="Times New Roman" w:cs="Times New Roman"/>
          <w:sz w:val="20"/>
        </w:rPr>
        <w:t>prime plus 1.5%</w:t>
      </w:r>
      <w:r>
        <w:rPr>
          <w:rFonts w:ascii="Times New Roman" w:eastAsia="Times New Roman" w:hAnsi="Times New Roman" w:cs="Times New Roman"/>
          <w:sz w:val="20"/>
        </w:rPr>
        <w:t xml:space="preserve"> per annum and the default rate of interest is </w:t>
      </w:r>
      <w:r>
        <w:rPr>
          <w:rFonts w:ascii="Times New Roman" w:eastAsia="Times New Roman" w:hAnsi="Times New Roman" w:cs="Times New Roman"/>
          <w:sz w:val="20"/>
        </w:rPr>
        <w:t>prime plus 7%</w:t>
      </w:r>
      <w:r>
        <w:rPr>
          <w:rFonts w:ascii="Times New Roman" w:eastAsia="Times New Roman" w:hAnsi="Times New Roman" w:cs="Times New Roman"/>
          <w:sz w:val="20"/>
        </w:rPr>
        <w:t xml:space="preserve">. </w:t>
      </w: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had </w:t>
      </w:r>
      <w:r>
        <w:rPr>
          <w:rFonts w:ascii="Times New Roman" w:eastAsia="Times New Roman" w:hAnsi="Times New Roman" w:cs="Times New Roman"/>
          <w:sz w:val="20"/>
        </w:rPr>
        <w:t>no amounts</w:t>
      </w:r>
      <w:r>
        <w:rPr>
          <w:rFonts w:ascii="Times New Roman" w:eastAsia="Times New Roman" w:hAnsi="Times New Roman" w:cs="Times New Roman"/>
          <w:sz w:val="20"/>
        </w:rPr>
        <w:t xml:space="preserve"> outstanding under this secured credit facility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and</w:t>
      </w:r>
      <w:r>
        <w:rPr>
          <w:rFonts w:ascii="Times New Roman" w:eastAsia="Times New Roman" w:hAnsi="Times New Roman" w:cs="Times New Roman"/>
          <w:sz w:val="20"/>
        </w:rPr>
        <w:t xml:space="preserve">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Assuming that all of the Company’s </w:t>
      </w:r>
      <w:r>
        <w:rPr>
          <w:rFonts w:ascii="Times New Roman" w:eastAsia="Times New Roman" w:hAnsi="Times New Roman" w:cs="Times New Roman"/>
          <w:sz w:val="20"/>
        </w:rPr>
        <w:t>trade accounts receivable</w:t>
      </w:r>
      <w:r>
        <w:rPr>
          <w:rFonts w:ascii="Times New Roman" w:eastAsia="Times New Roman" w:hAnsi="Times New Roman" w:cs="Times New Roman"/>
          <w:sz w:val="20"/>
        </w:rPr>
        <w:t xml:space="preserve">s were </w:t>
      </w:r>
      <w:r>
        <w:rPr>
          <w:rFonts w:ascii="Times New Roman" w:eastAsia="Times New Roman" w:hAnsi="Times New Roman" w:cs="Times New Roman"/>
          <w:sz w:val="20"/>
        </w:rPr>
        <w:t xml:space="preserve">eligible for funding, the Company would have approximately </w:t>
      </w:r>
      <w:r>
        <w:rPr>
          <w:rFonts w:ascii="Times New Roman" w:eastAsia="Times New Roman" w:hAnsi="Times New Roman" w:cs="Times New Roman"/>
          <w:sz w:val="20"/>
        </w:rPr>
        <w:t>$2.4 million</w:t>
      </w:r>
      <w:r>
        <w:rPr>
          <w:rFonts w:ascii="Times New Roman" w:eastAsia="Times New Roman" w:hAnsi="Times New Roman" w:cs="Times New Roman"/>
          <w:sz w:val="20"/>
        </w:rPr>
        <w:t xml:space="preserve"> in available credit under the agreement as of </w:t>
      </w:r>
      <w:r>
        <w:rPr>
          <w:rFonts w:ascii="Times New Roman" w:eastAsia="Times New Roman" w:hAnsi="Times New Roman" w:cs="Times New Roman"/>
          <w:sz w:val="20"/>
        </w:rPr>
        <w:t>June 30, 2020</w:t>
      </w:r>
      <w:r>
        <w:rPr>
          <w:rFonts w:ascii="Times New Roman" w:eastAsia="Times New Roman" w:hAnsi="Times New Roman" w:cs="Times New Roman"/>
          <w:sz w:val="20"/>
        </w:rPr>
        <w:t>.</w:t>
      </w:r>
    </w:p>
    <w:p>
      <w:pPr>
        <w:keepNext w:val="0"/>
        <w:keepLines/>
        <w:pageBreakBefore w:val="0"/>
        <w:widowControl w:val="0"/>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annual fees are capitalized in the Company’s consolidated balance sheet within other current assets and are amortized to interest expense over </w:t>
      </w:r>
      <w:r>
        <w:rPr>
          <w:rFonts w:ascii="Times New Roman" w:eastAsia="Times New Roman" w:hAnsi="Times New Roman" w:cs="Times New Roman"/>
          <w:sz w:val="20"/>
        </w:rPr>
        <w:t>one year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Company amortized </w:t>
      </w:r>
      <w:r>
        <w:rPr>
          <w:rFonts w:ascii="Times New Roman" w:eastAsia="Times New Roman" w:hAnsi="Times New Roman" w:cs="Times New Roman"/>
          <w:sz w:val="20"/>
        </w:rPr>
        <w:t>$5,250</w:t>
      </w:r>
      <w:r>
        <w:rPr>
          <w:rFonts w:ascii="Times New Roman" w:eastAsia="Times New Roman" w:hAnsi="Times New Roman" w:cs="Times New Roman"/>
          <w:sz w:val="20"/>
        </w:rPr>
        <w:t xml:space="preserve"> and </w:t>
      </w:r>
      <w:r>
        <w:rPr>
          <w:rFonts w:ascii="Times New Roman" w:eastAsia="Times New Roman" w:hAnsi="Times New Roman" w:cs="Times New Roman"/>
          <w:sz w:val="20"/>
        </w:rPr>
        <w:t>$6,303</w:t>
      </w:r>
      <w:r>
        <w:rPr>
          <w:rFonts w:ascii="Times New Roman" w:eastAsia="Times New Roman" w:hAnsi="Times New Roman" w:cs="Times New Roman"/>
          <w:sz w:val="20"/>
        </w:rPr>
        <w:t xml:space="preserve"> of the secured credit facility costs through interest expense.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Company amortized </w:t>
      </w:r>
      <w:r>
        <w:rPr>
          <w:rFonts w:ascii="Times New Roman" w:eastAsia="Times New Roman" w:hAnsi="Times New Roman" w:cs="Times New Roman"/>
          <w:sz w:val="20"/>
        </w:rPr>
        <w:t>$10,500</w:t>
      </w:r>
      <w:r>
        <w:rPr>
          <w:rFonts w:ascii="Times New Roman" w:eastAsia="Times New Roman" w:hAnsi="Times New Roman" w:cs="Times New Roman"/>
          <w:sz w:val="20"/>
        </w:rPr>
        <w:t xml:space="preserve"> and </w:t>
      </w:r>
      <w:r>
        <w:rPr>
          <w:rFonts w:ascii="Times New Roman" w:eastAsia="Times New Roman" w:hAnsi="Times New Roman" w:cs="Times New Roman"/>
          <w:sz w:val="20"/>
        </w:rPr>
        <w:t>$14,714</w:t>
      </w:r>
      <w:r>
        <w:rPr>
          <w:rFonts w:ascii="Times New Roman" w:eastAsia="Times New Roman" w:hAnsi="Times New Roman" w:cs="Times New Roman"/>
          <w:sz w:val="20"/>
        </w:rPr>
        <w:t xml:space="preserve"> of the secured credit facility costs through interest expense. The remaining value of the capitalized loan costs related to the secured credit facility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is </w:t>
      </w:r>
      <w:r>
        <w:rPr>
          <w:rFonts w:ascii="Times New Roman" w:eastAsia="Times New Roman" w:hAnsi="Times New Roman" w:cs="Times New Roman"/>
          <w:sz w:val="20"/>
        </w:rPr>
        <w:t>$17,500</w:t>
      </w:r>
      <w:r>
        <w:rPr>
          <w:rFonts w:ascii="Times New Roman" w:eastAsia="Times New Roman" w:hAnsi="Times New Roman" w:cs="Times New Roman"/>
          <w:sz w:val="20"/>
        </w:rPr>
        <w:t xml:space="preserve">; this amount will be amortized to interest expense over the next </w:t>
      </w:r>
      <w:r>
        <w:rPr>
          <w:rFonts w:ascii="Times New Roman" w:eastAsia="Times New Roman" w:hAnsi="Times New Roman" w:cs="Times New Roman"/>
          <w:sz w:val="20"/>
        </w:rPr>
        <w:t xml:space="preserve">ten </w:t>
      </w:r>
      <w:r>
        <w:rPr>
          <w:rFonts w:ascii="Times New Roman" w:eastAsia="Times New Roman" w:hAnsi="Times New Roman" w:cs="Times New Roman"/>
          <w:sz w:val="20"/>
        </w:rPr>
        <w:t>month</w:t>
      </w:r>
      <w:r>
        <w:rPr>
          <w:rFonts w:ascii="Times New Roman" w:eastAsia="Times New Roman" w:hAnsi="Times New Roman" w:cs="Times New Roman"/>
          <w:sz w:val="20"/>
        </w:rPr>
        <w:t>s</w:t>
      </w:r>
      <w:r>
        <w:rPr>
          <w:rFonts w:ascii="Times New Roman" w:eastAsia="Times New Roman" w:hAnsi="Times New Roman" w:cs="Times New Roman"/>
          <w:sz w:val="20"/>
        </w:rPr>
        <w:t>.</w:t>
      </w:r>
    </w:p>
    <w:p>
      <w:pPr>
        <w:keepNext w:val="0"/>
        <w:keepLines w:val="0"/>
        <w:pageBreakBefore w:val="0"/>
        <w:widowControl/>
        <w:numPr>
          <w:ilvl w:val="0"/>
          <w:numId w:val="0"/>
        </w:numPr>
        <w:tabs>
          <w:tab w:val="left" w:pos="6840"/>
          <w:tab w:val="left" w:pos="7200"/>
          <w:tab w:val="left" w:pos="7920"/>
          <w:tab w:val="left" w:pos="8640"/>
          <w:tab w:val="left" w:pos="9360"/>
          <w:tab w:val="left" w:pos="10080"/>
          <w:tab w:val="left" w:pos="10800"/>
          <w:tab w:val="left" w:pos="11520"/>
        </w:tabs>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 xml:space="preserve">Lease Commitments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Company’s corporate headquarters were located at 480 N. Orlando Avenue, Suite 200 in Winter Park, Florida until its lease expired on April 30, 2020. </w:t>
      </w:r>
      <w:r>
        <w:rPr>
          <w:rFonts w:ascii="Times New Roman" w:eastAsia="Times New Roman" w:hAnsi="Times New Roman" w:cs="Times New Roman"/>
          <w:sz w:val="20"/>
        </w:rPr>
        <w:t>D</w:t>
      </w:r>
      <w:r>
        <w:rPr>
          <w:rFonts w:ascii="Times New Roman" w:eastAsia="Times New Roman" w:hAnsi="Times New Roman" w:cs="Times New Roman"/>
          <w:sz w:val="20"/>
        </w:rPr>
        <w:t xml:space="preserve">ue to its current work from home policy enacted on March 16, 2020 as a result of </w:t>
      </w:r>
      <w:r>
        <w:rPr>
          <w:rFonts w:ascii="Times New Roman" w:eastAsia="Times New Roman" w:hAnsi="Times New Roman" w:cs="Times New Roman"/>
          <w:color w:val="1A1A1A"/>
          <w:sz w:val="20"/>
        </w:rPr>
        <w:t>the</w:t>
      </w:r>
      <w:r>
        <w:rPr>
          <w:rFonts w:ascii="Times New Roman" w:eastAsia="Times New Roman" w:hAnsi="Times New Roman" w:cs="Times New Roman"/>
          <w:color w:val="1A1A1A"/>
          <w:sz w:val="20"/>
        </w:rPr>
        <w:t xml:space="preserve"> </w:t>
      </w:r>
      <w:r>
        <w:rPr>
          <w:rFonts w:ascii="Times New Roman" w:eastAsia="Times New Roman" w:hAnsi="Times New Roman" w:cs="Times New Roman"/>
          <w:color w:val="1A1A1A"/>
          <w:sz w:val="20"/>
        </w:rPr>
        <w:t>COVID-19</w:t>
      </w:r>
      <w:r>
        <w:rPr>
          <w:rFonts w:ascii="Times New Roman" w:eastAsia="Times New Roman" w:hAnsi="Times New Roman" w:cs="Times New Roman"/>
          <w:color w:val="1A1A1A"/>
          <w:sz w:val="20"/>
        </w:rPr>
        <w:t xml:space="preserve"> pandemic, t</w:t>
      </w:r>
      <w:r>
        <w:rPr>
          <w:rFonts w:ascii="Times New Roman" w:eastAsia="Times New Roman" w:hAnsi="Times New Roman" w:cs="Times New Roman"/>
          <w:sz w:val="20"/>
        </w:rPr>
        <w:t>he Company has not yet entered into any new lease agreement for its headquarters</w:t>
      </w:r>
      <w:r>
        <w:rPr>
          <w:rFonts w:ascii="Times New Roman" w:eastAsia="Times New Roman" w:hAnsi="Times New Roman" w:cs="Times New Roman"/>
          <w:sz w:val="20"/>
        </w:rPr>
        <w:t xml:space="preserve"> and does not intend to do so </w:t>
      </w:r>
      <w:r>
        <w:rPr>
          <w:rFonts w:ascii="Times New Roman" w:eastAsia="Times New Roman" w:hAnsi="Times New Roman" w:cs="Times New Roman"/>
          <w:sz w:val="20"/>
        </w:rPr>
        <w:t xml:space="preserve">prior to the end of 2020 and until </w:t>
      </w:r>
      <w:r>
        <w:rPr>
          <w:rFonts w:ascii="Times New Roman" w:eastAsia="Times New Roman" w:hAnsi="Times New Roman" w:cs="Times New Roman"/>
          <w:sz w:val="20"/>
        </w:rPr>
        <w:t>circumstances allow</w:t>
      </w:r>
      <w:r>
        <w:rPr>
          <w:rFonts w:ascii="Times New Roman" w:eastAsia="Times New Roman" w:hAnsi="Times New Roman" w:cs="Times New Roman"/>
          <w:color w:val="1A1A1A"/>
          <w:sz w:val="20"/>
        </w:rPr>
        <w:t xml:space="preserve">. </w:t>
      </w:r>
      <w:r>
        <w:rPr>
          <w:rFonts w:ascii="Times New Roman" w:eastAsia="Times New Roman" w:hAnsi="Times New Roman" w:cs="Times New Roman"/>
          <w:sz w:val="20"/>
        </w:rPr>
        <w:t xml:space="preserve">The Company also occupied flexible office space under monthly, quarterly or semi-annual membership contracts in Los Angeles, San Francisco, Denver, Chicago, and Toronto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but the contracts for Los Angeles, San Francisco and Toronto were not renewed upon expiration of their terms on April 30, 2020.</w:t>
      </w:r>
      <w:r>
        <w:rPr>
          <w:rFonts w:ascii="Times New Roman" w:eastAsia="Times New Roman" w:hAnsi="Times New Roman" w:cs="Times New Roman"/>
          <w:sz w:val="20"/>
        </w:rPr>
        <w:t xml:space="preserve"> </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Upon the January 1, 2019 adoption of ASU No. 2016-02, </w:t>
      </w:r>
      <w:r>
        <w:rPr>
          <w:rFonts w:ascii="Times New Roman" w:eastAsia="Times New Roman" w:hAnsi="Times New Roman" w:cs="Times New Roman"/>
          <w:i/>
          <w:sz w:val="20"/>
        </w:rPr>
        <w:t>Leases</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one</w:t>
      </w:r>
      <w:r>
        <w:rPr>
          <w:rFonts w:ascii="Times New Roman" w:eastAsia="Times New Roman" w:hAnsi="Times New Roman" w:cs="Times New Roman"/>
          <w:sz w:val="20"/>
        </w:rPr>
        <w:t xml:space="preserve"> material lease greater than 12 months in duration</w:t>
      </w:r>
      <w:r>
        <w:rPr>
          <w:rFonts w:ascii="Times New Roman" w:eastAsia="Times New Roman" w:hAnsi="Times New Roman" w:cs="Times New Roman"/>
          <w:sz w:val="20"/>
        </w:rPr>
        <w:t xml:space="preserve">. </w:t>
      </w:r>
      <w:r>
        <w:rPr>
          <w:rFonts w:ascii="Times New Roman" w:eastAsia="Times New Roman" w:hAnsi="Times New Roman" w:cs="Times New Roman"/>
          <w:sz w:val="20"/>
        </w:rPr>
        <w:t>This was the lease</w:t>
      </w:r>
      <w:r>
        <w:rPr>
          <w:rFonts w:ascii="Times New Roman" w:eastAsia="Times New Roman" w:hAnsi="Times New Roman" w:cs="Times New Roman"/>
          <w:sz w:val="20"/>
        </w:rPr>
        <w:t xml:space="preserve"> associated with its corporate headquarters in Winter Park, Florida. The adoption of this standard resulted in the Company recording a right-of-use asset of </w:t>
      </w:r>
      <w:r>
        <w:rPr>
          <w:rFonts w:ascii="Times New Roman" w:eastAsia="Times New Roman" w:hAnsi="Times New Roman" w:cs="Times New Roman"/>
          <w:sz w:val="20"/>
        </w:rPr>
        <w:t>$410,852</w:t>
      </w:r>
      <w:r>
        <w:rPr>
          <w:rFonts w:ascii="Times New Roman" w:eastAsia="Times New Roman" w:hAnsi="Times New Roman" w:cs="Times New Roman"/>
          <w:sz w:val="20"/>
        </w:rPr>
        <w:t xml:space="preserve"> and an associated right-of-use liability of </w:t>
      </w:r>
      <w:r>
        <w:rPr>
          <w:rFonts w:ascii="Times New Roman" w:eastAsia="Times New Roman" w:hAnsi="Times New Roman" w:cs="Times New Roman"/>
          <w:sz w:val="20"/>
        </w:rPr>
        <w:t>$399,892</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operating lease </w:t>
      </w:r>
      <w:r>
        <w:rPr>
          <w:rFonts w:ascii="Times New Roman" w:eastAsia="Times New Roman" w:hAnsi="Times New Roman" w:cs="Times New Roman"/>
          <w:sz w:val="20"/>
        </w:rPr>
        <w:t xml:space="preserve">right-of-use liability was determined based on the present value of the remaining minimum rental payments using the Company’s average incremental borrowing rate </w:t>
      </w:r>
      <w:r>
        <w:rPr>
          <w:rFonts w:ascii="Times New Roman" w:eastAsia="Times New Roman" w:hAnsi="Times New Roman" w:cs="Times New Roman"/>
          <w:sz w:val="20"/>
        </w:rPr>
        <w:t>9.5%</w:t>
      </w:r>
      <w:r>
        <w:rPr>
          <w:rFonts w:ascii="Times New Roman" w:eastAsia="Times New Roman" w:hAnsi="Times New Roman" w:cs="Times New Roman"/>
          <w:sz w:val="20"/>
        </w:rPr>
        <w:t xml:space="preserve"> and the operating lease right-of-use asset was determined based on the value of the lease liabilities, adjusted for a deferred rent balance, which was previously included in current liabilities.</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The right-of-use asset and liability w</w:t>
      </w:r>
      <w:r>
        <w:rPr>
          <w:rFonts w:ascii="Times New Roman" w:eastAsia="Times New Roman" w:hAnsi="Times New Roman" w:cs="Times New Roman"/>
          <w:sz w:val="20"/>
        </w:rPr>
        <w:t>ere</w:t>
      </w:r>
      <w:r>
        <w:rPr>
          <w:rFonts w:ascii="Times New Roman" w:eastAsia="Times New Roman" w:hAnsi="Times New Roman" w:cs="Times New Roman"/>
          <w:sz w:val="20"/>
        </w:rPr>
        <w:t xml:space="preserve"> fully amortized </w:t>
      </w:r>
      <w:r>
        <w:rPr>
          <w:rFonts w:ascii="Times New Roman" w:eastAsia="Times New Roman" w:hAnsi="Times New Roman" w:cs="Times New Roman"/>
          <w:sz w:val="20"/>
        </w:rPr>
        <w:t xml:space="preserve">upon expiration of </w:t>
      </w:r>
      <w:r>
        <w:rPr>
          <w:rFonts w:ascii="Times New Roman" w:eastAsia="Times New Roman" w:hAnsi="Times New Roman" w:cs="Times New Roman"/>
          <w:sz w:val="20"/>
        </w:rPr>
        <w:t>the</w:t>
      </w:r>
      <w:r>
        <w:rPr>
          <w:rFonts w:ascii="Times New Roman" w:eastAsia="Times New Roman" w:hAnsi="Times New Roman" w:cs="Times New Roman"/>
          <w:sz w:val="20"/>
        </w:rPr>
        <w:t xml:space="preserve"> lease in </w:t>
      </w:r>
      <w:r>
        <w:rPr>
          <w:rFonts w:ascii="Times New Roman" w:eastAsia="Times New Roman" w:hAnsi="Times New Roman" w:cs="Times New Roman"/>
          <w:sz w:val="20"/>
        </w:rPr>
        <w:t>April 2020</w:t>
      </w:r>
      <w:r>
        <w:rPr>
          <w:rFonts w:ascii="Times New Roman" w:eastAsia="Times New Roman" w:hAnsi="Times New Roman" w:cs="Times New Roman"/>
          <w:color w:val="1A1A1A"/>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the Company recorded </w:t>
      </w:r>
      <w:r>
        <w:rPr>
          <w:rFonts w:ascii="Times New Roman" w:eastAsia="Times New Roman" w:hAnsi="Times New Roman" w:cs="Times New Roman"/>
          <w:sz w:val="20"/>
        </w:rPr>
        <w:t>$24,024</w:t>
      </w:r>
      <w:r>
        <w:rPr>
          <w:rFonts w:ascii="Times New Roman" w:eastAsia="Times New Roman" w:hAnsi="Times New Roman" w:cs="Times New Roman"/>
          <w:sz w:val="20"/>
        </w:rPr>
        <w:t xml:space="preserve"> of accretion on </w:t>
      </w:r>
      <w:r>
        <w:rPr>
          <w:rFonts w:ascii="Times New Roman" w:eastAsia="Times New Roman" w:hAnsi="Times New Roman" w:cs="Times New Roman"/>
          <w:sz w:val="20"/>
        </w:rPr>
        <w:t>its</w:t>
      </w:r>
      <w:r>
        <w:rPr>
          <w:rFonts w:ascii="Times New Roman" w:eastAsia="Times New Roman" w:hAnsi="Times New Roman" w:cs="Times New Roman"/>
          <w:sz w:val="20"/>
        </w:rPr>
        <w:t xml:space="preserve"> right-of-use liability through rent expense in general and administrative expenses. </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w:t>
      </w:r>
      <w:r>
        <w:rPr>
          <w:rFonts w:ascii="Times New Roman" w:eastAsia="Times New Roman" w:hAnsi="Times New Roman" w:cs="Times New Roman"/>
          <w:sz w:val="20"/>
        </w:rPr>
        <w:t>no</w:t>
      </w:r>
      <w:r>
        <w:rPr>
          <w:rFonts w:ascii="Times New Roman" w:eastAsia="Times New Roman" w:hAnsi="Times New Roman" w:cs="Times New Roman"/>
          <w:sz w:val="20"/>
        </w:rPr>
        <w:t xml:space="preserve"> obligations under finance leases as of </w:t>
      </w:r>
      <w:r>
        <w:rPr>
          <w:rFonts w:ascii="Times New Roman" w:eastAsia="Times New Roman" w:hAnsi="Times New Roman" w:cs="Times New Roman"/>
          <w:sz w:val="20"/>
        </w:rPr>
        <w:t>June 30,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Total operating lease expense and other short-term lease expense recorded in general and administrative expense in the accompanying consolidated statements of operations was </w:t>
      </w:r>
      <w:r>
        <w:rPr>
          <w:rFonts w:ascii="Times New Roman" w:eastAsia="Times New Roman" w:hAnsi="Times New Roman" w:cs="Times New Roman"/>
          <w:sz w:val="20"/>
        </w:rPr>
        <w:t>$76,545</w:t>
      </w:r>
      <w:r>
        <w:rPr>
          <w:rFonts w:ascii="Times New Roman" w:eastAsia="Times New Roman" w:hAnsi="Times New Roman" w:cs="Times New Roman"/>
          <w:sz w:val="20"/>
        </w:rPr>
        <w:t xml:space="preserve"> and </w:t>
      </w:r>
      <w:r>
        <w:rPr>
          <w:rFonts w:ascii="Times New Roman" w:eastAsia="Times New Roman" w:hAnsi="Times New Roman" w:cs="Times New Roman"/>
          <w:sz w:val="20"/>
        </w:rPr>
        <w:t>$150,082</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respectively, </w:t>
      </w:r>
      <w:r>
        <w:rPr>
          <w:rFonts w:ascii="Times New Roman" w:eastAsia="Times New Roman" w:hAnsi="Times New Roman" w:cs="Times New Roman"/>
          <w:sz w:val="20"/>
        </w:rPr>
        <w:t xml:space="preserve">and </w:t>
      </w:r>
      <w:r>
        <w:rPr>
          <w:rFonts w:ascii="Times New Roman" w:eastAsia="Times New Roman" w:hAnsi="Times New Roman" w:cs="Times New Roman"/>
          <w:sz w:val="20"/>
        </w:rPr>
        <w:t>$224,528</w:t>
      </w:r>
      <w:r>
        <w:rPr>
          <w:rFonts w:ascii="Times New Roman" w:eastAsia="Times New Roman" w:hAnsi="Times New Roman" w:cs="Times New Roman"/>
          <w:sz w:val="20"/>
        </w:rPr>
        <w:t xml:space="preserve"> and </w:t>
      </w:r>
      <w:r>
        <w:rPr>
          <w:rFonts w:ascii="Times New Roman" w:eastAsia="Times New Roman" w:hAnsi="Times New Roman" w:cs="Times New Roman"/>
          <w:sz w:val="20"/>
        </w:rPr>
        <w:t>$304,779</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r>
        <w:rPr>
          <w:rFonts w:ascii="Times New Roman" w:eastAsia="Times New Roman" w:hAnsi="Times New Roman" w:cs="Times New Roman"/>
          <w:sz w:val="20"/>
        </w:rPr>
        <w:t xml:space="preserve">Cash paid for the </w:t>
      </w:r>
      <w:r>
        <w:rPr>
          <w:rFonts w:ascii="Times New Roman" w:eastAsia="Times New Roman" w:hAnsi="Times New Roman" w:cs="Times New Roman"/>
          <w:sz w:val="20"/>
        </w:rPr>
        <w:t>one</w:t>
      </w:r>
      <w:r>
        <w:rPr>
          <w:rFonts w:ascii="Times New Roman" w:eastAsia="Times New Roman" w:hAnsi="Times New Roman" w:cs="Times New Roman"/>
          <w:sz w:val="20"/>
        </w:rPr>
        <w:t xml:space="preserve"> operating lease was </w:t>
      </w:r>
      <w:r>
        <w:rPr>
          <w:rFonts w:ascii="Times New Roman" w:eastAsia="Times New Roman" w:hAnsi="Times New Roman" w:cs="Times New Roman"/>
          <w:sz w:val="20"/>
        </w:rPr>
        <w:t>$113,516</w:t>
      </w:r>
      <w:r>
        <w:rPr>
          <w:rFonts w:ascii="Times New Roman" w:eastAsia="Times New Roman" w:hAnsi="Times New Roman" w:cs="Times New Roman"/>
          <w:sz w:val="20"/>
        </w:rPr>
        <w:t xml:space="preserve"> and </w:t>
      </w:r>
      <w:r>
        <w:rPr>
          <w:rFonts w:ascii="Times New Roman" w:eastAsia="Times New Roman" w:hAnsi="Times New Roman" w:cs="Times New Roman"/>
          <w:sz w:val="20"/>
        </w:rPr>
        <w:t>$170,273</w:t>
      </w:r>
      <w:r>
        <w:rPr>
          <w:rFonts w:ascii="Times New Roman" w:eastAsia="Times New Roman" w:hAnsi="Times New Roman" w:cs="Times New Roman"/>
          <w:sz w:val="20"/>
        </w:rPr>
        <w:t xml:space="preserve"> </w:t>
      </w:r>
      <w:r>
        <w:rPr>
          <w:rFonts w:ascii="Times New Roman" w:eastAsia="Times New Roman" w:hAnsi="Times New Roman" w:cs="Times New Roman"/>
          <w:sz w:val="20"/>
        </w:rPr>
        <w:t>during</w:t>
      </w:r>
      <w:r>
        <w:rPr>
          <w:rFonts w:ascii="Times New Roman" w:eastAsia="Times New Roman" w:hAnsi="Times New Roman" w:cs="Times New Roman"/>
          <w:sz w:val="20"/>
        </w:rPr>
        <w:t xml:space="preserve">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Litigation</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From time to time, the Company may become involved in various other lawsuits and legal proceedings that arise in the ordinary course of its business. Litigation is, however, subject to inherent uncertainties, and an adverse result in these or other matters may arise from time to time that may harm the Company’s business. The Company is currently not aware of any </w:t>
      </w:r>
      <w:r>
        <w:rPr>
          <w:rFonts w:ascii="Times New Roman" w:eastAsia="Times New Roman" w:hAnsi="Times New Roman" w:cs="Times New Roman"/>
          <w:sz w:val="20"/>
        </w:rPr>
        <w:t>legal proceedings or claims that it believes would or could have, individually or in the aggregate, a material adverse effect on the Company. Regardless of final outcomes, however, any such proceedings or claims may nonetheless impose a significant burden on management and employees and may come with costly defense costs or unfavorable preliminary interim rulings.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tabs>
          <w:tab w:val="left" w:pos="1440"/>
        </w:tabs>
        <w:spacing w:before="0" w:after="0" w:line="248" w:lineRule="auto"/>
        <w:ind w:left="0" w:right="0" w:firstLine="0"/>
        <w:jc w:val="left"/>
        <w:outlineLvl w:val="3"/>
        <w:rPr>
          <w:rFonts w:ascii="Times New Roman" w:eastAsia="Times New Roman" w:hAnsi="Times New Roman" w:cs="Times New Roman"/>
          <w:b/>
          <w:sz w:val="20"/>
        </w:rPr>
      </w:pPr>
      <w:bookmarkStart w:id="16" w:name="Section17"/>
      <w:bookmarkEnd w:id="16"/>
      <w:r>
        <w:rPr>
          <w:rFonts w:ascii="Times New Roman" w:eastAsia="Times New Roman" w:hAnsi="Times New Roman" w:cs="Times New Roman"/>
          <w:b/>
          <w:sz w:val="20"/>
        </w:rPr>
        <w:t xml:space="preserve">NOTE </w:t>
      </w:r>
      <w:r>
        <w:rPr>
          <w:rFonts w:ascii="Times New Roman" w:eastAsia="Times New Roman" w:hAnsi="Times New Roman" w:cs="Times New Roman"/>
          <w:b/>
          <w:sz w:val="20"/>
        </w:rPr>
        <w:t>8</w:t>
      </w:r>
      <w:r>
        <w:rPr>
          <w:rFonts w:ascii="Times New Roman" w:eastAsia="Times New Roman" w:hAnsi="Times New Roman" w:cs="Times New Roman"/>
          <w:b/>
          <w:sz w:val="20"/>
        </w:rPr>
        <w:t>.</w:t>
      </w:r>
      <w:r>
        <w:rPr>
          <w:rFonts w:ascii="Times New Roman" w:eastAsia="Times New Roman" w:hAnsi="Times New Roman" w:cs="Times New Roman"/>
          <w:b/>
          <w:sz w:val="20"/>
        </w:rPr>
        <w:tab/>
      </w:r>
      <w:r>
        <w:rPr>
          <w:rFonts w:ascii="Times New Roman" w:eastAsia="Times New Roman" w:hAnsi="Times New Roman" w:cs="Times New Roman"/>
          <w:b/>
          <w:sz w:val="20"/>
        </w:rPr>
        <w:t>STOCKHOLDERS’ EQUITY</w:t>
      </w:r>
    </w:p>
    <w:p>
      <w:pPr>
        <w:keepNext/>
        <w:keepLines/>
        <w:pageBreakBefore w:val="0"/>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Authorized Shares</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has </w:t>
      </w:r>
      <w:r>
        <w:rPr>
          <w:rFonts w:ascii="Times New Roman" w:eastAsia="Times New Roman" w:hAnsi="Times New Roman" w:cs="Times New Roman"/>
          <w:sz w:val="20"/>
        </w:rPr>
        <w:t>200,000,000</w:t>
      </w:r>
      <w:r>
        <w:rPr>
          <w:rFonts w:ascii="Times New Roman" w:eastAsia="Times New Roman" w:hAnsi="Times New Roman" w:cs="Times New Roman"/>
          <w:sz w:val="20"/>
        </w:rPr>
        <w:t xml:space="preserve"> authorized shares of common stock and </w:t>
      </w:r>
      <w:r>
        <w:rPr>
          <w:rFonts w:ascii="Times New Roman" w:eastAsia="Times New Roman" w:hAnsi="Times New Roman" w:cs="Times New Roman"/>
          <w:sz w:val="20"/>
        </w:rPr>
        <w:t>10,000,000</w:t>
      </w:r>
      <w:r>
        <w:rPr>
          <w:rFonts w:ascii="Times New Roman" w:eastAsia="Times New Roman" w:hAnsi="Times New Roman" w:cs="Times New Roman"/>
          <w:sz w:val="20"/>
        </w:rPr>
        <w:t xml:space="preserve"> authorized shares of preferred stock, each with a par value of </w:t>
      </w:r>
      <w:r>
        <w:rPr>
          <w:rFonts w:ascii="Times New Roman" w:eastAsia="Times New Roman" w:hAnsi="Times New Roman" w:cs="Times New Roman"/>
          <w:sz w:val="20"/>
        </w:rPr>
        <w:t>$0.0001</w:t>
      </w:r>
      <w:r>
        <w:rPr>
          <w:rFonts w:ascii="Times New Roman" w:eastAsia="Times New Roman" w:hAnsi="Times New Roman" w:cs="Times New Roman"/>
          <w:sz w:val="20"/>
        </w:rPr>
        <w:t xml:space="preserve"> per share.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u w:val="single"/>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Sale of </w:t>
      </w:r>
      <w:r>
        <w:rPr>
          <w:rFonts w:ascii="Times New Roman" w:eastAsia="Times New Roman" w:hAnsi="Times New Roman" w:cs="Times New Roman"/>
          <w:b/>
          <w:sz w:val="20"/>
          <w:u w:val="single"/>
        </w:rPr>
        <w:t>S</w:t>
      </w:r>
      <w:r>
        <w:rPr>
          <w:rFonts w:ascii="Times New Roman" w:eastAsia="Times New Roman" w:hAnsi="Times New Roman" w:cs="Times New Roman"/>
          <w:b/>
          <w:sz w:val="20"/>
          <w:u w:val="single"/>
        </w:rPr>
        <w:t>ecurities</w:t>
      </w: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b/>
          <w:i/>
          <w:sz w:val="24"/>
        </w:rPr>
      </w:pP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At the Marke</w:t>
      </w:r>
      <w:r>
        <w:rPr>
          <w:rFonts w:ascii="Times New Roman" w:eastAsia="Times New Roman" w:hAnsi="Times New Roman" w:cs="Times New Roman"/>
          <w:b/>
          <w:i/>
          <w:sz w:val="20"/>
        </w:rPr>
        <w:t>t</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rPr>
        <w:t>(ATM)</w:t>
      </w:r>
      <w:r>
        <w:rPr>
          <w:rFonts w:ascii="Times New Roman" w:eastAsia="Times New Roman" w:hAnsi="Times New Roman" w:cs="Times New Roman"/>
          <w:b/>
          <w:i/>
          <w:sz w:val="20"/>
        </w:rPr>
        <w:t xml:space="preserve"> Offering</w:t>
      </w: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3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O</w:t>
      </w:r>
      <w:r>
        <w:rPr>
          <w:rFonts w:ascii="Times New Roman" w:eastAsia="Times New Roman" w:hAnsi="Times New Roman" w:cs="Times New Roman"/>
          <w:sz w:val="20"/>
        </w:rPr>
        <w:t>n June 4, 2020, t</w:t>
      </w:r>
      <w:r>
        <w:rPr>
          <w:rFonts w:ascii="Times New Roman" w:eastAsia="Times New Roman" w:hAnsi="Times New Roman" w:cs="Times New Roman"/>
          <w:sz w:val="20"/>
        </w:rPr>
        <w:t>he Company entered into an ATM Sales Agreement (the “Sales Agreement”) with National Securities Corporation, as sales agent (“National Securities”), pursuant to which the Company may offer and sell, from time to time, through National Securities, shares of the Company's common stock</w:t>
      </w:r>
      <w:r>
        <w:rPr>
          <w:rFonts w:ascii="Times New Roman" w:eastAsia="Times New Roman" w:hAnsi="Times New Roman" w:cs="Times New Roman"/>
          <w:sz w:val="20"/>
        </w:rPr>
        <w:t xml:space="preserve">, by any method deemed to be an “at the market offering” </w:t>
      </w:r>
      <w:r>
        <w:rPr>
          <w:rFonts w:ascii="Times New Roman" w:eastAsia="Times New Roman" w:hAnsi="Times New Roman" w:cs="Times New Roman"/>
          <w:sz w:val="20"/>
        </w:rPr>
        <w:t xml:space="preserve">(the “ATM Offering”).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June 12, 2020, the Company </w:t>
      </w:r>
      <w:r>
        <w:rPr>
          <w:rFonts w:ascii="Times New Roman" w:eastAsia="Times New Roman" w:hAnsi="Times New Roman" w:cs="Times New Roman"/>
          <w:sz w:val="20"/>
        </w:rPr>
        <w:t>entered into an</w:t>
      </w:r>
      <w:r>
        <w:rPr>
          <w:rFonts w:ascii="Times New Roman" w:eastAsia="Times New Roman" w:hAnsi="Times New Roman" w:cs="Times New Roman"/>
          <w:sz w:val="20"/>
        </w:rPr>
        <w:t xml:space="preserve"> amendment to the Sales Agreement </w:t>
      </w:r>
      <w:r>
        <w:rPr>
          <w:rFonts w:ascii="Times New Roman" w:eastAsia="Times New Roman" w:hAnsi="Times New Roman" w:cs="Times New Roman"/>
          <w:sz w:val="20"/>
        </w:rPr>
        <w:t xml:space="preserve">to increase the amount of common stock that may be offered and sold in </w:t>
      </w:r>
      <w:r>
        <w:rPr>
          <w:rFonts w:ascii="Times New Roman" w:eastAsia="Times New Roman" w:hAnsi="Times New Roman" w:cs="Times New Roman"/>
          <w:sz w:val="20"/>
        </w:rPr>
        <w:t>the</w:t>
      </w:r>
      <w:r>
        <w:rPr>
          <w:rFonts w:ascii="Times New Roman" w:eastAsia="Times New Roman" w:hAnsi="Times New Roman" w:cs="Times New Roman"/>
          <w:sz w:val="20"/>
        </w:rPr>
        <w:t xml:space="preserve"> </w:t>
      </w:r>
      <w:r>
        <w:rPr>
          <w:rFonts w:ascii="Times New Roman" w:eastAsia="Times New Roman" w:hAnsi="Times New Roman" w:cs="Times New Roman"/>
          <w:sz w:val="20"/>
        </w:rPr>
        <w:t>ATM Offering</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 </w:t>
      </w:r>
      <w:r>
        <w:rPr>
          <w:rFonts w:ascii="Times New Roman" w:eastAsia="Times New Roman" w:hAnsi="Times New Roman" w:cs="Times New Roman"/>
          <w:sz w:val="20"/>
        </w:rPr>
        <w:t>$40,000,000</w:t>
      </w:r>
      <w:r>
        <w:rPr>
          <w:rFonts w:ascii="Times New Roman" w:eastAsia="Times New Roman" w:hAnsi="Times New Roman" w:cs="Times New Roman"/>
          <w:sz w:val="20"/>
        </w:rPr>
        <w:t xml:space="preserve"> in the aggregate</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w:t>
      </w:r>
      <w:r>
        <w:rPr>
          <w:rFonts w:ascii="Times New Roman" w:eastAsia="Times New Roman" w:hAnsi="Times New Roman" w:cs="Times New Roman"/>
          <w:sz w:val="20"/>
        </w:rPr>
        <w:t>June 30, 2020</w:t>
      </w:r>
      <w:r>
        <w:rPr>
          <w:rFonts w:ascii="Times New Roman" w:eastAsia="Times New Roman" w:hAnsi="Times New Roman" w:cs="Times New Roman"/>
          <w:sz w:val="20"/>
        </w:rPr>
        <w:t>, the Compan</w:t>
      </w:r>
      <w:r>
        <w:rPr>
          <w:rFonts w:ascii="Times New Roman" w:eastAsia="Times New Roman" w:hAnsi="Times New Roman" w:cs="Times New Roman"/>
          <w:sz w:val="20"/>
        </w:rPr>
        <w:t>y ha</w:t>
      </w:r>
      <w:r>
        <w:rPr>
          <w:rFonts w:ascii="Times New Roman" w:eastAsia="Times New Roman" w:hAnsi="Times New Roman" w:cs="Times New Roman"/>
          <w:sz w:val="20"/>
        </w:rPr>
        <w:t xml:space="preserve">d sold </w:t>
      </w:r>
      <w:r>
        <w:rPr>
          <w:rFonts w:ascii="Times New Roman" w:eastAsia="Times New Roman" w:hAnsi="Times New Roman" w:cs="Times New Roman"/>
          <w:sz w:val="20"/>
        </w:rPr>
        <w:t>6,856,241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shares </w:t>
      </w:r>
      <w:r>
        <w:rPr>
          <w:rFonts w:ascii="Times New Roman" w:eastAsia="Times New Roman" w:hAnsi="Times New Roman" w:cs="Times New Roman"/>
          <w:sz w:val="20"/>
        </w:rPr>
        <w:t xml:space="preserve">at an average price of </w:t>
      </w:r>
      <w:r>
        <w:rPr>
          <w:rFonts w:ascii="Times New Roman" w:eastAsia="Times New Roman" w:hAnsi="Times New Roman" w:cs="Times New Roman"/>
          <w:sz w:val="20"/>
        </w:rPr>
        <w:t>$2.24</w:t>
      </w:r>
      <w:r>
        <w:rPr>
          <w:rFonts w:ascii="Times New Roman" w:eastAsia="Times New Roman" w:hAnsi="Times New Roman" w:cs="Times New Roman"/>
          <w:sz w:val="20"/>
        </w:rPr>
        <w:t xml:space="preserve"> per share </w:t>
      </w:r>
      <w:r>
        <w:rPr>
          <w:rFonts w:ascii="Times New Roman" w:eastAsia="Times New Roman" w:hAnsi="Times New Roman" w:cs="Times New Roman"/>
          <w:sz w:val="20"/>
        </w:rPr>
        <w:t>for total gross p</w:t>
      </w:r>
      <w:r>
        <w:rPr>
          <w:rFonts w:ascii="Times New Roman" w:eastAsia="Times New Roman" w:hAnsi="Times New Roman" w:cs="Times New Roman"/>
          <w:sz w:val="20"/>
        </w:rPr>
        <w:t xml:space="preserve">roceeds of </w:t>
      </w:r>
      <w:r>
        <w:rPr>
          <w:rFonts w:ascii="Times New Roman" w:eastAsia="Times New Roman" w:hAnsi="Times New Roman" w:cs="Times New Roman"/>
          <w:sz w:val="20"/>
        </w:rPr>
        <w:t>$15,361,853</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May 10, 2019 Public Offering</w:t>
      </w:r>
    </w:p>
    <w:p>
      <w:pPr>
        <w:keepNext w:val="0"/>
        <w:keepLines w:val="0"/>
        <w:pageBreakBefore w:val="0"/>
        <w:widowControl/>
        <w:numPr>
          <w:ilvl w:val="0"/>
          <w:numId w:val="0"/>
        </w:numPr>
        <w:spacing w:before="0" w:after="0" w:line="238"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On May 10, 2019, the Company closed on its underwritten registered public offering of </w:t>
      </w:r>
      <w:r>
        <w:rPr>
          <w:rFonts w:ascii="Times New Roman" w:eastAsia="Times New Roman" w:hAnsi="Times New Roman" w:cs="Times New Roman"/>
          <w:sz w:val="20"/>
        </w:rPr>
        <w:t>14,285,714</w:t>
      </w:r>
      <w:r>
        <w:rPr>
          <w:rFonts w:ascii="Times New Roman" w:eastAsia="Times New Roman" w:hAnsi="Times New Roman" w:cs="Times New Roman"/>
          <w:sz w:val="20"/>
        </w:rPr>
        <w:t xml:space="preserve"> shares of common stock at a public offering price of </w:t>
      </w:r>
      <w:r>
        <w:rPr>
          <w:rFonts w:ascii="Times New Roman" w:eastAsia="Times New Roman" w:hAnsi="Times New Roman" w:cs="Times New Roman"/>
          <w:sz w:val="20"/>
        </w:rPr>
        <w:t>$0.70</w:t>
      </w:r>
      <w:r>
        <w:rPr>
          <w:rFonts w:ascii="Times New Roman" w:eastAsia="Times New Roman" w:hAnsi="Times New Roman" w:cs="Times New Roman"/>
          <w:sz w:val="20"/>
        </w:rPr>
        <w:t xml:space="preserve"> per share, for total gross proceeds of approximately </w:t>
      </w:r>
      <w:r>
        <w:rPr>
          <w:rFonts w:ascii="Times New Roman" w:eastAsia="Times New Roman" w:hAnsi="Times New Roman" w:cs="Times New Roman"/>
          <w:sz w:val="20"/>
        </w:rPr>
        <w:t>$10 million</w:t>
      </w:r>
      <w:r>
        <w:rPr>
          <w:rFonts w:ascii="Times New Roman" w:eastAsia="Times New Roman" w:hAnsi="Times New Roman" w:cs="Times New Roman"/>
          <w:sz w:val="20"/>
        </w:rPr>
        <w:t xml:space="preserve">. The net proceeds to the Company were approximately </w:t>
      </w:r>
      <w:r>
        <w:rPr>
          <w:rFonts w:ascii="Times New Roman" w:eastAsia="Times New Roman" w:hAnsi="Times New Roman" w:cs="Times New Roman"/>
          <w:sz w:val="20"/>
        </w:rPr>
        <w:t>$9.2 million</w:t>
      </w:r>
      <w:r>
        <w:rPr>
          <w:rFonts w:ascii="Times New Roman" w:eastAsia="Times New Roman" w:hAnsi="Times New Roman" w:cs="Times New Roman"/>
          <w:sz w:val="20"/>
        </w:rPr>
        <w:t xml:space="preserve">. Mr. Edward Murphy, the Company’s Chief Executive Officer and a Company director, and Mr. Troy J. Vanke, the Company’s former Chief Financial Officer, participated in the public offering and purchased </w:t>
      </w:r>
      <w:r>
        <w:rPr>
          <w:rFonts w:ascii="Times New Roman" w:eastAsia="Times New Roman" w:hAnsi="Times New Roman" w:cs="Times New Roman"/>
          <w:sz w:val="20"/>
        </w:rPr>
        <w:t>21,428</w:t>
      </w:r>
      <w:r>
        <w:rPr>
          <w:rFonts w:ascii="Times New Roman" w:eastAsia="Times New Roman" w:hAnsi="Times New Roman" w:cs="Times New Roman"/>
          <w:sz w:val="20"/>
        </w:rPr>
        <w:t xml:space="preserve"> and </w:t>
      </w:r>
      <w:r>
        <w:rPr>
          <w:rFonts w:ascii="Times New Roman" w:eastAsia="Times New Roman" w:hAnsi="Times New Roman" w:cs="Times New Roman"/>
          <w:sz w:val="20"/>
        </w:rPr>
        <w:t>42,857</w:t>
      </w:r>
      <w:r>
        <w:rPr>
          <w:rFonts w:ascii="Times New Roman" w:eastAsia="Times New Roman" w:hAnsi="Times New Roman" w:cs="Times New Roman"/>
          <w:sz w:val="20"/>
        </w:rPr>
        <w:t xml:space="preserve"> shares of stock, respectively.</w:t>
      </w:r>
    </w:p>
    <w:p>
      <w:pPr>
        <w:keepNext w:val="0"/>
        <w:keepLines w:val="0"/>
        <w:pageBreakBefore w:val="0"/>
        <w:widowControl/>
        <w:numPr>
          <w:ilvl w:val="0"/>
          <w:numId w:val="0"/>
        </w:numPr>
        <w:spacing w:before="0" w:after="0" w:line="238"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b/>
          <w:sz w:val="20"/>
          <w:u w:val="single"/>
        </w:rPr>
        <w:t>Stock Issued for Acquisitions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On January 26, 2019, pursuant to </w:t>
      </w:r>
      <w:r>
        <w:rPr>
          <w:rFonts w:ascii="Times New Roman" w:eastAsia="Times New Roman" w:hAnsi="Times New Roman" w:cs="Times New Roman"/>
          <w:sz w:val="20"/>
        </w:rPr>
        <w:t>its</w:t>
      </w:r>
      <w:r>
        <w:rPr>
          <w:rFonts w:ascii="Times New Roman" w:eastAsia="Times New Roman" w:hAnsi="Times New Roman" w:cs="Times New Roman"/>
          <w:sz w:val="20"/>
        </w:rPr>
        <w:t xml:space="preserve"> </w:t>
      </w:r>
      <w:r>
        <w:rPr>
          <w:rFonts w:ascii="Times New Roman" w:eastAsia="Times New Roman" w:hAnsi="Times New Roman" w:cs="Times New Roman"/>
          <w:sz w:val="20"/>
        </w:rPr>
        <w:t>Merge</w:t>
      </w:r>
      <w:r>
        <w:rPr>
          <w:rFonts w:ascii="Times New Roman" w:eastAsia="Times New Roman" w:hAnsi="Times New Roman" w:cs="Times New Roman"/>
          <w:sz w:val="20"/>
        </w:rPr>
        <w:t>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Agreement </w:t>
      </w:r>
      <w:r>
        <w:rPr>
          <w:rFonts w:ascii="Times New Roman" w:eastAsia="Times New Roman" w:hAnsi="Times New Roman" w:cs="Times New Roman"/>
          <w:sz w:val="20"/>
        </w:rPr>
        <w:t xml:space="preserve">with TapInfluence, the Company issued </w:t>
      </w:r>
      <w:r>
        <w:rPr>
          <w:rFonts w:ascii="Times New Roman" w:eastAsia="Times New Roman" w:hAnsi="Times New Roman" w:cs="Times New Roman"/>
          <w:sz w:val="20"/>
        </w:rPr>
        <w:t>660,136</w:t>
      </w:r>
      <w:r>
        <w:rPr>
          <w:rFonts w:ascii="Times New Roman" w:eastAsia="Times New Roman" w:hAnsi="Times New Roman" w:cs="Times New Roman"/>
          <w:sz w:val="20"/>
        </w:rPr>
        <w:t xml:space="preserve"> shares of its common stock valued at </w:t>
      </w:r>
      <w:r>
        <w:rPr>
          <w:rFonts w:ascii="Times New Roman" w:eastAsia="Times New Roman" w:hAnsi="Times New Roman" w:cs="Times New Roman"/>
          <w:sz w:val="20"/>
        </w:rPr>
        <w:t>$884,583</w:t>
      </w:r>
      <w:r>
        <w:rPr>
          <w:rFonts w:ascii="Times New Roman" w:eastAsia="Times New Roman" w:hAnsi="Times New Roman" w:cs="Times New Roman"/>
          <w:sz w:val="20"/>
        </w:rPr>
        <w:t xml:space="preserve">, or </w:t>
      </w:r>
      <w:r>
        <w:rPr>
          <w:rFonts w:ascii="Times New Roman" w:eastAsia="Times New Roman" w:hAnsi="Times New Roman" w:cs="Times New Roman"/>
          <w:sz w:val="20"/>
        </w:rPr>
        <w:t>$1.34</w:t>
      </w:r>
      <w:r>
        <w:rPr>
          <w:rFonts w:ascii="Times New Roman" w:eastAsia="Times New Roman" w:hAnsi="Times New Roman" w:cs="Times New Roman"/>
          <w:sz w:val="20"/>
        </w:rPr>
        <w:t xml:space="preserve"> per share, using the 30-day VWAP as reported by the Nasdaq Capital Market prior to the issuance date</w:t>
      </w:r>
      <w:r>
        <w:rPr>
          <w:rFonts w:ascii="Times New Roman" w:eastAsia="Times New Roman" w:hAnsi="Times New Roman" w:cs="Times New Roman"/>
          <w:sz w:val="20"/>
        </w:rPr>
        <w:t>, to settle amounts due under its</w:t>
      </w:r>
      <w:r>
        <w:rPr>
          <w:rFonts w:ascii="Times New Roman" w:eastAsia="Times New Roman" w:hAnsi="Times New Roman" w:cs="Times New Roman"/>
          <w:sz w:val="20"/>
        </w:rPr>
        <w:t xml:space="preserve"> acquisition cost payable</w:t>
      </w:r>
      <w:r>
        <w:rPr>
          <w:rFonts w:ascii="Times New Roman" w:eastAsia="Times New Roman" w:hAnsi="Times New Roman" w:cs="Times New Roman"/>
          <w:sz w:val="20"/>
        </w:rPr>
        <w:t xml:space="preserve">. The Company recorded a </w:t>
      </w:r>
      <w:r>
        <w:rPr>
          <w:rFonts w:ascii="Times New Roman" w:eastAsia="Times New Roman" w:hAnsi="Times New Roman" w:cs="Times New Roman"/>
          <w:sz w:val="20"/>
        </w:rPr>
        <w:t>$191,439</w:t>
      </w:r>
      <w:r>
        <w:rPr>
          <w:rFonts w:ascii="Times New Roman" w:eastAsia="Times New Roman" w:hAnsi="Times New Roman" w:cs="Times New Roman"/>
          <w:sz w:val="20"/>
        </w:rPr>
        <w:t xml:space="preserve"> loss on the settlement of this acquisition cost payable as a result of the difference between the actual closing market price of the common stock of </w:t>
      </w:r>
      <w:r>
        <w:rPr>
          <w:rFonts w:ascii="Times New Roman" w:eastAsia="Times New Roman" w:hAnsi="Times New Roman" w:cs="Times New Roman"/>
          <w:sz w:val="20"/>
        </w:rPr>
        <w:t>$1.63</w:t>
      </w:r>
      <w:r>
        <w:rPr>
          <w:rFonts w:ascii="Times New Roman" w:eastAsia="Times New Roman" w:hAnsi="Times New Roman" w:cs="Times New Roman"/>
          <w:sz w:val="20"/>
        </w:rPr>
        <w:t xml:space="preserve"> on the settlement date and the 30-day VWAP of </w:t>
      </w:r>
      <w:r>
        <w:rPr>
          <w:rFonts w:ascii="Times New Roman" w:eastAsia="Times New Roman" w:hAnsi="Times New Roman" w:cs="Times New Roman"/>
          <w:sz w:val="20"/>
        </w:rPr>
        <w:t>$1.34</w:t>
      </w:r>
      <w:r>
        <w:rPr>
          <w:rFonts w:ascii="Times New Roman" w:eastAsia="Times New Roman" w:hAnsi="Times New Roman" w:cs="Times New Roman"/>
          <w:sz w:val="20"/>
        </w:rPr>
        <w:t xml:space="preserve"> required by the Merger Agreement.</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Equity Incentive Plans</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May 2011, the Company’s Board of Directors (the “Board”) adopted the 2011 Equity Incentive Plan of IZEA Worldwide, Inc. (the “May 2011 Plan”). At the Company’s 2019 Annual Meeting of Stockholders held on December 12, 2019, the stockholders approved an amendment and restatement of the May 2011 Plan which increased the number of shares of common stock available for issuance under the May 2011 Plan. The amended and restated May 2011 Plan allows the Company to award restricted stock, restricted stock units and stock options covering up to </w:t>
      </w:r>
      <w:r>
        <w:rPr>
          <w:rFonts w:ascii="Times New Roman" w:eastAsia="Times New Roman" w:hAnsi="Times New Roman" w:cs="Times New Roman"/>
          <w:sz w:val="20"/>
        </w:rPr>
        <w:t>4,500,000</w:t>
      </w:r>
      <w:r>
        <w:rPr>
          <w:rFonts w:ascii="Times New Roman" w:eastAsia="Times New Roman" w:hAnsi="Times New Roman" w:cs="Times New Roman"/>
          <w:sz w:val="20"/>
        </w:rPr>
        <w:t xml:space="preserve"> shares of common stock as incentive compensation for its employees and consultants.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957,782</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remaining </w:t>
      </w:r>
      <w:r>
        <w:rPr>
          <w:rFonts w:ascii="Times New Roman" w:eastAsia="Times New Roman" w:hAnsi="Times New Roman" w:cs="Times New Roman"/>
          <w:sz w:val="20"/>
        </w:rPr>
        <w:t xml:space="preserve">shares of common stock available for issuance pursuant to future grants under the May 2011 Plan. </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August 2011, the Company adopted the 2011 B Equity Incentive Plan (the “August 2011 Plan”) reserving </w:t>
      </w:r>
      <w:r>
        <w:rPr>
          <w:rFonts w:ascii="Times New Roman" w:eastAsia="Times New Roman" w:hAnsi="Times New Roman" w:cs="Times New Roman"/>
          <w:sz w:val="20"/>
        </w:rPr>
        <w:t>4,375</w:t>
      </w:r>
      <w:r>
        <w:rPr>
          <w:rFonts w:ascii="Times New Roman" w:eastAsia="Times New Roman" w:hAnsi="Times New Roman" w:cs="Times New Roman"/>
          <w:sz w:val="20"/>
        </w:rPr>
        <w:t xml:space="preserve"> shares of common stock for issuance under the August 2011 Plan.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4,375</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remaining </w:t>
      </w:r>
      <w:r>
        <w:rPr>
          <w:rFonts w:ascii="Times New Roman" w:eastAsia="Times New Roman" w:hAnsi="Times New Roman" w:cs="Times New Roman"/>
          <w:sz w:val="20"/>
        </w:rPr>
        <w:t>shares of common stock available for future grants under the August 2011 Plan.</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Restricted Stock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Under both the May 2011 Plan and the August 2011 Plan (together, the “2011 Equity Incentive Plans”), the Board determines the terms and conditions of each restricted stock issuance, including any future vesting restrictions.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27,184</w:t>
      </w:r>
      <w:r>
        <w:rPr>
          <w:rFonts w:ascii="Times New Roman" w:eastAsia="Times New Roman" w:hAnsi="Times New Roman" w:cs="Times New Roman"/>
          <w:sz w:val="20"/>
        </w:rPr>
        <w:t xml:space="preserve"> shares of restricted stock on March 28, 2019 to Mr. Edward Murphy, its Chief Executive Officer, for amounts owed on his fourth quarter 2018 performance bonus. The stock was initially valued at </w:t>
      </w:r>
      <w:r>
        <w:rPr>
          <w:rFonts w:ascii="Times New Roman" w:eastAsia="Times New Roman" w:hAnsi="Times New Roman" w:cs="Times New Roman"/>
          <w:sz w:val="20"/>
        </w:rPr>
        <w:t>$36,427</w:t>
      </w:r>
      <w:r>
        <w:rPr>
          <w:rFonts w:ascii="Times New Roman" w:eastAsia="Times New Roman" w:hAnsi="Times New Roman" w:cs="Times New Roman"/>
          <w:sz w:val="20"/>
        </w:rPr>
        <w:t xml:space="preserve"> and vests in equal monthly installments over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 The Company issued </w:t>
      </w:r>
      <w:r>
        <w:rPr>
          <w:rFonts w:ascii="Times New Roman" w:eastAsia="Times New Roman" w:hAnsi="Times New Roman" w:cs="Times New Roman"/>
          <w:sz w:val="20"/>
        </w:rPr>
        <w:t>4,570</w:t>
      </w:r>
      <w:r>
        <w:rPr>
          <w:rFonts w:ascii="Times New Roman" w:eastAsia="Times New Roman" w:hAnsi="Times New Roman" w:cs="Times New Roman"/>
          <w:sz w:val="20"/>
        </w:rPr>
        <w:t xml:space="preserve"> shares of restricted stock on March 28, 2019 to Mr. Ryan Schram, its Chief Operating Officer, for amounts owed on his fourth quarter 2018 performance bonus. The stock was initially valued at </w:t>
      </w:r>
      <w:r>
        <w:rPr>
          <w:rFonts w:ascii="Times New Roman" w:eastAsia="Times New Roman" w:hAnsi="Times New Roman" w:cs="Times New Roman"/>
          <w:sz w:val="20"/>
        </w:rPr>
        <w:t>$6,124</w:t>
      </w:r>
      <w:r>
        <w:rPr>
          <w:rFonts w:ascii="Times New Roman" w:eastAsia="Times New Roman" w:hAnsi="Times New Roman" w:cs="Times New Roman"/>
          <w:sz w:val="20"/>
        </w:rPr>
        <w:t xml:space="preserve"> and vests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January 31, 2019, the Company issued its </w:t>
      </w:r>
      <w:r>
        <w:rPr>
          <w:rFonts w:ascii="Times New Roman" w:eastAsia="Times New Roman" w:hAnsi="Times New Roman" w:cs="Times New Roman"/>
          <w:sz w:val="20"/>
        </w:rPr>
        <w:t>six</w:t>
      </w:r>
      <w:r>
        <w:rPr>
          <w:rFonts w:ascii="Times New Roman" w:eastAsia="Times New Roman" w:hAnsi="Times New Roman" w:cs="Times New Roman"/>
          <w:sz w:val="20"/>
        </w:rPr>
        <w:t xml:space="preserve"> independent directors a total of </w:t>
      </w:r>
      <w:r>
        <w:rPr>
          <w:rFonts w:ascii="Times New Roman" w:eastAsia="Times New Roman" w:hAnsi="Times New Roman" w:cs="Times New Roman"/>
          <w:sz w:val="20"/>
        </w:rPr>
        <w:t>88,758</w:t>
      </w:r>
      <w:r>
        <w:rPr>
          <w:rFonts w:ascii="Times New Roman" w:eastAsia="Times New Roman" w:hAnsi="Times New Roman" w:cs="Times New Roman"/>
          <w:sz w:val="20"/>
        </w:rPr>
        <w:t xml:space="preserve"> shares of restricted common stock initially valued at </w:t>
      </w:r>
      <w:r>
        <w:rPr>
          <w:rFonts w:ascii="Times New Roman" w:eastAsia="Times New Roman" w:hAnsi="Times New Roman" w:cs="Times New Roman"/>
          <w:sz w:val="20"/>
        </w:rPr>
        <w:t>$150,000</w:t>
      </w:r>
      <w:r>
        <w:rPr>
          <w:rFonts w:ascii="Times New Roman" w:eastAsia="Times New Roman" w:hAnsi="Times New Roman" w:cs="Times New Roman"/>
          <w:sz w:val="20"/>
        </w:rPr>
        <w:t xml:space="preserve"> for their annual service as directors of the Company. The stock vested in equal monthly installments from January through December 2019. </w:t>
      </w:r>
      <w:r>
        <w:rPr>
          <w:rFonts w:ascii="Times New Roman" w:eastAsia="Times New Roman" w:hAnsi="Times New Roman" w:cs="Times New Roman"/>
          <w:sz w:val="20"/>
        </w:rPr>
        <w:t>One director</w:t>
      </w:r>
      <w:r>
        <w:rPr>
          <w:rFonts w:ascii="Times New Roman" w:eastAsia="Times New Roman" w:hAnsi="Times New Roman" w:cs="Times New Roman"/>
          <w:sz w:val="20"/>
        </w:rPr>
        <w:t xml:space="preserve"> forfeited </w:t>
      </w:r>
      <w:r>
        <w:rPr>
          <w:rFonts w:ascii="Times New Roman" w:eastAsia="Times New Roman" w:hAnsi="Times New Roman" w:cs="Times New Roman"/>
          <w:sz w:val="20"/>
        </w:rPr>
        <w:t>4,932</w:t>
      </w:r>
      <w:r>
        <w:rPr>
          <w:rFonts w:ascii="Times New Roman" w:eastAsia="Times New Roman" w:hAnsi="Times New Roman" w:cs="Times New Roman"/>
          <w:sz w:val="20"/>
        </w:rPr>
        <w:t xml:space="preserve"> of these shares valued at </w:t>
      </w:r>
      <w:r>
        <w:rPr>
          <w:rFonts w:ascii="Times New Roman" w:eastAsia="Times New Roman" w:hAnsi="Times New Roman" w:cs="Times New Roman"/>
          <w:sz w:val="20"/>
        </w:rPr>
        <w:t>$8,335</w:t>
      </w:r>
      <w:r>
        <w:rPr>
          <w:rFonts w:ascii="Times New Roman" w:eastAsia="Times New Roman" w:hAnsi="Times New Roman" w:cs="Times New Roman"/>
          <w:sz w:val="20"/>
        </w:rPr>
        <w:t xml:space="preserve"> upon</w:t>
      </w:r>
      <w:r>
        <w:rPr>
          <w:rFonts w:ascii="Times New Roman" w:eastAsia="Times New Roman" w:hAnsi="Times New Roman" w:cs="Times New Roman"/>
          <w:sz w:val="20"/>
        </w:rPr>
        <w:t xml:space="preserve"> their</w:t>
      </w:r>
      <w:r>
        <w:rPr>
          <w:rFonts w:ascii="Times New Roman" w:eastAsia="Times New Roman" w:hAnsi="Times New Roman" w:cs="Times New Roman"/>
          <w:sz w:val="20"/>
        </w:rPr>
        <w:t xml:space="preserve"> resignation from the board of directors in September 2019.</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January 31, 2020, the Company issued its </w:t>
      </w:r>
      <w:r>
        <w:rPr>
          <w:rFonts w:ascii="Times New Roman" w:eastAsia="Times New Roman" w:hAnsi="Times New Roman" w:cs="Times New Roman"/>
          <w:sz w:val="20"/>
        </w:rPr>
        <w:t>five</w:t>
      </w:r>
      <w:r>
        <w:rPr>
          <w:rFonts w:ascii="Times New Roman" w:eastAsia="Times New Roman" w:hAnsi="Times New Roman" w:cs="Times New Roman"/>
          <w:sz w:val="20"/>
        </w:rPr>
        <w:t xml:space="preserve"> independent directors a total of </w:t>
      </w:r>
      <w:r>
        <w:rPr>
          <w:rFonts w:ascii="Times New Roman" w:eastAsia="Times New Roman" w:hAnsi="Times New Roman" w:cs="Times New Roman"/>
          <w:sz w:val="20"/>
        </w:rPr>
        <w:t>390,625</w:t>
      </w:r>
      <w:r>
        <w:rPr>
          <w:rFonts w:ascii="Times New Roman" w:eastAsia="Times New Roman" w:hAnsi="Times New Roman" w:cs="Times New Roman"/>
          <w:sz w:val="20"/>
        </w:rPr>
        <w:t xml:space="preserve"> shares of restricted common stock initially valued at </w:t>
      </w:r>
      <w:r>
        <w:rPr>
          <w:rFonts w:ascii="Times New Roman" w:eastAsia="Times New Roman" w:hAnsi="Times New Roman" w:cs="Times New Roman"/>
          <w:sz w:val="20"/>
        </w:rPr>
        <w:t>$125,000</w:t>
      </w:r>
      <w:r>
        <w:rPr>
          <w:rFonts w:ascii="Times New Roman" w:eastAsia="Times New Roman" w:hAnsi="Times New Roman" w:cs="Times New Roman"/>
          <w:sz w:val="20"/>
        </w:rPr>
        <w:t xml:space="preserve"> for their annual service as directors of the Company. The stock vests in equal monthly installments from January through December 2020.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following table contains summarized information about restricted stock issued during the year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w:t>
      </w:r>
    </w:p>
    <w:tbl>
      <w:tblPr>
        <w:tblW w:w="102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65"/>
        <w:gridCol w:w="1265"/>
        <w:gridCol w:w="100"/>
        <w:gridCol w:w="160"/>
        <w:gridCol w:w="1105"/>
        <w:gridCol w:w="100"/>
        <w:gridCol w:w="1365"/>
      </w:tblGrid>
      <w:tr>
        <w:tblPrEx>
          <w:tblW w:w="102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95"/>
        </w:trPr>
        <w:tc>
          <w:tcPr>
            <w:tcW w:w="61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i/>
                <w:color w:val="000000"/>
                <w:sz w:val="20"/>
              </w:rPr>
              <w:t>Restricted Stock</w:t>
            </w:r>
          </w:p>
        </w:tc>
        <w:tc>
          <w:tcPr>
            <w:tcW w:w="1365"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Common Shares</w:t>
            </w:r>
          </w:p>
        </w:tc>
        <w:tc>
          <w:tcPr>
            <w:tcW w:w="136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Grant Date</w:t>
            </w:r>
            <w:r>
              <w:br/>
            </w:r>
            <w:r>
              <w:rPr>
                <w:rFonts w:ascii="Times New Roman" w:eastAsia="Times New Roman" w:hAnsi="Times New Roman" w:cs="Times New Roman"/>
                <w:color w:val="000000"/>
                <w:sz w:val="20"/>
              </w:rPr>
              <w:t>Fair Value</w:t>
            </w:r>
          </w:p>
        </w:tc>
        <w:tc>
          <w:tcPr>
            <w:tcW w:w="13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Remaining Years</w:t>
            </w:r>
            <w:r>
              <w:br/>
            </w:r>
            <w:r>
              <w:rPr>
                <w:rFonts w:ascii="Times New Roman" w:eastAsia="Times New Roman" w:hAnsi="Times New Roman" w:cs="Times New Roman"/>
                <w:color w:val="000000"/>
                <w:sz w:val="20"/>
              </w:rPr>
              <w:t>to Vest</w:t>
            </w:r>
          </w:p>
        </w:tc>
      </w:tr>
      <w:tr>
        <w:tblPrEx>
          <w:tblW w:w="10260" w:type="dxa"/>
          <w:tblInd w:w="0" w:type="dxa"/>
          <w:tblCellMar>
            <w:left w:w="108" w:type="dxa"/>
            <w:right w:w="108" w:type="dxa"/>
          </w:tblCellMar>
        </w:tblPrEx>
        <w:trPr>
          <w:cantSplit/>
          <w:trHeight w:hRule="exact" w:val="300"/>
        </w:trPr>
        <w:tc>
          <w:tcPr>
            <w:tcW w:w="61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2018</w:t>
            </w:r>
          </w:p>
        </w:tc>
        <w:tc>
          <w:tcPr>
            <w:tcW w:w="12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57,984 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3.70 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36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1.4</w:t>
            </w: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2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120,512 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3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26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(139,157)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2.24 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3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2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(8,057)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3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2019</w:t>
            </w:r>
          </w:p>
        </w:tc>
        <w:tc>
          <w:tcPr>
            <w:tcW w:w="12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31,282 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2.15 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36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1.9</w:t>
            </w: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2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390,625 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3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26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(207,631)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3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2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36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Nonvested at June 30, 2020</w:t>
            </w:r>
          </w:p>
        </w:tc>
        <w:tc>
          <w:tcPr>
            <w:tcW w:w="126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214,276 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0.50 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136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0.6</w:t>
            </w:r>
          </w:p>
        </w:tc>
      </w:tr>
    </w:tbl>
    <w:p>
      <w:pPr>
        <w:keepNext w:val="0"/>
        <w:keepLines/>
        <w:pageBreakBefore w:val="0"/>
        <w:widowControl w:val="0"/>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Although restricted stock is issued upon the grant of an award, the Company excludes restricted stock from the computations within the financial statements of total shares outstanding and earnings per share until such time as the restricted stock vests.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Expense recognized on restricted stock issued to non-employees for services </w:t>
      </w:r>
      <w:r>
        <w:rPr>
          <w:rFonts w:ascii="Times New Roman" w:eastAsia="Times New Roman" w:hAnsi="Times New Roman" w:cs="Times New Roman"/>
          <w:sz w:val="20"/>
        </w:rPr>
        <w:t>was</w:t>
      </w:r>
      <w:r>
        <w:rPr>
          <w:rFonts w:ascii="Times New Roman" w:eastAsia="Times New Roman" w:hAnsi="Times New Roman" w:cs="Times New Roman"/>
          <w:sz w:val="20"/>
        </w:rPr>
        <w:t xml:space="preserve"> </w:t>
      </w:r>
      <w:r>
        <w:rPr>
          <w:rFonts w:ascii="Times New Roman" w:eastAsia="Times New Roman" w:hAnsi="Times New Roman" w:cs="Times New Roman"/>
          <w:sz w:val="20"/>
        </w:rPr>
        <w:t>$31,249</w:t>
      </w:r>
      <w:r>
        <w:rPr>
          <w:rFonts w:ascii="Times New Roman" w:eastAsia="Times New Roman" w:hAnsi="Times New Roman" w:cs="Times New Roman"/>
          <w:sz w:val="20"/>
        </w:rPr>
        <w:t xml:space="preserve"> and </w:t>
      </w:r>
      <w:r>
        <w:rPr>
          <w:rFonts w:ascii="Times New Roman" w:eastAsia="Times New Roman" w:hAnsi="Times New Roman" w:cs="Times New Roman"/>
          <w:sz w:val="20"/>
        </w:rPr>
        <w:t>$37,497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was </w:t>
      </w:r>
      <w:r>
        <w:rPr>
          <w:rFonts w:ascii="Times New Roman" w:eastAsia="Times New Roman" w:hAnsi="Times New Roman" w:cs="Times New Roman"/>
          <w:sz w:val="20"/>
        </w:rPr>
        <w:t>$62,499</w:t>
      </w:r>
      <w:r>
        <w:rPr>
          <w:rFonts w:ascii="Times New Roman" w:eastAsia="Times New Roman" w:hAnsi="Times New Roman" w:cs="Times New Roman"/>
          <w:sz w:val="20"/>
        </w:rPr>
        <w:t xml:space="preserve"> and </w:t>
      </w:r>
      <w:r>
        <w:rPr>
          <w:rFonts w:ascii="Times New Roman" w:eastAsia="Times New Roman" w:hAnsi="Times New Roman" w:cs="Times New Roman"/>
          <w:sz w:val="20"/>
        </w:rPr>
        <w:t>$74,995</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respectively. </w:t>
      </w:r>
      <w:r>
        <w:rPr>
          <w:rFonts w:ascii="Times New Roman" w:eastAsia="Times New Roman" w:hAnsi="Times New Roman" w:cs="Times New Roman"/>
          <w:sz w:val="20"/>
        </w:rPr>
        <w:t xml:space="preserve">Expense recognized on restricted stock issued to employees </w:t>
      </w:r>
      <w:r>
        <w:rPr>
          <w:rFonts w:ascii="Times New Roman" w:eastAsia="Times New Roman" w:hAnsi="Times New Roman" w:cs="Times New Roman"/>
          <w:sz w:val="20"/>
        </w:rPr>
        <w:t xml:space="preserve">was </w:t>
      </w:r>
      <w:r>
        <w:rPr>
          <w:rFonts w:ascii="Times New Roman" w:eastAsia="Times New Roman" w:hAnsi="Times New Roman" w:cs="Times New Roman"/>
          <w:sz w:val="20"/>
        </w:rPr>
        <w:t>$7,133</w:t>
      </w:r>
      <w:r>
        <w:rPr>
          <w:rFonts w:ascii="Times New Roman" w:eastAsia="Times New Roman" w:hAnsi="Times New Roman" w:cs="Times New Roman"/>
          <w:sz w:val="20"/>
        </w:rPr>
        <w:t xml:space="preserve"> and </w:t>
      </w:r>
      <w:r>
        <w:rPr>
          <w:rFonts w:ascii="Times New Roman" w:eastAsia="Times New Roman" w:hAnsi="Times New Roman" w:cs="Times New Roman"/>
          <w:sz w:val="20"/>
        </w:rPr>
        <w:t>$44,845</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r>
        <w:rPr>
          <w:rFonts w:ascii="Times New Roman" w:eastAsia="Times New Roman" w:hAnsi="Times New Roman" w:cs="Times New Roman"/>
          <w:sz w:val="20"/>
        </w:rPr>
        <w:t>,</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was </w:t>
      </w:r>
      <w:r>
        <w:rPr>
          <w:rFonts w:ascii="Times New Roman" w:eastAsia="Times New Roman" w:hAnsi="Times New Roman" w:cs="Times New Roman"/>
          <w:sz w:val="20"/>
        </w:rPr>
        <w:t>$20,668</w:t>
      </w:r>
      <w:r>
        <w:rPr>
          <w:rFonts w:ascii="Times New Roman" w:eastAsia="Times New Roman" w:hAnsi="Times New Roman" w:cs="Times New Roman"/>
          <w:sz w:val="20"/>
        </w:rPr>
        <w:t xml:space="preserve"> and </w:t>
      </w:r>
      <w:r>
        <w:rPr>
          <w:rFonts w:ascii="Times New Roman" w:eastAsia="Times New Roman" w:hAnsi="Times New Roman" w:cs="Times New Roman"/>
          <w:sz w:val="20"/>
        </w:rPr>
        <w:t>$83,257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O</w:t>
      </w:r>
      <w:r>
        <w:rPr>
          <w:rFonts w:ascii="Times New Roman" w:eastAsia="Times New Roman" w:hAnsi="Times New Roman" w:cs="Times New Roman"/>
          <w:sz w:val="20"/>
        </w:rPr>
        <w:t xml:space="preserve">n </w:t>
      </w:r>
      <w:r>
        <w:rPr>
          <w:rFonts w:ascii="Times New Roman" w:eastAsia="Times New Roman" w:hAnsi="Times New Roman" w:cs="Times New Roman"/>
          <w:sz w:val="20"/>
        </w:rPr>
        <w:t>June 30, 2020</w:t>
      </w:r>
      <w:r>
        <w:rPr>
          <w:rFonts w:ascii="Times New Roman" w:eastAsia="Times New Roman" w:hAnsi="Times New Roman" w:cs="Times New Roman"/>
          <w:sz w:val="20"/>
        </w:rPr>
        <w:t>, t</w:t>
      </w:r>
      <w:r>
        <w:rPr>
          <w:rFonts w:ascii="Times New Roman" w:eastAsia="Times New Roman" w:hAnsi="Times New Roman" w:cs="Times New Roman"/>
          <w:sz w:val="20"/>
        </w:rPr>
        <w:t xml:space="preserve">he fair value of the Company’s common stock </w:t>
      </w:r>
      <w:r>
        <w:rPr>
          <w:rFonts w:ascii="Times New Roman" w:eastAsia="Times New Roman" w:hAnsi="Times New Roman" w:cs="Times New Roman"/>
          <w:sz w:val="20"/>
        </w:rPr>
        <w:t xml:space="preserve">was </w:t>
      </w:r>
      <w:r>
        <w:rPr>
          <w:rFonts w:ascii="Times New Roman" w:eastAsia="Times New Roman" w:hAnsi="Times New Roman" w:cs="Times New Roman"/>
          <w:sz w:val="20"/>
        </w:rPr>
        <w:t>$1.14</w:t>
      </w:r>
      <w:r>
        <w:rPr>
          <w:rFonts w:ascii="Times New Roman" w:eastAsia="Times New Roman" w:hAnsi="Times New Roman" w:cs="Times New Roman"/>
          <w:sz w:val="20"/>
        </w:rPr>
        <w:t xml:space="preserve"> per share and the intrinsic value on the non</w:t>
      </w:r>
      <w:r>
        <w:rPr>
          <w:rFonts w:ascii="Times New Roman" w:eastAsia="Times New Roman" w:hAnsi="Times New Roman" w:cs="Times New Roman"/>
          <w:sz w:val="20"/>
        </w:rPr>
        <w:t>-</w:t>
      </w:r>
      <w:r>
        <w:rPr>
          <w:rFonts w:ascii="Times New Roman" w:eastAsia="Times New Roman" w:hAnsi="Times New Roman" w:cs="Times New Roman"/>
          <w:sz w:val="20"/>
        </w:rPr>
        <w:t xml:space="preserve">vested restricted stock </w:t>
      </w:r>
      <w:r>
        <w:rPr>
          <w:rFonts w:ascii="Times New Roman" w:eastAsia="Times New Roman" w:hAnsi="Times New Roman" w:cs="Times New Roman"/>
          <w:sz w:val="20"/>
        </w:rPr>
        <w:t xml:space="preserve">was </w:t>
      </w:r>
      <w:r>
        <w:rPr>
          <w:rFonts w:ascii="Times New Roman" w:eastAsia="Times New Roman" w:hAnsi="Times New Roman" w:cs="Times New Roman"/>
          <w:sz w:val="20"/>
        </w:rPr>
        <w:t>$244,275</w:t>
      </w:r>
      <w:r>
        <w:rPr>
          <w:rFonts w:ascii="Times New Roman" w:eastAsia="Times New Roman" w:hAnsi="Times New Roman" w:cs="Times New Roman"/>
          <w:sz w:val="20"/>
        </w:rPr>
        <w:t>. Future compensation expense related to issued, but non</w:t>
      </w:r>
      <w:r>
        <w:rPr>
          <w:rFonts w:ascii="Times New Roman" w:eastAsia="Times New Roman" w:hAnsi="Times New Roman" w:cs="Times New Roman"/>
          <w:sz w:val="20"/>
        </w:rPr>
        <w:t>-</w:t>
      </w:r>
      <w:r>
        <w:rPr>
          <w:rFonts w:ascii="Times New Roman" w:eastAsia="Times New Roman" w:hAnsi="Times New Roman" w:cs="Times New Roman"/>
          <w:sz w:val="20"/>
        </w:rPr>
        <w:t>vested</w:t>
      </w:r>
      <w:r>
        <w:rPr>
          <w:rFonts w:ascii="Times New Roman" w:eastAsia="Times New Roman" w:hAnsi="Times New Roman" w:cs="Times New Roman"/>
          <w:sz w:val="20"/>
        </w:rPr>
        <w:t>,</w:t>
      </w:r>
      <w:r>
        <w:rPr>
          <w:rFonts w:ascii="Times New Roman" w:eastAsia="Times New Roman" w:hAnsi="Times New Roman" w:cs="Times New Roman"/>
          <w:sz w:val="20"/>
        </w:rPr>
        <w:t xml:space="preserve"> restricted stock awards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is </w:t>
      </w:r>
      <w:r>
        <w:rPr>
          <w:rFonts w:ascii="Times New Roman" w:eastAsia="Times New Roman" w:hAnsi="Times New Roman" w:cs="Times New Roman"/>
          <w:sz w:val="20"/>
        </w:rPr>
        <w:t>$106,712</w:t>
      </w:r>
      <w:r>
        <w:rPr>
          <w:rFonts w:ascii="Times New Roman" w:eastAsia="Times New Roman" w:hAnsi="Times New Roman" w:cs="Times New Roman"/>
          <w:sz w:val="20"/>
        </w:rPr>
        <w:t xml:space="preserve">. This value is estimated to be recognized over the weighted-average vesting period of approximately </w:t>
      </w:r>
      <w:r>
        <w:rPr>
          <w:rFonts w:ascii="Times New Roman" w:eastAsia="Times New Roman" w:hAnsi="Times New Roman" w:cs="Times New Roman"/>
          <w:sz w:val="20"/>
        </w:rPr>
        <w:t>7 months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Restricted Stock Units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Board determines the terms and conditions of each restricted stock unit award issued under the May 2011 Plan.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shd w:val="clear" w:color="auto" w:fill="FFFF0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shd w:val="clear" w:color="auto" w:fill="FFFF0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131,235</w:t>
      </w:r>
      <w:r>
        <w:rPr>
          <w:rFonts w:ascii="Times New Roman" w:eastAsia="Times New Roman" w:hAnsi="Times New Roman" w:cs="Times New Roman"/>
          <w:sz w:val="20"/>
        </w:rPr>
        <w:t xml:space="preserve"> restricted stock units on May 17, 2019 to Mr. Murphy</w:t>
      </w:r>
      <w:r>
        <w:rPr>
          <w:rFonts w:ascii="Times New Roman" w:eastAsia="Times New Roman" w:hAnsi="Times New Roman" w:cs="Times New Roman"/>
          <w:sz w:val="20"/>
        </w:rPr>
        <w:t xml:space="preserve"> under the terms of his amended employment agreement. The restricted stock units were initially valued at </w:t>
      </w:r>
      <w:r>
        <w:rPr>
          <w:rFonts w:ascii="Times New Roman" w:eastAsia="Times New Roman" w:hAnsi="Times New Roman" w:cs="Times New Roman"/>
          <w:sz w:val="20"/>
        </w:rPr>
        <w:t>$76,510</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36</w:t>
      </w:r>
      <w:r>
        <w:rPr>
          <w:rFonts w:ascii="Times New Roman" w:eastAsia="Times New Roman" w:hAnsi="Times New Roman" w:cs="Times New Roman"/>
          <w:sz w:val="20"/>
        </w:rPr>
        <w:t xml:space="preserve"> months from issuance. The Company issued </w:t>
      </w:r>
      <w:r>
        <w:rPr>
          <w:rFonts w:ascii="Times New Roman" w:eastAsia="Times New Roman" w:hAnsi="Times New Roman" w:cs="Times New Roman"/>
          <w:sz w:val="20"/>
        </w:rPr>
        <w:t>258,312</w:t>
      </w:r>
      <w:r>
        <w:rPr>
          <w:rFonts w:ascii="Times New Roman" w:eastAsia="Times New Roman" w:hAnsi="Times New Roman" w:cs="Times New Roman"/>
          <w:sz w:val="20"/>
        </w:rPr>
        <w:t xml:space="preserve"> restricted stock units on August 29, 2019 to Mr. Murphy under the terms of his amended employment agreement. The restricted stock units were initially valued at </w:t>
      </w:r>
      <w:r>
        <w:rPr>
          <w:rFonts w:ascii="Times New Roman" w:eastAsia="Times New Roman" w:hAnsi="Times New Roman" w:cs="Times New Roman"/>
          <w:sz w:val="20"/>
        </w:rPr>
        <w:t>$82,660</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w:t>
      </w:r>
    </w:p>
    <w:p>
      <w:pPr>
        <w:keepNext w:val="0"/>
        <w:keepLines w:val="0"/>
        <w:pageBreakBefore w:val="0"/>
        <w:widowControl/>
        <w:numPr>
          <w:ilvl w:val="0"/>
          <w:numId w:val="0"/>
        </w:numPr>
        <w:spacing w:before="0" w:after="0" w:line="238" w:lineRule="auto"/>
        <w:ind w:left="0" w:right="0" w:firstLine="0"/>
        <w:jc w:val="left"/>
        <w:outlineLvl w:val="9"/>
        <w:rPr>
          <w:rFonts w:ascii="Arial" w:eastAsia="Arial" w:hAnsi="Arial" w:cs="Arial"/>
          <w:sz w:val="24"/>
        </w:rPr>
      </w:pPr>
    </w:p>
    <w:p>
      <w:pPr>
        <w:keepNext w:val="0"/>
        <w:keepLines w:val="0"/>
        <w:pageBreakBefore w:val="0"/>
        <w:widowControl/>
        <w:numPr>
          <w:ilvl w:val="0"/>
          <w:numId w:val="0"/>
        </w:numPr>
        <w:spacing w:before="0" w:after="0" w:line="23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890</w:t>
      </w:r>
      <w:r>
        <w:rPr>
          <w:rFonts w:ascii="Times New Roman" w:eastAsia="Times New Roman" w:hAnsi="Times New Roman" w:cs="Times New Roman"/>
          <w:sz w:val="20"/>
        </w:rPr>
        <w:t xml:space="preserve"> restricted stock units on May 14, 2019 to Mr. Troy Vanke, the Company’s then Chief Financial Officer, under the terms of his employment agreement. The restricted stock units were initially valued at </w:t>
      </w:r>
      <w:r>
        <w:rPr>
          <w:rFonts w:ascii="Times New Roman" w:eastAsia="Times New Roman" w:hAnsi="Times New Roman" w:cs="Times New Roman"/>
          <w:sz w:val="20"/>
        </w:rPr>
        <w:t>$578</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 Upon his departure in August 2019, </w:t>
      </w:r>
      <w:r>
        <w:rPr>
          <w:rFonts w:ascii="Times New Roman" w:eastAsia="Times New Roman" w:hAnsi="Times New Roman" w:cs="Times New Roman"/>
          <w:sz w:val="20"/>
        </w:rPr>
        <w:t>667</w:t>
      </w:r>
      <w:r>
        <w:rPr>
          <w:rFonts w:ascii="Times New Roman" w:eastAsia="Times New Roman" w:hAnsi="Times New Roman" w:cs="Times New Roman"/>
          <w:sz w:val="20"/>
        </w:rPr>
        <w:t xml:space="preserve"> of these shares were forfeited.</w:t>
      </w: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84,994</w:t>
      </w:r>
      <w:r>
        <w:rPr>
          <w:rFonts w:ascii="Times New Roman" w:eastAsia="Times New Roman" w:hAnsi="Times New Roman" w:cs="Times New Roman"/>
          <w:sz w:val="20"/>
        </w:rPr>
        <w:t xml:space="preserve"> restricted stock units on January 3, 2020 to Mr. Ryan Schram, its Chief Operating Officer, under the terms of his employment agreement. The restricted stock units were initially valued at </w:t>
      </w:r>
      <w:r>
        <w:rPr>
          <w:rFonts w:ascii="Times New Roman" w:eastAsia="Times New Roman" w:hAnsi="Times New Roman" w:cs="Times New Roman"/>
          <w:sz w:val="20"/>
        </w:rPr>
        <w:t>$23,739</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 The Company also issued </w:t>
      </w:r>
      <w:r>
        <w:rPr>
          <w:rFonts w:ascii="Times New Roman" w:eastAsia="Times New Roman" w:hAnsi="Times New Roman" w:cs="Times New Roman"/>
          <w:sz w:val="20"/>
        </w:rPr>
        <w:t>100,000</w:t>
      </w:r>
      <w:r>
        <w:rPr>
          <w:rFonts w:ascii="Times New Roman" w:eastAsia="Times New Roman" w:hAnsi="Times New Roman" w:cs="Times New Roman"/>
          <w:sz w:val="20"/>
        </w:rPr>
        <w:t xml:space="preserve"> restricted stock units on January 3, 2020 to Mr. Schram as additional incentive compensation. The restricted stock units were initially valued at </w:t>
      </w:r>
      <w:r>
        <w:rPr>
          <w:rFonts w:ascii="Times New Roman" w:eastAsia="Times New Roman" w:hAnsi="Times New Roman" w:cs="Times New Roman"/>
          <w:sz w:val="20"/>
        </w:rPr>
        <w:t>$27,930</w:t>
      </w:r>
      <w:r>
        <w:rPr>
          <w:rFonts w:ascii="Times New Roman" w:eastAsia="Times New Roman" w:hAnsi="Times New Roman" w:cs="Times New Roman"/>
          <w:sz w:val="20"/>
        </w:rPr>
        <w:t xml:space="preserve"> and vest in a lump sum </w:t>
      </w:r>
      <w:r>
        <w:rPr>
          <w:rFonts w:ascii="Times New Roman" w:eastAsia="Times New Roman" w:hAnsi="Times New Roman" w:cs="Times New Roman"/>
          <w:sz w:val="20"/>
        </w:rPr>
        <w:t>12</w:t>
      </w:r>
      <w:r>
        <w:rPr>
          <w:rFonts w:ascii="Times New Roman" w:eastAsia="Times New Roman" w:hAnsi="Times New Roman" w:cs="Times New Roman"/>
          <w:sz w:val="20"/>
        </w:rPr>
        <w:t xml:space="preserve"> months from issuance.</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January 3, 2020, the Company issued a total of </w:t>
      </w:r>
      <w:r>
        <w:rPr>
          <w:rFonts w:ascii="Times New Roman" w:eastAsia="Times New Roman" w:hAnsi="Times New Roman" w:cs="Times New Roman"/>
          <w:sz w:val="20"/>
        </w:rPr>
        <w:t>500,000</w:t>
      </w:r>
      <w:r>
        <w:rPr>
          <w:rFonts w:ascii="Times New Roman" w:eastAsia="Times New Roman" w:hAnsi="Times New Roman" w:cs="Times New Roman"/>
          <w:sz w:val="20"/>
        </w:rPr>
        <w:t xml:space="preserve"> shares of restricted common stock initially valued at </w:t>
      </w:r>
      <w:r>
        <w:rPr>
          <w:rFonts w:ascii="Times New Roman" w:eastAsia="Times New Roman" w:hAnsi="Times New Roman" w:cs="Times New Roman"/>
          <w:sz w:val="20"/>
        </w:rPr>
        <w:t>$139,650</w:t>
      </w:r>
      <w:r>
        <w:rPr>
          <w:rFonts w:ascii="Times New Roman" w:eastAsia="Times New Roman" w:hAnsi="Times New Roman" w:cs="Times New Roman"/>
          <w:sz w:val="20"/>
        </w:rPr>
        <w:t xml:space="preserve">  to </w:t>
      </w:r>
      <w:r>
        <w:rPr>
          <w:rFonts w:ascii="Times New Roman" w:eastAsia="Times New Roman" w:hAnsi="Times New Roman" w:cs="Times New Roman"/>
          <w:sz w:val="20"/>
        </w:rPr>
        <w:t>twenty</w:t>
      </w:r>
      <w:r>
        <w:rPr>
          <w:rFonts w:ascii="Times New Roman" w:eastAsia="Times New Roman" w:hAnsi="Times New Roman" w:cs="Times New Roman"/>
          <w:sz w:val="20"/>
        </w:rPr>
        <w:t xml:space="preserve"> employees as additional incentive compensation. The restricted stock units vest in a lump sum </w:t>
      </w:r>
      <w:r>
        <w:rPr>
          <w:rFonts w:ascii="Times New Roman" w:eastAsia="Times New Roman" w:hAnsi="Times New Roman" w:cs="Times New Roman"/>
          <w:sz w:val="20"/>
        </w:rPr>
        <w:t>12 months</w:t>
      </w:r>
      <w:r>
        <w:rPr>
          <w:rFonts w:ascii="Times New Roman" w:eastAsia="Times New Roman" w:hAnsi="Times New Roman" w:cs="Times New Roman"/>
          <w:sz w:val="20"/>
        </w:rPr>
        <w:t xml:space="preserve"> from issuance.</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65,531</w:t>
      </w:r>
      <w:r>
        <w:rPr>
          <w:rFonts w:ascii="Times New Roman" w:eastAsia="Times New Roman" w:hAnsi="Times New Roman" w:cs="Times New Roman"/>
          <w:sz w:val="20"/>
        </w:rPr>
        <w:t xml:space="preserve"> restricted stock units on </w:t>
      </w:r>
      <w:r>
        <w:rPr>
          <w:rFonts w:ascii="Times New Roman" w:eastAsia="Times New Roman" w:hAnsi="Times New Roman" w:cs="Times New Roman"/>
          <w:sz w:val="20"/>
        </w:rPr>
        <w:t>A</w:t>
      </w:r>
      <w:r>
        <w:rPr>
          <w:rFonts w:ascii="Times New Roman" w:eastAsia="Times New Roman" w:hAnsi="Times New Roman" w:cs="Times New Roman"/>
          <w:sz w:val="20"/>
        </w:rPr>
        <w:t>pril 3</w:t>
      </w:r>
      <w:r>
        <w:rPr>
          <w:rFonts w:ascii="Times New Roman" w:eastAsia="Times New Roman" w:hAnsi="Times New Roman" w:cs="Times New Roman"/>
          <w:sz w:val="20"/>
        </w:rPr>
        <w:t>, 20</w:t>
      </w:r>
      <w:r>
        <w:rPr>
          <w:rFonts w:ascii="Times New Roman" w:eastAsia="Times New Roman" w:hAnsi="Times New Roman" w:cs="Times New Roman"/>
          <w:sz w:val="20"/>
        </w:rPr>
        <w:t>20</w:t>
      </w:r>
      <w:r>
        <w:rPr>
          <w:rFonts w:ascii="Times New Roman" w:eastAsia="Times New Roman" w:hAnsi="Times New Roman" w:cs="Times New Roman"/>
          <w:sz w:val="20"/>
        </w:rPr>
        <w:t xml:space="preserve"> to Mr. Murphy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bonuses </w:t>
      </w:r>
      <w:r>
        <w:rPr>
          <w:rFonts w:ascii="Times New Roman" w:eastAsia="Times New Roman" w:hAnsi="Times New Roman" w:cs="Times New Roman"/>
          <w:sz w:val="20"/>
        </w:rPr>
        <w:t xml:space="preserve">under the terms of his amended employment agreement. The restricted stock units were initially valued at </w:t>
      </w:r>
      <w:r>
        <w:rPr>
          <w:rFonts w:ascii="Times New Roman" w:eastAsia="Times New Roman" w:hAnsi="Times New Roman" w:cs="Times New Roman"/>
          <w:sz w:val="20"/>
        </w:rPr>
        <w:t>$10,138</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36</w:t>
      </w:r>
      <w:r>
        <w:rPr>
          <w:rFonts w:ascii="Times New Roman" w:eastAsia="Times New Roman" w:hAnsi="Times New Roman" w:cs="Times New Roman"/>
          <w:sz w:val="20"/>
        </w:rPr>
        <w:t xml:space="preserve"> months from issuance. The Company issued </w:t>
      </w:r>
      <w:r>
        <w:rPr>
          <w:rFonts w:ascii="Times New Roman" w:eastAsia="Times New Roman" w:hAnsi="Times New Roman" w:cs="Times New Roman"/>
          <w:sz w:val="20"/>
        </w:rPr>
        <w:t>14,918</w:t>
      </w:r>
      <w:r>
        <w:rPr>
          <w:rFonts w:ascii="Times New Roman" w:eastAsia="Times New Roman" w:hAnsi="Times New Roman" w:cs="Times New Roman"/>
          <w:sz w:val="20"/>
        </w:rPr>
        <w:t xml:space="preserve"> restricted stock units on </w:t>
      </w:r>
      <w:r>
        <w:rPr>
          <w:rFonts w:ascii="Times New Roman" w:eastAsia="Times New Roman" w:hAnsi="Times New Roman" w:cs="Times New Roman"/>
          <w:sz w:val="20"/>
        </w:rPr>
        <w:t>May 31, 2020</w:t>
      </w:r>
      <w:r>
        <w:rPr>
          <w:rFonts w:ascii="Times New Roman" w:eastAsia="Times New Roman" w:hAnsi="Times New Roman" w:cs="Times New Roman"/>
          <w:sz w:val="20"/>
        </w:rPr>
        <w:t xml:space="preserve"> to Mr. Murphy </w:t>
      </w:r>
      <w:r>
        <w:rPr>
          <w:rFonts w:ascii="Times New Roman" w:eastAsia="Times New Roman" w:hAnsi="Times New Roman" w:cs="Times New Roman"/>
          <w:sz w:val="20"/>
        </w:rPr>
        <w:t xml:space="preserve">for bonuses </w:t>
      </w:r>
      <w:r>
        <w:rPr>
          <w:rFonts w:ascii="Times New Roman" w:eastAsia="Times New Roman" w:hAnsi="Times New Roman" w:cs="Times New Roman"/>
          <w:sz w:val="20"/>
        </w:rPr>
        <w:t xml:space="preserve">under the terms of his amended employment agreement. The restricted stock units were initially valued at </w:t>
      </w:r>
      <w:r>
        <w:rPr>
          <w:rFonts w:ascii="Times New Roman" w:eastAsia="Times New Roman" w:hAnsi="Times New Roman" w:cs="Times New Roman"/>
          <w:sz w:val="20"/>
        </w:rPr>
        <w:t>$9,097</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36</w:t>
      </w:r>
      <w:r>
        <w:rPr>
          <w:rFonts w:ascii="Times New Roman" w:eastAsia="Times New Roman" w:hAnsi="Times New Roman" w:cs="Times New Roman"/>
          <w:sz w:val="20"/>
        </w:rPr>
        <w:t xml:space="preserve"> months from issuance.</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31,271</w:t>
      </w:r>
      <w:r>
        <w:rPr>
          <w:rFonts w:ascii="Times New Roman" w:eastAsia="Times New Roman" w:hAnsi="Times New Roman" w:cs="Times New Roman"/>
          <w:sz w:val="20"/>
        </w:rPr>
        <w:t xml:space="preserve"> restricted stock units on</w:t>
      </w:r>
      <w:r>
        <w:rPr>
          <w:rFonts w:ascii="Times New Roman" w:eastAsia="Times New Roman" w:hAnsi="Times New Roman" w:cs="Times New Roman"/>
          <w:sz w:val="20"/>
        </w:rPr>
        <w:t xml:space="preserve"> </w:t>
      </w:r>
      <w:r>
        <w:rPr>
          <w:rFonts w:ascii="Times New Roman" w:eastAsia="Times New Roman" w:hAnsi="Times New Roman" w:cs="Times New Roman"/>
          <w:sz w:val="20"/>
        </w:rPr>
        <w:t>April</w:t>
      </w:r>
      <w:r>
        <w:rPr>
          <w:rFonts w:ascii="Times New Roman" w:eastAsia="Times New Roman" w:hAnsi="Times New Roman" w:cs="Times New Roman"/>
          <w:sz w:val="20"/>
        </w:rPr>
        <w:t xml:space="preserve"> 3, 2020 to Mr. </w:t>
      </w:r>
      <w:r>
        <w:rPr>
          <w:rFonts w:ascii="Times New Roman" w:eastAsia="Times New Roman" w:hAnsi="Times New Roman" w:cs="Times New Roman"/>
          <w:sz w:val="20"/>
        </w:rPr>
        <w:t>Schram</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bonuses </w:t>
      </w:r>
      <w:r>
        <w:rPr>
          <w:rFonts w:ascii="Times New Roman" w:eastAsia="Times New Roman" w:hAnsi="Times New Roman" w:cs="Times New Roman"/>
          <w:sz w:val="20"/>
        </w:rPr>
        <w:t xml:space="preserve">under the terms of his employment agreement. The restricted stock units were initially valued at </w:t>
      </w:r>
      <w:r>
        <w:rPr>
          <w:rFonts w:ascii="Times New Roman" w:eastAsia="Times New Roman" w:hAnsi="Times New Roman" w:cs="Times New Roman"/>
          <w:sz w:val="20"/>
        </w:rPr>
        <w:t>$4,838</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 </w:t>
      </w:r>
      <w:r>
        <w:rPr>
          <w:rFonts w:ascii="Times New Roman" w:eastAsia="Times New Roman" w:hAnsi="Times New Roman" w:cs="Times New Roman"/>
          <w:sz w:val="20"/>
        </w:rPr>
        <w:t xml:space="preserve">The Company issued </w:t>
      </w:r>
      <w:r>
        <w:rPr>
          <w:rFonts w:ascii="Times New Roman" w:eastAsia="Times New Roman" w:hAnsi="Times New Roman" w:cs="Times New Roman"/>
          <w:sz w:val="20"/>
        </w:rPr>
        <w:t>3,347</w:t>
      </w:r>
      <w:r>
        <w:rPr>
          <w:rFonts w:ascii="Times New Roman" w:eastAsia="Times New Roman" w:hAnsi="Times New Roman" w:cs="Times New Roman"/>
          <w:sz w:val="20"/>
        </w:rPr>
        <w:t xml:space="preserve"> restricted stock units on </w:t>
      </w:r>
      <w:r>
        <w:rPr>
          <w:rFonts w:ascii="Times New Roman" w:eastAsia="Times New Roman" w:hAnsi="Times New Roman" w:cs="Times New Roman"/>
          <w:sz w:val="20"/>
        </w:rPr>
        <w:t>May 31, 2020</w:t>
      </w:r>
      <w:r>
        <w:rPr>
          <w:rFonts w:ascii="Times New Roman" w:eastAsia="Times New Roman" w:hAnsi="Times New Roman" w:cs="Times New Roman"/>
          <w:sz w:val="20"/>
        </w:rPr>
        <w:t xml:space="preserve"> to Mr. Schram</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bonuses </w:t>
      </w:r>
      <w:r>
        <w:rPr>
          <w:rFonts w:ascii="Times New Roman" w:eastAsia="Times New Roman" w:hAnsi="Times New Roman" w:cs="Times New Roman"/>
          <w:sz w:val="20"/>
        </w:rPr>
        <w:t xml:space="preserve">under the terms of his employment agreement. The restricted stock units were initially valued at </w:t>
      </w:r>
      <w:r>
        <w:rPr>
          <w:rFonts w:ascii="Times New Roman" w:eastAsia="Times New Roman" w:hAnsi="Times New Roman" w:cs="Times New Roman"/>
          <w:sz w:val="20"/>
        </w:rPr>
        <w:t>$2,041</w:t>
      </w:r>
      <w:r>
        <w:rPr>
          <w:rFonts w:ascii="Times New Roman" w:eastAsia="Times New Roman" w:hAnsi="Times New Roman" w:cs="Times New Roman"/>
          <w:sz w:val="20"/>
        </w:rPr>
        <w:t xml:space="preserve"> and vest in equal monthly installments over </w:t>
      </w:r>
      <w:r>
        <w:rPr>
          <w:rFonts w:ascii="Times New Roman" w:eastAsia="Times New Roman" w:hAnsi="Times New Roman" w:cs="Times New Roman"/>
          <w:sz w:val="20"/>
        </w:rPr>
        <w:t>48</w:t>
      </w:r>
      <w:r>
        <w:rPr>
          <w:rFonts w:ascii="Times New Roman" w:eastAsia="Times New Roman" w:hAnsi="Times New Roman" w:cs="Times New Roman"/>
          <w:sz w:val="20"/>
        </w:rPr>
        <w:t xml:space="preserve"> months from issuance. </w:t>
      </w:r>
    </w:p>
    <w:p>
      <w:pPr>
        <w:keepNext w:val="0"/>
        <w:keepLines w:val="0"/>
        <w:pageBreakBefore w:val="0"/>
        <w:widowControl/>
        <w:numPr>
          <w:ilvl w:val="0"/>
          <w:numId w:val="0"/>
        </w:numPr>
        <w:spacing w:before="0" w:after="0" w:line="238" w:lineRule="auto"/>
        <w:ind w:left="0" w:right="0" w:firstLine="0"/>
        <w:jc w:val="left"/>
        <w:outlineLvl w:val="9"/>
        <w:rPr>
          <w:rFonts w:ascii="Arial" w:eastAsia="Arial" w:hAnsi="Arial" w:cs="Arial"/>
          <w:sz w:val="24"/>
        </w:rPr>
      </w:pPr>
      <w:r>
        <w:rPr>
          <w:rFonts w:ascii="Times New Roman" w:eastAsia="Times New Roman" w:hAnsi="Times New Roman" w:cs="Times New Roman"/>
          <w:sz w:val="20"/>
        </w:rPr>
        <w:tab/>
      </w:r>
    </w:p>
    <w:p>
      <w:pPr>
        <w:keepNext/>
        <w:keepLines/>
        <w:pageBreakBefore w:val="0"/>
        <w:widowControl w:val="0"/>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following table contains summarized information about restricted stock units during the year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w:t>
      </w:r>
    </w:p>
    <w:tbl>
      <w:tblPr>
        <w:tblW w:w="102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65"/>
        <w:gridCol w:w="1265"/>
        <w:gridCol w:w="100"/>
        <w:gridCol w:w="160"/>
        <w:gridCol w:w="1105"/>
        <w:gridCol w:w="100"/>
        <w:gridCol w:w="1365"/>
      </w:tblGrid>
      <w:tr>
        <w:tblPrEx>
          <w:tblW w:w="102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95"/>
        </w:trPr>
        <w:tc>
          <w:tcPr>
            <w:tcW w:w="61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i/>
                <w:color w:val="000000"/>
                <w:sz w:val="20"/>
              </w:rPr>
              <w:t>Restricted Stock Units</w:t>
            </w:r>
          </w:p>
        </w:tc>
        <w:tc>
          <w:tcPr>
            <w:tcW w:w="1365"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Common Shares</w:t>
            </w:r>
          </w:p>
        </w:tc>
        <w:tc>
          <w:tcPr>
            <w:tcW w:w="136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Grant Date</w:t>
            </w:r>
            <w:r>
              <w:br/>
            </w:r>
            <w:r>
              <w:rPr>
                <w:rFonts w:ascii="Times New Roman" w:eastAsia="Times New Roman" w:hAnsi="Times New Roman" w:cs="Times New Roman"/>
                <w:color w:val="000000"/>
                <w:sz w:val="20"/>
              </w:rPr>
              <w:t>Fair Value</w:t>
            </w:r>
          </w:p>
        </w:tc>
        <w:tc>
          <w:tcPr>
            <w:tcW w:w="13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Remaining Years</w:t>
            </w:r>
            <w:r>
              <w:br/>
            </w:r>
            <w:r>
              <w:rPr>
                <w:rFonts w:ascii="Times New Roman" w:eastAsia="Times New Roman" w:hAnsi="Times New Roman" w:cs="Times New Roman"/>
                <w:color w:val="000000"/>
                <w:sz w:val="20"/>
              </w:rPr>
              <w:t>to Vest</w:t>
            </w:r>
          </w:p>
        </w:tc>
      </w:tr>
      <w:tr>
        <w:tblPrEx>
          <w:tblW w:w="10260" w:type="dxa"/>
          <w:tblInd w:w="0" w:type="dxa"/>
          <w:tblCellMar>
            <w:left w:w="108" w:type="dxa"/>
            <w:right w:w="108" w:type="dxa"/>
          </w:tblCellMar>
        </w:tblPrEx>
        <w:trPr>
          <w:cantSplit/>
          <w:trHeight w:hRule="exact" w:val="300"/>
        </w:trPr>
        <w:tc>
          <w:tcPr>
            <w:tcW w:w="61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2018</w:t>
            </w:r>
          </w:p>
        </w:tc>
        <w:tc>
          <w:tcPr>
            <w:tcW w:w="12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160,000 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36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1.0</w:t>
            </w: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2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410,437 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3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26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(149,290)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0.79 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3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2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(54,335)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3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2019</w:t>
            </w:r>
          </w:p>
        </w:tc>
        <w:tc>
          <w:tcPr>
            <w:tcW w:w="126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366,812 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0.42 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36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3.2</w:t>
            </w: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2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802,471 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3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26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(76,523)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26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36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26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(5,000)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26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36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tblInd w:w="0" w:type="dxa"/>
          <w:tblCellMar>
            <w:left w:w="108" w:type="dxa"/>
            <w:right w:w="108" w:type="dxa"/>
          </w:tblCellMar>
        </w:tblPrEx>
        <w:trPr>
          <w:cantSplit/>
          <w:trHeight w:hRule="exact" w:val="300"/>
        </w:trPr>
        <w:tc>
          <w:tcPr>
            <w:tcW w:w="616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Nonvested at June 30, 2020</w:t>
            </w:r>
          </w:p>
        </w:tc>
        <w:tc>
          <w:tcPr>
            <w:tcW w:w="126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1,087,760 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0.31 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136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1.6</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Expense recognized on restricted stock units issued to employees </w:t>
      </w:r>
      <w:r>
        <w:rPr>
          <w:rFonts w:ascii="Times New Roman" w:eastAsia="Times New Roman" w:hAnsi="Times New Roman" w:cs="Times New Roman"/>
          <w:sz w:val="20"/>
        </w:rPr>
        <w:t xml:space="preserve">was </w:t>
      </w:r>
      <w:r>
        <w:rPr>
          <w:rFonts w:ascii="Times New Roman" w:eastAsia="Times New Roman" w:hAnsi="Times New Roman" w:cs="Times New Roman"/>
          <w:sz w:val="20"/>
        </w:rPr>
        <w:t>$58,477</w:t>
      </w:r>
      <w:r>
        <w:rPr>
          <w:rFonts w:ascii="Times New Roman" w:eastAsia="Times New Roman" w:hAnsi="Times New Roman" w:cs="Times New Roman"/>
          <w:sz w:val="20"/>
        </w:rPr>
        <w:t xml:space="preserve"> and </w:t>
      </w:r>
      <w:r>
        <w:rPr>
          <w:rFonts w:ascii="Times New Roman" w:eastAsia="Times New Roman" w:hAnsi="Times New Roman" w:cs="Times New Roman"/>
          <w:sz w:val="20"/>
        </w:rPr>
        <w:t>$22,483</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w:t>
      </w:r>
      <w:r>
        <w:rPr>
          <w:rFonts w:ascii="Times New Roman" w:eastAsia="Times New Roman" w:hAnsi="Times New Roman" w:cs="Times New Roman"/>
          <w:sz w:val="20"/>
        </w:rPr>
        <w:t>and</w:t>
      </w:r>
      <w:r>
        <w:rPr>
          <w:rFonts w:ascii="Times New Roman" w:eastAsia="Times New Roman" w:hAnsi="Times New Roman" w:cs="Times New Roman"/>
          <w:sz w:val="20"/>
        </w:rPr>
        <w:t xml:space="preserve"> was </w:t>
      </w:r>
      <w:r>
        <w:rPr>
          <w:rFonts w:ascii="Times New Roman" w:eastAsia="Times New Roman" w:hAnsi="Times New Roman" w:cs="Times New Roman"/>
          <w:sz w:val="20"/>
        </w:rPr>
        <w:t>$115,084</w:t>
      </w:r>
      <w:r>
        <w:rPr>
          <w:rFonts w:ascii="Times New Roman" w:eastAsia="Times New Roman" w:hAnsi="Times New Roman" w:cs="Times New Roman"/>
          <w:sz w:val="20"/>
        </w:rPr>
        <w:t xml:space="preserve"> and </w:t>
      </w:r>
      <w:r>
        <w:rPr>
          <w:rFonts w:ascii="Times New Roman" w:eastAsia="Times New Roman" w:hAnsi="Times New Roman" w:cs="Times New Roman"/>
          <w:sz w:val="20"/>
        </w:rPr>
        <w:t>$54,948</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t>
      </w:r>
      <w:r>
        <w:rPr>
          <w:rFonts w:ascii="Times New Roman" w:eastAsia="Times New Roman" w:hAnsi="Times New Roman" w:cs="Times New Roman"/>
          <w:sz w:val="20"/>
        </w:rPr>
        <w:t xml:space="preserve">On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the fair value of the Company’s common stock was </w:t>
      </w:r>
      <w:r>
        <w:rPr>
          <w:rFonts w:ascii="Times New Roman" w:eastAsia="Times New Roman" w:hAnsi="Times New Roman" w:cs="Times New Roman"/>
          <w:sz w:val="20"/>
        </w:rPr>
        <w:t>$1.14</w:t>
      </w:r>
      <w:r>
        <w:rPr>
          <w:rFonts w:ascii="Times New Roman" w:eastAsia="Times New Roman" w:hAnsi="Times New Roman" w:cs="Times New Roman"/>
          <w:sz w:val="20"/>
        </w:rPr>
        <w:t xml:space="preserve"> per share and the intrinsic value on the non-vested restricted units was </w:t>
      </w:r>
      <w:r>
        <w:rPr>
          <w:rFonts w:ascii="Times New Roman" w:eastAsia="Times New Roman" w:hAnsi="Times New Roman" w:cs="Times New Roman"/>
          <w:sz w:val="20"/>
        </w:rPr>
        <w:t>$1,240,046</w:t>
      </w:r>
      <w:r>
        <w:rPr>
          <w:rFonts w:ascii="Times New Roman" w:eastAsia="Times New Roman" w:hAnsi="Times New Roman" w:cs="Times New Roman"/>
          <w:sz w:val="20"/>
        </w:rPr>
        <w:t xml:space="preserve">. </w:t>
      </w:r>
      <w:r>
        <w:rPr>
          <w:rFonts w:ascii="Times New Roman" w:eastAsia="Times New Roman" w:hAnsi="Times New Roman" w:cs="Times New Roman"/>
          <w:sz w:val="20"/>
        </w:rPr>
        <w:t>F</w:t>
      </w:r>
      <w:r>
        <w:rPr>
          <w:rFonts w:ascii="Times New Roman" w:eastAsia="Times New Roman" w:hAnsi="Times New Roman" w:cs="Times New Roman"/>
          <w:sz w:val="20"/>
        </w:rPr>
        <w:t xml:space="preserve">uture compensation related to </w:t>
      </w:r>
      <w:r>
        <w:rPr>
          <w:rFonts w:ascii="Times New Roman" w:eastAsia="Times New Roman" w:hAnsi="Times New Roman" w:cs="Times New Roman"/>
          <w:sz w:val="20"/>
        </w:rPr>
        <w:t>the</w:t>
      </w:r>
      <w:r>
        <w:rPr>
          <w:rFonts w:ascii="Times New Roman" w:eastAsia="Times New Roman" w:hAnsi="Times New Roman" w:cs="Times New Roman"/>
          <w:sz w:val="20"/>
        </w:rPr>
        <w:t xml:space="preserve"> </w:t>
      </w:r>
      <w:r>
        <w:rPr>
          <w:rFonts w:ascii="Times New Roman" w:eastAsia="Times New Roman" w:hAnsi="Times New Roman" w:cs="Times New Roman"/>
          <w:sz w:val="20"/>
        </w:rPr>
        <w:t>non-vested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restricted stock units </w:t>
      </w:r>
      <w:r>
        <w:rPr>
          <w:rFonts w:ascii="Times New Roman" w:eastAsia="Times New Roman" w:hAnsi="Times New Roman" w:cs="Times New Roman"/>
          <w:sz w:val="20"/>
        </w:rPr>
        <w:t>a</w:t>
      </w:r>
      <w:r>
        <w:rPr>
          <w:rFonts w:ascii="Times New Roman" w:eastAsia="Times New Roman" w:hAnsi="Times New Roman" w:cs="Times New Roman"/>
          <w:sz w:val="20"/>
        </w:rPr>
        <w:t xml:space="preserve">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is</w:t>
      </w:r>
      <w:r>
        <w:rPr>
          <w:rFonts w:ascii="Times New Roman" w:eastAsia="Times New Roman" w:hAnsi="Times New Roman" w:cs="Times New Roman"/>
          <w:sz w:val="20"/>
        </w:rPr>
        <w:t xml:space="preserve"> </w:t>
      </w:r>
      <w:r>
        <w:rPr>
          <w:rFonts w:ascii="Times New Roman" w:eastAsia="Times New Roman" w:hAnsi="Times New Roman" w:cs="Times New Roman"/>
          <w:sz w:val="20"/>
        </w:rPr>
        <w:t>$254,747</w:t>
      </w:r>
      <w:r>
        <w:rPr>
          <w:rFonts w:ascii="Times New Roman" w:eastAsia="Times New Roman" w:hAnsi="Times New Roman" w:cs="Times New Roman"/>
          <w:sz w:val="20"/>
        </w:rPr>
        <w:t xml:space="preserve"> </w:t>
      </w:r>
      <w:r>
        <w:rPr>
          <w:rFonts w:ascii="Times New Roman" w:eastAsia="Times New Roman" w:hAnsi="Times New Roman" w:cs="Times New Roman"/>
          <w:sz w:val="20"/>
        </w:rPr>
        <w:t>and it is</w:t>
      </w:r>
      <w:r>
        <w:rPr>
          <w:rFonts w:ascii="Times New Roman" w:eastAsia="Times New Roman" w:hAnsi="Times New Roman" w:cs="Times New Roman"/>
          <w:sz w:val="20"/>
        </w:rPr>
        <w:t xml:space="preserve"> estimated to be recognized over the weighted-average vesting period of approximately </w:t>
      </w:r>
      <w:r>
        <w:rPr>
          <w:rFonts w:ascii="Times New Roman" w:eastAsia="Times New Roman" w:hAnsi="Times New Roman" w:cs="Times New Roman"/>
          <w:sz w:val="20"/>
        </w:rPr>
        <w:t>1.6 years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i/>
          <w:sz w:val="20"/>
        </w:rPr>
      </w:pPr>
    </w:p>
    <w:p>
      <w:pPr>
        <w:keepNext/>
        <w:keepLines/>
        <w:pageBreakBefore w:val="0"/>
        <w:widowControl w:val="0"/>
        <w:numPr>
          <w:ilvl w:val="0"/>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Stock Options </w:t>
      </w: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Under the 2011 Equity Incentive Plans, the Board determines the exercise price to be paid for the stock option shares, the period within which each stock option may be exercised, and the terms and conditions of each stock option. The exercise price of incentive and non-qualified stock options may not be less than </w:t>
      </w:r>
      <w:r>
        <w:rPr>
          <w:rFonts w:ascii="Times New Roman" w:eastAsia="Times New Roman" w:hAnsi="Times New Roman" w:cs="Times New Roman"/>
          <w:sz w:val="20"/>
        </w:rPr>
        <w:t>100%</w:t>
      </w:r>
      <w:r>
        <w:rPr>
          <w:rFonts w:ascii="Times New Roman" w:eastAsia="Times New Roman" w:hAnsi="Times New Roman" w:cs="Times New Roman"/>
          <w:sz w:val="20"/>
        </w:rPr>
        <w:t xml:space="preserve"> of the fair market value per share of the Company’s common stock on the grant date. If an individual owns stock representing more than </w:t>
      </w:r>
      <w:r>
        <w:rPr>
          <w:rFonts w:ascii="Times New Roman" w:eastAsia="Times New Roman" w:hAnsi="Times New Roman" w:cs="Times New Roman"/>
          <w:sz w:val="20"/>
        </w:rPr>
        <w:t>10%</w:t>
      </w:r>
      <w:r>
        <w:rPr>
          <w:rFonts w:ascii="Times New Roman" w:eastAsia="Times New Roman" w:hAnsi="Times New Roman" w:cs="Times New Roman"/>
          <w:sz w:val="20"/>
        </w:rPr>
        <w:t xml:space="preserve"> of the outstanding shares, the exercise price of each share of an incentive stock option must be equal to or exceed </w:t>
      </w:r>
      <w:r>
        <w:rPr>
          <w:rFonts w:ascii="Times New Roman" w:eastAsia="Times New Roman" w:hAnsi="Times New Roman" w:cs="Times New Roman"/>
          <w:sz w:val="20"/>
        </w:rPr>
        <w:t>110%</w:t>
      </w:r>
      <w:r>
        <w:rPr>
          <w:rFonts w:ascii="Times New Roman" w:eastAsia="Times New Roman" w:hAnsi="Times New Roman" w:cs="Times New Roman"/>
          <w:sz w:val="20"/>
        </w:rPr>
        <w:t xml:space="preserve"> of fair market value. Unless otherwise determined by the Board at the time of grant, the exercise price is set at the fair market value of the Company’s common stock on the grant date (or the last trading day prior to the grant date, if it is awarded on a non-trading day). Additionally, the term is set at </w:t>
      </w:r>
      <w:r>
        <w:rPr>
          <w:rFonts w:ascii="Times New Roman" w:eastAsia="Times New Roman" w:hAnsi="Times New Roman" w:cs="Times New Roman"/>
          <w:sz w:val="20"/>
        </w:rPr>
        <w:t>ten</w:t>
      </w:r>
      <w:r>
        <w:rPr>
          <w:rFonts w:ascii="Times New Roman" w:eastAsia="Times New Roman" w:hAnsi="Times New Roman" w:cs="Times New Roman"/>
          <w:sz w:val="20"/>
        </w:rPr>
        <w:t xml:space="preserve"> years and the option typically vests on a straight-line basis over the requisite service period as follows: </w:t>
      </w:r>
      <w:r>
        <w:rPr>
          <w:rFonts w:ascii="Times New Roman" w:eastAsia="Times New Roman" w:hAnsi="Times New Roman" w:cs="Times New Roman"/>
          <w:sz w:val="20"/>
        </w:rPr>
        <w:t>25%</w:t>
      </w:r>
      <w:r>
        <w:rPr>
          <w:rFonts w:ascii="Times New Roman" w:eastAsia="Times New Roman" w:hAnsi="Times New Roman" w:cs="Times New Roman"/>
          <w:sz w:val="20"/>
        </w:rPr>
        <w:t xml:space="preserve">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from the date of grant with the remaining vesting monthly in equal increments over the following </w:t>
      </w:r>
      <w:r>
        <w:rPr>
          <w:rFonts w:ascii="Times New Roman" w:eastAsia="Times New Roman" w:hAnsi="Times New Roman" w:cs="Times New Roman"/>
          <w:sz w:val="20"/>
        </w:rPr>
        <w:t>three</w:t>
      </w:r>
      <w:r>
        <w:rPr>
          <w:rFonts w:ascii="Times New Roman" w:eastAsia="Times New Roman" w:hAnsi="Times New Roman" w:cs="Times New Roman"/>
          <w:sz w:val="20"/>
        </w:rPr>
        <w:t xml:space="preserve"> years. The Company issues new shares for any stock awards or options exercised under its 2011 Equity Incentive Plans. </w:t>
      </w: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keepLines w:val="0"/>
        <w:pageBreakBefore w:val="0"/>
        <w:widowControl/>
        <w:numPr>
          <w:ilvl w:val="0"/>
          <w:numId w:val="0"/>
        </w:numPr>
        <w:spacing w:before="0" w:after="10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A summary of option activity under the 2011 Equity Incentive Plans during the year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is presented below: </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520"/>
        <w:gridCol w:w="1220"/>
        <w:gridCol w:w="100"/>
        <w:gridCol w:w="75"/>
        <w:gridCol w:w="160"/>
        <w:gridCol w:w="1300"/>
        <w:gridCol w:w="100"/>
        <w:gridCol w:w="75"/>
        <w:gridCol w:w="1680"/>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05"/>
          <w:jc w:val="left"/>
        </w:trPr>
        <w:tc>
          <w:tcPr>
            <w:tcW w:w="55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i/>
                <w:color w:val="000000"/>
                <w:sz w:val="20"/>
              </w:rPr>
              <w:t>Options Outstanding</w:t>
            </w:r>
          </w:p>
        </w:tc>
        <w:tc>
          <w:tcPr>
            <w:tcW w:w="132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Common Shares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60"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Exercise Price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8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Remaining Life</w:t>
            </w:r>
            <w:r>
              <w:br/>
            </w:r>
            <w:r>
              <w:rPr>
                <w:rFonts w:ascii="Times New Roman" w:eastAsia="Times New Roman" w:hAnsi="Times New Roman" w:cs="Times New Roman"/>
                <w:color w:val="000000"/>
                <w:sz w:val="20"/>
              </w:rPr>
              <w:t>(Years)</w:t>
            </w:r>
          </w:p>
        </w:tc>
      </w:tr>
      <w:tr>
        <w:tblPrEx>
          <w:tblW w:w="10230" w:type="dxa"/>
          <w:jc w:val="left"/>
          <w:tblInd w:w="0" w:type="dxa"/>
          <w:tblCellMar>
            <w:left w:w="108" w:type="dxa"/>
            <w:right w:w="108" w:type="dxa"/>
          </w:tblCellMar>
        </w:tblPrEx>
        <w:trPr>
          <w:cantSplit/>
          <w:trHeight w:hRule="exact" w:val="300"/>
          <w:jc w:val="left"/>
        </w:trPr>
        <w:tc>
          <w:tcPr>
            <w:tcW w:w="55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Outstanding at December 31, 2018</w:t>
            </w:r>
          </w:p>
        </w:tc>
        <w:tc>
          <w:tcPr>
            <w:tcW w:w="122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1,040,477 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5.23 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6.5</w:t>
            </w:r>
          </w:p>
        </w:tc>
      </w:tr>
      <w:tr>
        <w:tblPrEx>
          <w:tblW w:w="10230" w:type="dxa"/>
          <w:jc w:val="left"/>
          <w:tblInd w:w="0" w:type="dxa"/>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2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586,552 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Expired</w:t>
            </w:r>
          </w:p>
        </w:tc>
        <w:tc>
          <w:tcPr>
            <w:tcW w:w="122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(147,313)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7.59 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2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(121,879)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300"/>
          <w:jc w:val="left"/>
        </w:trPr>
        <w:tc>
          <w:tcPr>
            <w:tcW w:w="55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Outstanding at December 31, 2019</w:t>
            </w:r>
          </w:p>
        </w:tc>
        <w:tc>
          <w:tcPr>
            <w:tcW w:w="122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1,357,837 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3.24 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7.2</w:t>
            </w:r>
          </w:p>
        </w:tc>
      </w:tr>
      <w:tr>
        <w:tblPrEx>
          <w:tblW w:w="10230" w:type="dxa"/>
          <w:jc w:val="left"/>
          <w:tblInd w:w="0" w:type="dxa"/>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2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217,580 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Exercised</w:t>
            </w:r>
          </w:p>
        </w:tc>
        <w:tc>
          <w:tcPr>
            <w:tcW w:w="122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(369)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Expired</w:t>
            </w:r>
          </w:p>
        </w:tc>
        <w:tc>
          <w:tcPr>
            <w:tcW w:w="122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6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300"/>
          <w:jc w:val="left"/>
        </w:trPr>
        <w:tc>
          <w:tcPr>
            <w:tcW w:w="552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22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(28,589)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6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300"/>
          <w:jc w:val="left"/>
        </w:trPr>
        <w:tc>
          <w:tcPr>
            <w:tcW w:w="552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Outstanding at June 30, 2020</w:t>
            </w:r>
          </w:p>
        </w:tc>
        <w:tc>
          <w:tcPr>
            <w:tcW w:w="122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1,546,459 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3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2.77 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8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7.2</w:t>
            </w:r>
          </w:p>
        </w:tc>
      </w:tr>
      <w:tr>
        <w:tblPrEx>
          <w:tblW w:w="10230" w:type="dxa"/>
          <w:jc w:val="left"/>
          <w:tblInd w:w="0" w:type="dxa"/>
          <w:tblCellMar>
            <w:left w:w="108" w:type="dxa"/>
            <w:right w:w="108" w:type="dxa"/>
          </w:tblCellMar>
        </w:tblPrEx>
        <w:trPr>
          <w:cantSplit/>
          <w:trHeight w:hRule="exact" w:val="180"/>
          <w:jc w:val="left"/>
        </w:trPr>
        <w:tc>
          <w:tcPr>
            <w:tcW w:w="552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2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6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80"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30" w:type="dxa"/>
          <w:jc w:val="left"/>
          <w:tblInd w:w="0" w:type="dxa"/>
          <w:tblCellMar>
            <w:left w:w="108" w:type="dxa"/>
            <w:right w:w="108" w:type="dxa"/>
          </w:tblCellMar>
        </w:tblPrEx>
        <w:trPr>
          <w:cantSplit/>
          <w:trHeight w:hRule="exact" w:val="300"/>
          <w:jc w:val="left"/>
        </w:trPr>
        <w:tc>
          <w:tcPr>
            <w:tcW w:w="552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Exercisable at June 30, 2020</w:t>
            </w:r>
          </w:p>
        </w:tc>
        <w:tc>
          <w:tcPr>
            <w:tcW w:w="122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856,763 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300"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4.40 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8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5.7</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and 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369</w:t>
      </w:r>
      <w:r>
        <w:rPr>
          <w:rFonts w:ascii="Times New Roman" w:eastAsia="Times New Roman" w:hAnsi="Times New Roman" w:cs="Times New Roman"/>
          <w:sz w:val="20"/>
        </w:rPr>
        <w:t xml:space="preserve"> options were exercised</w:t>
      </w:r>
      <w:r>
        <w:rPr>
          <w:rFonts w:ascii="Times New Roman" w:eastAsia="Times New Roman" w:hAnsi="Times New Roman" w:cs="Times New Roman"/>
          <w:sz w:val="20"/>
        </w:rPr>
        <w:t xml:space="preserve"> for gross proceeds of </w:t>
      </w:r>
      <w:r>
        <w:rPr>
          <w:rFonts w:ascii="Times New Roman" w:eastAsia="Times New Roman" w:hAnsi="Times New Roman" w:cs="Times New Roman"/>
          <w:sz w:val="20"/>
        </w:rPr>
        <w:t>$369</w:t>
      </w:r>
      <w:r>
        <w:rPr>
          <w:rFonts w:ascii="Times New Roman" w:eastAsia="Times New Roman" w:hAnsi="Times New Roman" w:cs="Times New Roman"/>
          <w:sz w:val="20"/>
        </w:rPr>
        <w:t xml:space="preserve">. </w:t>
      </w:r>
      <w:r>
        <w:rPr>
          <w:rFonts w:ascii="Times New Roman" w:eastAsia="Times New Roman" w:hAnsi="Times New Roman" w:cs="Times New Roman"/>
          <w:sz w:val="20"/>
        </w:rPr>
        <w:t>The</w:t>
      </w:r>
      <w:r>
        <w:rPr>
          <w:rFonts w:ascii="Times New Roman" w:eastAsia="Times New Roman" w:hAnsi="Times New Roman" w:cs="Times New Roman"/>
          <w:sz w:val="20"/>
        </w:rPr>
        <w:t xml:space="preserve"> </w:t>
      </w:r>
      <w:r>
        <w:rPr>
          <w:rFonts w:ascii="Times New Roman" w:eastAsia="Times New Roman" w:hAnsi="Times New Roman" w:cs="Times New Roman"/>
          <w:sz w:val="20"/>
        </w:rPr>
        <w:t>i</w:t>
      </w:r>
      <w:r>
        <w:rPr>
          <w:rFonts w:ascii="Times New Roman" w:eastAsia="Times New Roman" w:hAnsi="Times New Roman" w:cs="Times New Roman"/>
          <w:sz w:val="20"/>
        </w:rPr>
        <w:t>ntrinsic value on</w:t>
      </w:r>
      <w:r>
        <w:rPr>
          <w:rFonts w:ascii="Times New Roman" w:eastAsia="Times New Roman" w:hAnsi="Times New Roman" w:cs="Times New Roman"/>
          <w:sz w:val="20"/>
        </w:rPr>
        <w:t xml:space="preserve"> exerci</w:t>
      </w:r>
      <w:r>
        <w:rPr>
          <w:rFonts w:ascii="Times New Roman" w:eastAsia="Times New Roman" w:hAnsi="Times New Roman" w:cs="Times New Roman"/>
          <w:sz w:val="20"/>
        </w:rPr>
        <w:t>sed</w:t>
      </w:r>
      <w:r>
        <w:rPr>
          <w:rFonts w:ascii="Times New Roman" w:eastAsia="Times New Roman" w:hAnsi="Times New Roman" w:cs="Times New Roman"/>
          <w:sz w:val="20"/>
        </w:rPr>
        <w:t xml:space="preserve"> options</w:t>
      </w:r>
      <w:r>
        <w:rPr>
          <w:rFonts w:ascii="Times New Roman" w:eastAsia="Times New Roman" w:hAnsi="Times New Roman" w:cs="Times New Roman"/>
          <w:sz w:val="20"/>
        </w:rPr>
        <w:t xml:space="preserve"> was </w:t>
      </w:r>
      <w:r>
        <w:rPr>
          <w:rFonts w:ascii="Times New Roman" w:eastAsia="Times New Roman" w:hAnsi="Times New Roman" w:cs="Times New Roman"/>
          <w:sz w:val="20"/>
        </w:rPr>
        <w:t>$265</w:t>
      </w:r>
      <w:r>
        <w:rPr>
          <w:rFonts w:ascii="Times New Roman" w:eastAsia="Times New Roman" w:hAnsi="Times New Roman" w:cs="Times New Roman"/>
          <w:sz w:val="20"/>
        </w:rPr>
        <w:t xml:space="preserve">. </w:t>
      </w:r>
      <w:r>
        <w:rPr>
          <w:rFonts w:ascii="Times New Roman" w:eastAsia="Times New Roman" w:hAnsi="Times New Roman" w:cs="Times New Roman"/>
          <w:sz w:val="20"/>
        </w:rPr>
        <w:t>There were no</w:t>
      </w:r>
      <w:r>
        <w:rPr>
          <w:rFonts w:ascii="Times New Roman" w:eastAsia="Times New Roman" w:hAnsi="Times New Roman" w:cs="Times New Roman"/>
          <w:sz w:val="20"/>
        </w:rPr>
        <w:t xml:space="preserve"> options exerci</w:t>
      </w:r>
      <w:r>
        <w:rPr>
          <w:rFonts w:ascii="Times New Roman" w:eastAsia="Times New Roman" w:hAnsi="Times New Roman" w:cs="Times New Roman"/>
          <w:sz w:val="20"/>
        </w:rPr>
        <w:t xml:space="preserve">sed during the </w:t>
      </w:r>
      <w:r>
        <w:rPr>
          <w:rFonts w:ascii="Times New Roman" w:eastAsia="Times New Roman" w:hAnsi="Times New Roman" w:cs="Times New Roman"/>
          <w:sz w:val="20"/>
        </w:rPr>
        <w:t>three and 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2019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fair value of the Company's common stock on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$1.14</w:t>
      </w:r>
      <w:r>
        <w:rPr>
          <w:rFonts w:ascii="Times New Roman" w:eastAsia="Times New Roman" w:hAnsi="Times New Roman" w:cs="Times New Roman"/>
          <w:sz w:val="20"/>
        </w:rPr>
        <w:t xml:space="preserve"> per share and the intrinsic value on outstanding options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$465,907</w:t>
      </w:r>
      <w:r>
        <w:rPr>
          <w:rFonts w:ascii="Times New Roman" w:eastAsia="Times New Roman" w:hAnsi="Times New Roman" w:cs="Times New Roman"/>
          <w:sz w:val="20"/>
        </w:rPr>
        <w:t xml:space="preserve">. The intrinsic value on exercisable options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$76,786</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A summary of the nonvested stock option activity under the 2011 Equity Incentive Plans during the year ended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and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is presented below:</w:t>
      </w:r>
    </w:p>
    <w:tbl>
      <w:tblPr>
        <w:tblW w:w="102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880"/>
        <w:gridCol w:w="1055"/>
        <w:gridCol w:w="100"/>
        <w:gridCol w:w="75"/>
        <w:gridCol w:w="160"/>
        <w:gridCol w:w="1255"/>
        <w:gridCol w:w="100"/>
        <w:gridCol w:w="75"/>
        <w:gridCol w:w="1515"/>
      </w:tblGrid>
      <w:tr>
        <w:tblPrEx>
          <w:tblW w:w="102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00"/>
        </w:trPr>
        <w:tc>
          <w:tcPr>
            <w:tcW w:w="588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i/>
                <w:color w:val="000000"/>
                <w:sz w:val="20"/>
              </w:rPr>
              <w:t>Nonvested Options</w:t>
            </w:r>
          </w:p>
        </w:tc>
        <w:tc>
          <w:tcPr>
            <w:tcW w:w="1155"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Common Shares</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1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Grant Date</w:t>
            </w:r>
            <w:r>
              <w:br/>
            </w:r>
            <w:r>
              <w:rPr>
                <w:rFonts w:ascii="Times New Roman" w:eastAsia="Times New Roman" w:hAnsi="Times New Roman" w:cs="Times New Roman"/>
                <w:color w:val="000000"/>
                <w:sz w:val="20"/>
              </w:rPr>
              <w:t>Fair Value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5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Weighted Average</w:t>
            </w:r>
            <w:r>
              <w:br/>
            </w:r>
            <w:r>
              <w:rPr>
                <w:rFonts w:ascii="Times New Roman" w:eastAsia="Times New Roman" w:hAnsi="Times New Roman" w:cs="Times New Roman"/>
                <w:color w:val="000000"/>
                <w:sz w:val="20"/>
              </w:rPr>
              <w:t>Remaining Years</w:t>
            </w:r>
            <w:r>
              <w:br/>
            </w:r>
            <w:r>
              <w:rPr>
                <w:rFonts w:ascii="Times New Roman" w:eastAsia="Times New Roman" w:hAnsi="Times New Roman" w:cs="Times New Roman"/>
                <w:color w:val="000000"/>
                <w:sz w:val="20"/>
              </w:rPr>
              <w:t>to Vest</w:t>
            </w:r>
          </w:p>
        </w:tc>
      </w:tr>
      <w:tr>
        <w:tblPrEx>
          <w:tblW w:w="10215" w:type="dxa"/>
          <w:tblInd w:w="0" w:type="dxa"/>
          <w:tblCellMar>
            <w:left w:w="108" w:type="dxa"/>
            <w:right w:w="108" w:type="dxa"/>
          </w:tblCellMar>
        </w:tblPrEx>
        <w:trPr>
          <w:cantSplit/>
          <w:trHeight w:hRule="exact" w:val="300"/>
        </w:trPr>
        <w:tc>
          <w:tcPr>
            <w:tcW w:w="58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2018</w:t>
            </w:r>
          </w:p>
        </w:tc>
        <w:tc>
          <w:tcPr>
            <w:tcW w:w="105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300,510 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2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0.80 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1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2.4</w:t>
            </w:r>
          </w:p>
        </w:tc>
      </w:tr>
      <w:tr>
        <w:tblPrEx>
          <w:tblW w:w="10215" w:type="dxa"/>
          <w:tblInd w:w="0" w:type="dxa"/>
          <w:tblCellMar>
            <w:left w:w="108" w:type="dxa"/>
            <w:right w:w="108" w:type="dxa"/>
          </w:tblCellMar>
        </w:tblPrEx>
        <w:trPr>
          <w:cantSplit/>
          <w:trHeight w:hRule="exact" w:val="240"/>
        </w:trPr>
        <w:tc>
          <w:tcPr>
            <w:tcW w:w="5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05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586,552 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1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15" w:type="dxa"/>
          <w:tblInd w:w="0" w:type="dxa"/>
          <w:tblCellMar>
            <w:left w:w="108" w:type="dxa"/>
            <w:right w:w="108" w:type="dxa"/>
          </w:tblCellMar>
        </w:tblPrEx>
        <w:trPr>
          <w:cantSplit/>
          <w:trHeight w:hRule="exact" w:val="240"/>
        </w:trPr>
        <w:tc>
          <w:tcPr>
            <w:tcW w:w="5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05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(197,202)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15" w:type="dxa"/>
          <w:tblInd w:w="0" w:type="dxa"/>
          <w:tblCellMar>
            <w:left w:w="108" w:type="dxa"/>
            <w:right w:w="108" w:type="dxa"/>
          </w:tblCellMar>
        </w:tblPrEx>
        <w:trPr>
          <w:cantSplit/>
          <w:trHeight w:hRule="exact" w:val="240"/>
        </w:trPr>
        <w:tc>
          <w:tcPr>
            <w:tcW w:w="5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05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(89,081)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1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15" w:type="dxa"/>
          <w:tblInd w:w="0" w:type="dxa"/>
          <w:tblCellMar>
            <w:left w:w="108" w:type="dxa"/>
            <w:right w:w="108" w:type="dxa"/>
          </w:tblCellMar>
        </w:tblPrEx>
        <w:trPr>
          <w:cantSplit/>
          <w:trHeight w:hRule="exact" w:val="300"/>
        </w:trPr>
        <w:tc>
          <w:tcPr>
            <w:tcW w:w="58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Nonvested at December 31, 2019</w:t>
            </w:r>
          </w:p>
        </w:tc>
        <w:tc>
          <w:tcPr>
            <w:tcW w:w="105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600,779 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2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0.64 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1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3.0</w:t>
            </w:r>
          </w:p>
        </w:tc>
      </w:tr>
      <w:tr>
        <w:tblPrEx>
          <w:tblW w:w="10215" w:type="dxa"/>
          <w:tblInd w:w="0" w:type="dxa"/>
          <w:tblCellMar>
            <w:left w:w="108" w:type="dxa"/>
            <w:right w:w="108" w:type="dxa"/>
          </w:tblCellMar>
        </w:tblPrEx>
        <w:trPr>
          <w:cantSplit/>
          <w:trHeight w:hRule="exact" w:val="240"/>
        </w:trPr>
        <w:tc>
          <w:tcPr>
            <w:tcW w:w="5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Granted</w:t>
            </w:r>
          </w:p>
        </w:tc>
        <w:tc>
          <w:tcPr>
            <w:tcW w:w="105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217,580 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0.16 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1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15" w:type="dxa"/>
          <w:tblInd w:w="0" w:type="dxa"/>
          <w:tblCellMar>
            <w:left w:w="108" w:type="dxa"/>
            <w:right w:w="108" w:type="dxa"/>
          </w:tblCellMar>
        </w:tblPrEx>
        <w:trPr>
          <w:cantSplit/>
          <w:trHeight w:hRule="exact" w:val="240"/>
        </w:trPr>
        <w:tc>
          <w:tcPr>
            <w:tcW w:w="58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Vested</w:t>
            </w:r>
          </w:p>
        </w:tc>
        <w:tc>
          <w:tcPr>
            <w:tcW w:w="105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(123,330)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41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0.80 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1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15" w:type="dxa"/>
          <w:tblInd w:w="0" w:type="dxa"/>
          <w:tblCellMar>
            <w:left w:w="108" w:type="dxa"/>
            <w:right w:w="108" w:type="dxa"/>
          </w:tblCellMar>
        </w:tblPrEx>
        <w:trPr>
          <w:cantSplit/>
          <w:trHeight w:hRule="exact" w:val="240"/>
        </w:trPr>
        <w:tc>
          <w:tcPr>
            <w:tcW w:w="58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Forfeited</w:t>
            </w:r>
          </w:p>
        </w:tc>
        <w:tc>
          <w:tcPr>
            <w:tcW w:w="105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(5,333)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41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1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15" w:type="dxa"/>
          <w:tblInd w:w="0" w:type="dxa"/>
          <w:tblCellMar>
            <w:left w:w="108" w:type="dxa"/>
            <w:right w:w="108" w:type="dxa"/>
          </w:tblCellMar>
        </w:tblPrEx>
        <w:trPr>
          <w:cantSplit/>
          <w:trHeight w:hRule="exact" w:val="300"/>
        </w:trPr>
        <w:tc>
          <w:tcPr>
            <w:tcW w:w="5880"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Nonvested at June 30, 2020</w:t>
            </w:r>
          </w:p>
        </w:tc>
        <w:tc>
          <w:tcPr>
            <w:tcW w:w="105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689,696 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25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0.48 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515" w:type="dxa"/>
            <w:tcBorders>
              <w:top w:val="single" w:sz="8" w:space="0" w:color="000000"/>
              <w:left w:val="nil"/>
              <w:bottom w:val="double" w:sz="8" w:space="0" w:color="000000"/>
              <w:right w:val="nil"/>
            </w:tcBorders>
            <w:shd w:val="clear" w:color="auto" w:fill="CCEEFF"/>
            <w:tcMar>
              <w:top w:w="0" w:type="dxa"/>
              <w:left w:w="53" w:type="dxa"/>
              <w:bottom w:w="0" w:type="dxa"/>
              <w:right w:w="53"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2.6</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There were outstanding options to purchase </w:t>
      </w:r>
      <w:r>
        <w:rPr>
          <w:rFonts w:ascii="Times New Roman" w:eastAsia="Times New Roman" w:hAnsi="Times New Roman" w:cs="Times New Roman"/>
          <w:sz w:val="20"/>
        </w:rPr>
        <w:t>1,546,459</w:t>
      </w:r>
      <w:r>
        <w:rPr>
          <w:rFonts w:ascii="Times New Roman" w:eastAsia="Times New Roman" w:hAnsi="Times New Roman" w:cs="Times New Roman"/>
          <w:sz w:val="20"/>
        </w:rPr>
        <w:t xml:space="preserve"> shares</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 xml:space="preserve">with a weighted average exercise price of </w:t>
      </w:r>
      <w:r>
        <w:rPr>
          <w:rFonts w:ascii="Times New Roman" w:eastAsia="Times New Roman" w:hAnsi="Times New Roman" w:cs="Times New Roman"/>
          <w:sz w:val="20"/>
        </w:rPr>
        <w:t>$2.77</w:t>
      </w:r>
      <w:r>
        <w:rPr>
          <w:rFonts w:ascii="Times New Roman" w:eastAsia="Times New Roman" w:hAnsi="Times New Roman" w:cs="Times New Roman"/>
          <w:sz w:val="20"/>
        </w:rPr>
        <w:t xml:space="preserve"> per share, of which options to purchase </w:t>
      </w:r>
      <w:r>
        <w:rPr>
          <w:rFonts w:ascii="Times New Roman" w:eastAsia="Times New Roman" w:hAnsi="Times New Roman" w:cs="Times New Roman"/>
          <w:sz w:val="20"/>
        </w:rPr>
        <w:t>856,763</w:t>
      </w:r>
      <w:r>
        <w:rPr>
          <w:rFonts w:ascii="Times New Roman" w:eastAsia="Times New Roman" w:hAnsi="Times New Roman" w:cs="Times New Roman"/>
          <w:sz w:val="20"/>
        </w:rPr>
        <w:t xml:space="preserve"> shares were exercisable with a weighted average exercise price of </w:t>
      </w:r>
      <w:r>
        <w:rPr>
          <w:rFonts w:ascii="Times New Roman" w:eastAsia="Times New Roman" w:hAnsi="Times New Roman" w:cs="Times New Roman"/>
          <w:sz w:val="20"/>
        </w:rPr>
        <w:t>$4.40</w:t>
      </w:r>
      <w:r>
        <w:rPr>
          <w:rFonts w:ascii="Times New Roman" w:eastAsia="Times New Roman" w:hAnsi="Times New Roman" w:cs="Times New Roman"/>
          <w:sz w:val="20"/>
        </w:rPr>
        <w:t xml:space="preserve"> per share as of </w:t>
      </w:r>
      <w:r>
        <w:rPr>
          <w:rFonts w:ascii="Times New Roman" w:eastAsia="Times New Roman" w:hAnsi="Times New Roman" w:cs="Times New Roman"/>
          <w:sz w:val="20"/>
        </w:rPr>
        <w:t>June 30, 2020</w:t>
      </w:r>
      <w:r>
        <w:rPr>
          <w:rFonts w:ascii="Times New Roman" w:eastAsia="Times New Roman" w:hAnsi="Times New Roman" w:cs="Times New Roman"/>
          <w:sz w:val="20"/>
        </w:rPr>
        <w:t>. </w:t>
      </w:r>
      <w:r>
        <w:rPr>
          <w:rFonts w:ascii="Times New Roman" w:eastAsia="Times New Roman" w:hAnsi="Times New Roman" w:cs="Times New Roman"/>
          <w:color w:val="FF0000"/>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Expense recognized on stock options issued to employees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was </w:t>
      </w:r>
      <w:r>
        <w:rPr>
          <w:rFonts w:ascii="Times New Roman" w:eastAsia="Times New Roman" w:hAnsi="Times New Roman" w:cs="Times New Roman"/>
          <w:sz w:val="20"/>
        </w:rPr>
        <w:t>$52,702</w:t>
      </w:r>
      <w:r>
        <w:rPr>
          <w:rFonts w:ascii="Times New Roman" w:eastAsia="Times New Roman" w:hAnsi="Times New Roman" w:cs="Times New Roman"/>
          <w:sz w:val="20"/>
        </w:rPr>
        <w:t xml:space="preserve"> and </w:t>
      </w:r>
      <w:r>
        <w:rPr>
          <w:rFonts w:ascii="Times New Roman" w:eastAsia="Times New Roman" w:hAnsi="Times New Roman" w:cs="Times New Roman"/>
          <w:sz w:val="20"/>
        </w:rPr>
        <w:t>$90,000</w:t>
      </w:r>
      <w:r>
        <w:rPr>
          <w:rFonts w:ascii="Times New Roman" w:eastAsia="Times New Roman" w:hAnsi="Times New Roman" w:cs="Times New Roman"/>
          <w:sz w:val="20"/>
        </w:rPr>
        <w:t>, respectively.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Expense recognized on stock options issued to employees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was </w:t>
      </w:r>
      <w:r>
        <w:rPr>
          <w:rFonts w:ascii="Times New Roman" w:eastAsia="Times New Roman" w:hAnsi="Times New Roman" w:cs="Times New Roman"/>
          <w:sz w:val="20"/>
        </w:rPr>
        <w:t>$111,753</w:t>
      </w:r>
      <w:r>
        <w:rPr>
          <w:rFonts w:ascii="Times New Roman" w:eastAsia="Times New Roman" w:hAnsi="Times New Roman" w:cs="Times New Roman"/>
          <w:sz w:val="20"/>
        </w:rPr>
        <w:t xml:space="preserve"> and </w:t>
      </w:r>
      <w:r>
        <w:rPr>
          <w:rFonts w:ascii="Times New Roman" w:eastAsia="Times New Roman" w:hAnsi="Times New Roman" w:cs="Times New Roman"/>
          <w:sz w:val="20"/>
        </w:rPr>
        <w:t>$180,000</w:t>
      </w:r>
      <w:r>
        <w:rPr>
          <w:rFonts w:ascii="Times New Roman" w:eastAsia="Times New Roman" w:hAnsi="Times New Roman" w:cs="Times New Roman"/>
          <w:sz w:val="20"/>
        </w:rPr>
        <w:t>, respectively. Future compensation related to non</w:t>
      </w:r>
      <w:r>
        <w:rPr>
          <w:rFonts w:ascii="Times New Roman" w:eastAsia="Times New Roman" w:hAnsi="Times New Roman" w:cs="Times New Roman"/>
          <w:sz w:val="20"/>
        </w:rPr>
        <w:t>-</w:t>
      </w:r>
      <w:r>
        <w:rPr>
          <w:rFonts w:ascii="Times New Roman" w:eastAsia="Times New Roman" w:hAnsi="Times New Roman" w:cs="Times New Roman"/>
          <w:sz w:val="20"/>
        </w:rPr>
        <w:t xml:space="preserve">vested awards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is</w:t>
      </w:r>
      <w:r>
        <w:rPr>
          <w:rFonts w:ascii="Times New Roman" w:eastAsia="Times New Roman" w:hAnsi="Times New Roman" w:cs="Times New Roman"/>
          <w:sz w:val="20"/>
        </w:rPr>
        <w:t xml:space="preserve"> </w:t>
      </w:r>
      <w:r>
        <w:rPr>
          <w:rFonts w:ascii="Times New Roman" w:eastAsia="Times New Roman" w:hAnsi="Times New Roman" w:cs="Times New Roman"/>
          <w:sz w:val="20"/>
        </w:rPr>
        <w:t>$273,517</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it </w:t>
      </w:r>
      <w:r>
        <w:rPr>
          <w:rFonts w:ascii="Times New Roman" w:eastAsia="Times New Roman" w:hAnsi="Times New Roman" w:cs="Times New Roman"/>
          <w:sz w:val="20"/>
        </w:rPr>
        <w:t xml:space="preserve">is estimated to be recognized over the weighted-average vesting period of approximately </w:t>
      </w:r>
      <w:r>
        <w:rPr>
          <w:rFonts w:ascii="Times New Roman" w:eastAsia="Times New Roman" w:hAnsi="Times New Roman" w:cs="Times New Roman"/>
          <w:sz w:val="20"/>
        </w:rPr>
        <w:t>2.6 years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keepLines w:val="0"/>
        <w:pageBreakBefore w:val="0"/>
        <w:widowControl/>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following table shows the number of stock options granted under the Company’s 2011 Equity Incentive Plans and the assumptions used to determine the fair value of those options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tbl>
      <w:tblPr>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65"/>
        <w:gridCol w:w="75"/>
        <w:gridCol w:w="1305"/>
        <w:gridCol w:w="75"/>
        <w:gridCol w:w="1305"/>
        <w:gridCol w:w="75"/>
        <w:gridCol w:w="1305"/>
        <w:gridCol w:w="75"/>
        <w:gridCol w:w="1305"/>
        <w:gridCol w:w="75"/>
        <w:gridCol w:w="1305"/>
        <w:gridCol w:w="75"/>
        <w:gridCol w:w="1305"/>
      </w:tblGrid>
      <w:tr>
        <w:tblPrEx>
          <w:tblW w:w="10245"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25"/>
          <w:jc w:val="left"/>
        </w:trPr>
        <w:tc>
          <w:tcPr>
            <w:tcW w:w="196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Period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Total Stock</w:t>
            </w:r>
            <w:r>
              <w:br/>
            </w:r>
            <w:r>
              <w:rPr>
                <w:rFonts w:ascii="Times New Roman" w:eastAsia="Times New Roman" w:hAnsi="Times New Roman" w:cs="Times New Roman"/>
                <w:color w:val="000000"/>
                <w:sz w:val="18"/>
              </w:rPr>
              <w:t>Options</w:t>
            </w:r>
            <w:r>
              <w:br/>
            </w:r>
            <w:r>
              <w:rPr>
                <w:rFonts w:ascii="Times New Roman" w:eastAsia="Times New Roman" w:hAnsi="Times New Roman" w:cs="Times New Roman"/>
                <w:color w:val="000000"/>
                <w:sz w:val="18"/>
              </w:rPr>
              <w:t>Granted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Weighted-Average Exercise Price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Weighted-Average Expected Term</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Weighted-Average Volatility</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Weighted-Average Risk-Free Interest Rate</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Weighted-Average</w:t>
            </w:r>
            <w:r>
              <w:br/>
            </w:r>
            <w:r>
              <w:rPr>
                <w:rFonts w:ascii="Times New Roman" w:eastAsia="Times New Roman" w:hAnsi="Times New Roman" w:cs="Times New Roman"/>
                <w:color w:val="000000"/>
                <w:sz w:val="18"/>
              </w:rPr>
              <w:t>Grant Date</w:t>
            </w:r>
            <w:r>
              <w:br/>
            </w:r>
            <w:r>
              <w:rPr>
                <w:rFonts w:ascii="Times New Roman" w:eastAsia="Times New Roman" w:hAnsi="Times New Roman" w:cs="Times New Roman"/>
                <w:color w:val="000000"/>
                <w:sz w:val="18"/>
              </w:rPr>
              <w:t>Fair Value</w:t>
            </w:r>
          </w:p>
        </w:tc>
      </w:tr>
      <w:tr>
        <w:tblPrEx>
          <w:tblW w:w="10245" w:type="dxa"/>
          <w:jc w:val="left"/>
          <w:tblInd w:w="0" w:type="dxa"/>
          <w:tblCellMar>
            <w:left w:w="108" w:type="dxa"/>
            <w:right w:w="108" w:type="dxa"/>
          </w:tblCellMar>
        </w:tblPrEx>
        <w:trPr>
          <w:cantSplit/>
          <w:trHeight w:hRule="exact" w:val="285"/>
          <w:jc w:val="left"/>
        </w:trPr>
        <w:tc>
          <w:tcPr>
            <w:tcW w:w="1965" w:type="dxa"/>
            <w:tcBorders>
              <w:top w:val="single" w:sz="8" w:space="0" w:color="000000"/>
              <w:left w:val="nil"/>
              <w:bottom w:val="nil"/>
              <w:right w:val="nil"/>
            </w:tcBorders>
            <w:shd w:val="clear" w:color="auto" w:fill="CCEEFF"/>
            <w:tcMar>
              <w:top w:w="0" w:type="dxa"/>
              <w:left w:w="53" w:type="dxa"/>
              <w:bottom w:w="0" w:type="dxa"/>
              <w:right w:w="53" w:type="dxa"/>
            </w:tcMar>
            <w:vAlign w:val="top"/>
          </w:tcPr>
          <w:p>
            <w:pPr>
              <w:keepNext/>
              <w:pageBreakBefore w:val="0"/>
              <w:spacing w:before="55" w:after="30" w:line="200" w:lineRule="auto"/>
              <w:ind w:left="135"/>
              <w:jc w:val="center"/>
            </w:pPr>
            <w:r>
              <w:rPr>
                <w:rFonts w:ascii="Times New Roman" w:eastAsia="Times New Roman" w:hAnsi="Times New Roman" w:cs="Times New Roman"/>
                <w:color w:val="000000"/>
                <w:sz w:val="20"/>
              </w:rPr>
              <w:t>June 30, 2019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30,542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$1.46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62.01%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2.39%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$0.91</w:t>
            </w:r>
          </w:p>
        </w:tc>
      </w:tr>
      <w:tr>
        <w:tblPrEx>
          <w:tblW w:w="10245" w:type="dxa"/>
          <w:jc w:val="left"/>
          <w:tblInd w:w="0" w:type="dxa"/>
          <w:tblCellMar>
            <w:left w:w="108" w:type="dxa"/>
            <w:right w:w="108" w:type="dxa"/>
          </w:tblCellMar>
        </w:tblPrEx>
        <w:trPr>
          <w:cantSplit/>
          <w:trHeight w:hRule="exact" w:val="285"/>
          <w:jc w:val="left"/>
        </w:trPr>
        <w:tc>
          <w:tcPr>
            <w:tcW w:w="196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00" w:lineRule="auto"/>
              <w:ind w:left="135"/>
              <w:jc w:val="center"/>
            </w:pPr>
            <w:r>
              <w:rPr>
                <w:rFonts w:ascii="Times New Roman" w:eastAsia="Times New Roman" w:hAnsi="Times New Roman" w:cs="Times New Roman"/>
                <w:color w:val="000000"/>
                <w:sz w:val="20"/>
              </w:rPr>
              <w:t>June 30, 2020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217,580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$0.18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6 years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101.40%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0.49%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305" w:type="dxa"/>
            <w:tcBorders>
              <w:top w:val="nil"/>
              <w:left w:val="nil"/>
              <w:bottom w:val="nil"/>
              <w:right w:val="nil"/>
            </w:tcBorders>
            <w:shd w:val="clear" w:color="auto" w:fill="FFFF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$0.16</w:t>
            </w:r>
          </w:p>
        </w:tc>
      </w:tr>
    </w:tbl>
    <w:p>
      <w:pPr>
        <w:keepNext w:val="0"/>
        <w:keepLines w:val="0"/>
        <w:pageBreakBefore w:val="0"/>
        <w:widowControl/>
        <w:numPr>
          <w:ilvl w:val="0"/>
          <w:numId w:val="0"/>
        </w:numPr>
        <w:spacing w:before="10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Employee Stock Purchase Plan</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At the Company’s 2018 Annual Meeting of Stockholders held on December 18, 2018, stockholders holding a majority of the Company’s outstanding shares of common stock, upon previous recommendation and approval of the Board, adopted the amended and restated IZEA Worldwide, Inc. 2014 Employee Stock Purchase Plan (the “ESPP”), which provides for the issuance of up to </w:t>
      </w:r>
      <w:r>
        <w:rPr>
          <w:rFonts w:ascii="Times New Roman" w:eastAsia="Times New Roman" w:hAnsi="Times New Roman" w:cs="Times New Roman"/>
          <w:sz w:val="20"/>
        </w:rPr>
        <w:t>500,000</w:t>
      </w:r>
      <w:r>
        <w:rPr>
          <w:rFonts w:ascii="Times New Roman" w:eastAsia="Times New Roman" w:hAnsi="Times New Roman" w:cs="Times New Roman"/>
          <w:sz w:val="20"/>
        </w:rPr>
        <w:t xml:space="preserve"> shares of the Company’s common stock thereunder. Any employee regularly employed by the Company for </w:t>
      </w:r>
      <w:r>
        <w:rPr>
          <w:rFonts w:ascii="Times New Roman" w:eastAsia="Times New Roman" w:hAnsi="Times New Roman" w:cs="Times New Roman"/>
          <w:sz w:val="20"/>
        </w:rPr>
        <w:t>90</w:t>
      </w:r>
      <w:r>
        <w:rPr>
          <w:rFonts w:ascii="Times New Roman" w:eastAsia="Times New Roman" w:hAnsi="Times New Roman" w:cs="Times New Roman"/>
          <w:sz w:val="20"/>
        </w:rPr>
        <w:t xml:space="preserve"> days or more on a full-time or part-time basis (</w:t>
      </w:r>
      <w:r>
        <w:rPr>
          <w:rFonts w:ascii="Times New Roman" w:eastAsia="Times New Roman" w:hAnsi="Times New Roman" w:cs="Times New Roman"/>
          <w:sz w:val="20"/>
        </w:rPr>
        <w:t>20</w:t>
      </w:r>
      <w:r>
        <w:rPr>
          <w:rFonts w:ascii="Times New Roman" w:eastAsia="Times New Roman" w:hAnsi="Times New Roman" w:cs="Times New Roman"/>
          <w:sz w:val="20"/>
        </w:rPr>
        <w:t xml:space="preserve"> hours or more per week on a regular schedule) is eligible to participate in the ESPP. The ESPP operates in successive </w:t>
      </w:r>
      <w:r>
        <w:rPr>
          <w:rFonts w:ascii="Times New Roman" w:eastAsia="Times New Roman" w:hAnsi="Times New Roman" w:cs="Times New Roman"/>
          <w:sz w:val="20"/>
        </w:rPr>
        <w:t>six</w:t>
      </w:r>
      <w:r>
        <w:rPr>
          <w:rFonts w:ascii="Times New Roman" w:eastAsia="Times New Roman" w:hAnsi="Times New Roman" w:cs="Times New Roman"/>
          <w:sz w:val="20"/>
        </w:rPr>
        <w:t xml:space="preserve"> months offering periods commencing at the beginning of each fiscal year half. Each eligible employee who elects to participate may purchase up to </w:t>
      </w:r>
      <w:r>
        <w:rPr>
          <w:rFonts w:ascii="Times New Roman" w:eastAsia="Times New Roman" w:hAnsi="Times New Roman" w:cs="Times New Roman"/>
          <w:sz w:val="20"/>
        </w:rPr>
        <w:t>10%</w:t>
      </w:r>
      <w:r>
        <w:rPr>
          <w:rFonts w:ascii="Times New Roman" w:eastAsia="Times New Roman" w:hAnsi="Times New Roman" w:cs="Times New Roman"/>
          <w:sz w:val="20"/>
        </w:rPr>
        <w:t xml:space="preserve"> of their annual compensation in common stock not to exceed </w:t>
      </w:r>
      <w:r>
        <w:rPr>
          <w:rFonts w:ascii="Times New Roman" w:eastAsia="Times New Roman" w:hAnsi="Times New Roman" w:cs="Times New Roman"/>
          <w:sz w:val="20"/>
        </w:rPr>
        <w:t>$21,250</w:t>
      </w:r>
      <w:r>
        <w:rPr>
          <w:rFonts w:ascii="Times New Roman" w:eastAsia="Times New Roman" w:hAnsi="Times New Roman" w:cs="Times New Roman"/>
          <w:sz w:val="20"/>
        </w:rPr>
        <w:t xml:space="preserve"> annually or </w:t>
      </w:r>
      <w:r>
        <w:rPr>
          <w:rFonts w:ascii="Times New Roman" w:eastAsia="Times New Roman" w:hAnsi="Times New Roman" w:cs="Times New Roman"/>
          <w:sz w:val="20"/>
        </w:rPr>
        <w:t>2,000</w:t>
      </w:r>
      <w:r>
        <w:rPr>
          <w:rFonts w:ascii="Times New Roman" w:eastAsia="Times New Roman" w:hAnsi="Times New Roman" w:cs="Times New Roman"/>
          <w:sz w:val="20"/>
        </w:rPr>
        <w:t xml:space="preserve"> shares per offering period. The purchase price will be the lower of (i) </w:t>
      </w:r>
      <w:r>
        <w:rPr>
          <w:rFonts w:ascii="Times New Roman" w:eastAsia="Times New Roman" w:hAnsi="Times New Roman" w:cs="Times New Roman"/>
          <w:sz w:val="20"/>
        </w:rPr>
        <w:t>85%</w:t>
      </w:r>
      <w:r>
        <w:rPr>
          <w:rFonts w:ascii="Times New Roman" w:eastAsia="Times New Roman" w:hAnsi="Times New Roman" w:cs="Times New Roman"/>
          <w:sz w:val="20"/>
        </w:rPr>
        <w:t xml:space="preserve"> of the fair market value of a share of common stock on the first day of the offering period or (ii) </w:t>
      </w:r>
      <w:r>
        <w:rPr>
          <w:rFonts w:ascii="Times New Roman" w:eastAsia="Times New Roman" w:hAnsi="Times New Roman" w:cs="Times New Roman"/>
          <w:sz w:val="20"/>
        </w:rPr>
        <w:t>85%</w:t>
      </w:r>
      <w:r>
        <w:rPr>
          <w:rFonts w:ascii="Times New Roman" w:eastAsia="Times New Roman" w:hAnsi="Times New Roman" w:cs="Times New Roman"/>
          <w:sz w:val="20"/>
        </w:rPr>
        <w:t xml:space="preserve"> of the fair market value of a share of common stock on the last day of the offering period. The ESPP will continue until January 1, 2024, unless otherwise terminated by the Board. </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3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During the</w:t>
      </w:r>
      <w:r>
        <w:rPr>
          <w:rFonts w:ascii="Times New Roman" w:eastAsia="Times New Roman" w:hAnsi="Times New Roman" w:cs="Times New Roman"/>
          <w:sz w:val="20"/>
        </w:rPr>
        <w:t xml:space="preserv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employees paid </w:t>
      </w:r>
      <w:r>
        <w:rPr>
          <w:rFonts w:ascii="Times New Roman" w:eastAsia="Times New Roman" w:hAnsi="Times New Roman" w:cs="Times New Roman"/>
          <w:sz w:val="20"/>
        </w:rPr>
        <w:t>$1,944</w:t>
      </w:r>
      <w:r>
        <w:rPr>
          <w:rFonts w:ascii="Times New Roman" w:eastAsia="Times New Roman" w:hAnsi="Times New Roman" w:cs="Times New Roman"/>
          <w:sz w:val="20"/>
        </w:rPr>
        <w:t xml:space="preserve"> to purchase </w:t>
      </w:r>
      <w:r>
        <w:rPr>
          <w:rFonts w:ascii="Times New Roman" w:eastAsia="Times New Roman" w:hAnsi="Times New Roman" w:cs="Times New Roman"/>
          <w:sz w:val="20"/>
        </w:rPr>
        <w:t>9,665</w:t>
      </w:r>
      <w:r>
        <w:rPr>
          <w:rFonts w:ascii="Times New Roman" w:eastAsia="Times New Roman" w:hAnsi="Times New Roman" w:cs="Times New Roman"/>
          <w:sz w:val="20"/>
        </w:rPr>
        <w:t xml:space="preserve"> shares of common stock</w:t>
      </w:r>
      <w:r>
        <w:rPr>
          <w:rFonts w:ascii="Times New Roman" w:eastAsia="Times New Roman" w:hAnsi="Times New Roman" w:cs="Times New Roman"/>
          <w:sz w:val="20"/>
        </w:rPr>
        <w:t xml:space="preserve"> and </w:t>
      </w:r>
      <w:r>
        <w:rPr>
          <w:rFonts w:ascii="Times New Roman" w:eastAsia="Times New Roman" w:hAnsi="Times New Roman" w:cs="Times New Roman"/>
          <w:sz w:val="20"/>
        </w:rPr>
        <w:t>$3,096</w:t>
      </w:r>
      <w:r>
        <w:rPr>
          <w:rFonts w:ascii="Times New Roman" w:eastAsia="Times New Roman" w:hAnsi="Times New Roman" w:cs="Times New Roman"/>
          <w:sz w:val="20"/>
        </w:rPr>
        <w:t xml:space="preserve"> to purchase </w:t>
      </w:r>
      <w:r>
        <w:rPr>
          <w:rFonts w:ascii="Times New Roman" w:eastAsia="Times New Roman" w:hAnsi="Times New Roman" w:cs="Times New Roman"/>
          <w:sz w:val="20"/>
        </w:rPr>
        <w:t>7,099</w:t>
      </w:r>
      <w:r>
        <w:rPr>
          <w:rFonts w:ascii="Times New Roman" w:eastAsia="Times New Roman" w:hAnsi="Times New Roman" w:cs="Times New Roman"/>
          <w:sz w:val="20"/>
        </w:rPr>
        <w:t xml:space="preserve"> shares of common stoc</w:t>
      </w:r>
      <w:r>
        <w:rPr>
          <w:rFonts w:ascii="Times New Roman" w:eastAsia="Times New Roman" w:hAnsi="Times New Roman" w:cs="Times New Roman"/>
          <w:sz w:val="20"/>
        </w:rPr>
        <w:t>k, respectively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the Company had </w:t>
      </w:r>
      <w:r>
        <w:rPr>
          <w:rFonts w:ascii="Times New Roman" w:eastAsia="Times New Roman" w:hAnsi="Times New Roman" w:cs="Times New Roman"/>
          <w:sz w:val="20"/>
        </w:rPr>
        <w:t>401,152</w:t>
      </w:r>
      <w:r>
        <w:rPr>
          <w:rFonts w:ascii="Times New Roman" w:eastAsia="Times New Roman" w:hAnsi="Times New Roman" w:cs="Times New Roman"/>
          <w:sz w:val="20"/>
        </w:rPr>
        <w:t xml:space="preserve"> remaining shares of common stock available for future </w:t>
      </w:r>
      <w:r>
        <w:rPr>
          <w:rFonts w:ascii="Times New Roman" w:eastAsia="Times New Roman" w:hAnsi="Times New Roman" w:cs="Times New Roman"/>
          <w:sz w:val="20"/>
        </w:rPr>
        <w:t>issuances</w:t>
      </w:r>
      <w:r>
        <w:rPr>
          <w:rFonts w:ascii="Times New Roman" w:eastAsia="Times New Roman" w:hAnsi="Times New Roman" w:cs="Times New Roman"/>
          <w:sz w:val="20"/>
        </w:rPr>
        <w:t xml:space="preserve"> under the ESPP.</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Summary Stock-Based Compensation</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Stock-based compensation cost related to all awards granted to employees is measured at the grant date, based on the fair value of the award, and is recognized as an expense over the employee’s requisite service period. The Company estimates the fair value of each option award on the date of grant using a Black-Scholes option-pricing model that uses the assumptions stated in Note 1.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0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Total stock-based compensation expense recognized on restricted stock, restricted stock units, stock options and the employee stock purchase plan issuances during the </w:t>
      </w:r>
      <w:r>
        <w:rPr>
          <w:rFonts w:ascii="Times New Roman" w:eastAsia="Times New Roman" w:hAnsi="Times New Roman" w:cs="Times New Roman"/>
          <w:sz w:val="20"/>
        </w:rPr>
        <w:t>three and 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was recorded in the Company’s consolidated statements of operations as follows:</w:t>
      </w:r>
      <w:r>
        <w:rPr>
          <w:rFonts w:ascii="Times New Roman" w:eastAsia="Times New Roman" w:hAnsi="Times New Roman" w:cs="Times New Roman"/>
          <w:sz w:val="20"/>
        </w:rPr>
        <w:t xml:space="preserve"> </w:t>
      </w:r>
    </w:p>
    <w:tbl>
      <w:tblPr>
        <w:tblW w:w="99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55"/>
        <w:gridCol w:w="160"/>
        <w:gridCol w:w="1135"/>
        <w:gridCol w:w="100"/>
        <w:gridCol w:w="75"/>
        <w:gridCol w:w="160"/>
        <w:gridCol w:w="1135"/>
        <w:gridCol w:w="100"/>
        <w:gridCol w:w="75"/>
        <w:gridCol w:w="160"/>
        <w:gridCol w:w="1135"/>
        <w:gridCol w:w="100"/>
        <w:gridCol w:w="75"/>
        <w:gridCol w:w="160"/>
        <w:gridCol w:w="1135"/>
        <w:gridCol w:w="100"/>
      </w:tblGrid>
      <w:tr>
        <w:tblPrEx>
          <w:tblW w:w="99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1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Six Months Ended</w:t>
            </w:r>
          </w:p>
        </w:tc>
      </w:tr>
      <w:tr>
        <w:tblPrEx>
          <w:tblW w:w="9960" w:type="dxa"/>
          <w:jc w:val="left"/>
          <w:tblInd w:w="0" w:type="dxa"/>
          <w:tblCellMar>
            <w:left w:w="108" w:type="dxa"/>
            <w:right w:w="108" w:type="dxa"/>
          </w:tblCellMar>
        </w:tblPrEx>
        <w:trPr>
          <w:cantSplit/>
          <w:trHeight w:hRule="exact" w:val="465"/>
          <w:jc w:val="left"/>
        </w:trPr>
        <w:tc>
          <w:tcPr>
            <w:tcW w:w="41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left"/>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left"/>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r>
      <w:tr>
        <w:tblPrEx>
          <w:tblW w:w="9960" w:type="dxa"/>
          <w:jc w:val="left"/>
          <w:tblInd w:w="0" w:type="dxa"/>
          <w:tblCellMar>
            <w:left w:w="108" w:type="dxa"/>
            <w:right w:w="108" w:type="dxa"/>
          </w:tblCellMar>
        </w:tblPrEx>
        <w:trPr>
          <w:cantSplit/>
          <w:trHeight w:hRule="exact" w:val="285"/>
          <w:jc w:val="left"/>
        </w:trPr>
        <w:tc>
          <w:tcPr>
            <w:tcW w:w="4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Cost of 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7,565 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2,154 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14,569 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5,040 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9960" w:type="dxa"/>
          <w:jc w:val="left"/>
          <w:tblInd w:w="0" w:type="dxa"/>
          <w:tblCellMar>
            <w:left w:w="108" w:type="dxa"/>
            <w:right w:w="108" w:type="dxa"/>
          </w:tblCellMar>
        </w:tblPrEx>
        <w:trPr>
          <w:cantSplit/>
          <w:trHeight w:hRule="exact" w:val="285"/>
          <w:jc w:val="left"/>
        </w:trPr>
        <w:tc>
          <w:tcPr>
            <w:tcW w:w="41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Sales and marketing</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17,587 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5,598 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39,643 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11,934 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9960" w:type="dxa"/>
          <w:jc w:val="left"/>
          <w:tblInd w:w="0" w:type="dxa"/>
          <w:tblCellMar>
            <w:left w:w="108" w:type="dxa"/>
            <w:right w:w="108" w:type="dxa"/>
          </w:tblCellMar>
        </w:tblPrEx>
        <w:trPr>
          <w:cantSplit/>
          <w:trHeight w:hRule="exact" w:val="285"/>
          <w:jc w:val="left"/>
        </w:trPr>
        <w:tc>
          <w:tcPr>
            <w:tcW w:w="41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General and administrative</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93,555 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149,576 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194,066 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301,231 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9960" w:type="dxa"/>
          <w:jc w:val="left"/>
          <w:tblInd w:w="0" w:type="dxa"/>
          <w:tblCellMar>
            <w:left w:w="108" w:type="dxa"/>
            <w:right w:w="108" w:type="dxa"/>
          </w:tblCellMar>
        </w:tblPrEx>
        <w:trPr>
          <w:cantSplit/>
          <w:trHeight w:hRule="exact" w:val="285"/>
          <w:jc w:val="left"/>
        </w:trPr>
        <w:tc>
          <w:tcPr>
            <w:tcW w:w="415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Total stock-based compensation</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118,707 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157,328 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248,278 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318,205 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Share Repurchase Program</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July 1, 2019, the Board authorized and approved a share repurchase program under which the Company may repurchase up to </w:t>
      </w:r>
      <w:r>
        <w:rPr>
          <w:rFonts w:ascii="Times New Roman" w:eastAsia="Times New Roman" w:hAnsi="Times New Roman" w:cs="Times New Roman"/>
          <w:sz w:val="20"/>
        </w:rPr>
        <w:t>$3,500,000</w:t>
      </w:r>
      <w:r>
        <w:rPr>
          <w:rFonts w:ascii="Times New Roman" w:eastAsia="Times New Roman" w:hAnsi="Times New Roman" w:cs="Times New Roman"/>
          <w:sz w:val="20"/>
        </w:rPr>
        <w:t xml:space="preserve"> of its common stock from time to time through </w:t>
      </w:r>
      <w:r>
        <w:rPr>
          <w:rFonts w:ascii="Times New Roman" w:eastAsia="Times New Roman" w:hAnsi="Times New Roman" w:cs="Times New Roman"/>
          <w:sz w:val="20"/>
        </w:rPr>
        <w:t>December 31, 2020</w:t>
      </w:r>
      <w:r>
        <w:rPr>
          <w:rFonts w:ascii="Times New Roman" w:eastAsia="Times New Roman" w:hAnsi="Times New Roman" w:cs="Times New Roman"/>
          <w:sz w:val="20"/>
        </w:rPr>
        <w:t xml:space="preserve">, subject to market conditions. </w:t>
      </w:r>
      <w:r>
        <w:rPr>
          <w:rFonts w:ascii="Times New Roman" w:eastAsia="Times New Roman" w:hAnsi="Times New Roman" w:cs="Times New Roman"/>
          <w:sz w:val="20"/>
        </w:rPr>
        <w:t>A</w:t>
      </w:r>
      <w:r>
        <w:rPr>
          <w:rFonts w:ascii="Times New Roman" w:eastAsia="Times New Roman" w:hAnsi="Times New Roman" w:cs="Times New Roman"/>
          <w:sz w:val="20"/>
        </w:rPr>
        <w:t xml:space="preserve">s of </w:t>
      </w:r>
      <w:r>
        <w:rPr>
          <w:rFonts w:ascii="Times New Roman" w:eastAsia="Times New Roman" w:hAnsi="Times New Roman" w:cs="Times New Roman"/>
          <w:sz w:val="20"/>
        </w:rPr>
        <w:t>June 30, 2020</w:t>
      </w:r>
      <w:r>
        <w:rPr>
          <w:rFonts w:ascii="Times New Roman" w:eastAsia="Times New Roman" w:hAnsi="Times New Roman" w:cs="Times New Roman"/>
          <w:sz w:val="20"/>
        </w:rPr>
        <w:t>, the Company had not repurchased any shares of common stock under the share repurchase program.</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both"/>
        <w:outlineLvl w:val="3"/>
        <w:rPr>
          <w:rFonts w:ascii="Times New Roman" w:eastAsia="Times New Roman" w:hAnsi="Times New Roman" w:cs="Times New Roman"/>
          <w:b/>
          <w:sz w:val="20"/>
        </w:rPr>
      </w:pPr>
      <w:bookmarkStart w:id="17" w:name="Section18"/>
      <w:bookmarkEnd w:id="17"/>
      <w:r>
        <w:rPr>
          <w:rFonts w:ascii="Times New Roman" w:eastAsia="Times New Roman" w:hAnsi="Times New Roman" w:cs="Times New Roman"/>
          <w:b/>
          <w:sz w:val="20"/>
        </w:rPr>
        <w:t xml:space="preserve">NOTE </w:t>
      </w:r>
      <w:r>
        <w:rPr>
          <w:rFonts w:ascii="Times New Roman" w:eastAsia="Times New Roman" w:hAnsi="Times New Roman" w:cs="Times New Roman"/>
          <w:b/>
          <w:sz w:val="20"/>
        </w:rPr>
        <w:t>9</w:t>
      </w:r>
      <w:r>
        <w:rPr>
          <w:rFonts w:ascii="Times New Roman" w:eastAsia="Times New Roman" w:hAnsi="Times New Roman" w:cs="Times New Roman"/>
          <w:b/>
          <w:sz w:val="20"/>
        </w:rPr>
        <w:t>.</w:t>
      </w:r>
      <w:r>
        <w:rPr>
          <w:rFonts w:ascii="Times New Roman" w:eastAsia="Times New Roman" w:hAnsi="Times New Roman" w:cs="Times New Roman"/>
          <w:b/>
          <w:sz w:val="20"/>
        </w:rPr>
        <w:tab/>
      </w:r>
      <w:r>
        <w:rPr>
          <w:rFonts w:ascii="Times New Roman" w:eastAsia="Times New Roman" w:hAnsi="Times New Roman" w:cs="Times New Roman"/>
          <w:b/>
          <w:sz w:val="20"/>
        </w:rPr>
        <w:t>LOSS PER COMMON SHARE</w:t>
      </w:r>
    </w:p>
    <w:p>
      <w:pPr>
        <w:keepNext w:val="0"/>
        <w:keepLines w:val="0"/>
        <w:pageBreakBefore w:val="0"/>
        <w:widowControl/>
        <w:numPr>
          <w:ilvl w:val="0"/>
          <w:numId w:val="0"/>
        </w:numPr>
        <w:spacing w:before="12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Basic earnings (loss) per common share is computed by dividing the net income or loss by the basic weighted-average number of shares of common stock outstanding during each period presented. Although restricted stock is issued upon the grant of an award, the Company excludes restricted stock from the computations of weighted-average number of shares of common stock outstanding until such time as the stock vests. </w:t>
      </w:r>
      <w:r>
        <w:rPr>
          <w:rFonts w:ascii="Times New Roman" w:eastAsia="Times New Roman" w:hAnsi="Times New Roman" w:cs="Times New Roman"/>
          <w:sz w:val="20"/>
        </w:rPr>
        <w:t xml:space="preserve">Diluted loss per share is computed by dividing the net income or loss by the sum of the total of the basic weighted-average number of shares of common stock outstanding plus the additional dilutive securities that could be exercised or converted into common shares during each period presented less the amount of shares that could be repurchased using the proceeds from the exercises. </w:t>
      </w:r>
    </w:p>
    <w:tbl>
      <w:tblPr>
        <w:tblW w:w="102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55"/>
        <w:gridCol w:w="160"/>
        <w:gridCol w:w="1135"/>
        <w:gridCol w:w="100"/>
        <w:gridCol w:w="75"/>
        <w:gridCol w:w="160"/>
        <w:gridCol w:w="1135"/>
        <w:gridCol w:w="100"/>
        <w:gridCol w:w="75"/>
        <w:gridCol w:w="160"/>
        <w:gridCol w:w="1135"/>
        <w:gridCol w:w="100"/>
        <w:gridCol w:w="75"/>
        <w:gridCol w:w="160"/>
        <w:gridCol w:w="1135"/>
        <w:gridCol w:w="100"/>
      </w:tblGrid>
      <w:tr>
        <w:tblPrEx>
          <w:tblW w:w="102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Six Months Ended</w:t>
            </w:r>
          </w:p>
        </w:tc>
      </w:tr>
      <w:tr>
        <w:tblPrEx>
          <w:tblW w:w="10260" w:type="dxa"/>
          <w:jc w:val="center"/>
          <w:tblInd w:w="0" w:type="dxa"/>
          <w:tblCellMar>
            <w:left w:w="108" w:type="dxa"/>
            <w:right w:w="108" w:type="dxa"/>
          </w:tblCellMar>
        </w:tblPrEx>
        <w:trPr>
          <w:cantSplit/>
          <w:trHeight w:hRule="exact" w:val="495"/>
          <w:jc w:val="center"/>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r>
      <w:tr>
        <w:tblPrEx>
          <w:tblW w:w="10260" w:type="dxa"/>
          <w:jc w:val="center"/>
          <w:tblInd w:w="0" w:type="dxa"/>
          <w:tblCellMar>
            <w:left w:w="108" w:type="dxa"/>
            <w:right w:w="108" w:type="dxa"/>
          </w:tblCellMar>
        </w:tblPrEx>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Net loss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(1,791,142)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(1,992,386)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(7,954,603)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(3,822,966)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60" w:type="dxa"/>
          <w:jc w:val="center"/>
          <w:tblInd w:w="0" w:type="dxa"/>
          <w:tblCellMar>
            <w:left w:w="108" w:type="dxa"/>
            <w:right w:w="108" w:type="dxa"/>
          </w:tblCellMar>
        </w:tblPrEx>
        <w:trPr>
          <w:cantSplit/>
          <w:trHeight w:hRule="exact" w:val="49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Weighted average shares outstanding - basic and diluted</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36,108,073 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22,277,677 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35,394,639 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17,466,784 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Basic and diluted loss per common share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(0.05)</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(0.09)</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(0.22)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(0.22)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excluded the following weighted average items from the above computation of diluted loss per common share, as their effect would be anti-dilutive: </w:t>
      </w:r>
    </w:p>
    <w:tbl>
      <w:tblPr>
        <w:tblW w:w="102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80"/>
        <w:gridCol w:w="75"/>
        <w:gridCol w:w="1295"/>
        <w:gridCol w:w="100"/>
        <w:gridCol w:w="75"/>
        <w:gridCol w:w="1295"/>
        <w:gridCol w:w="100"/>
        <w:gridCol w:w="75"/>
        <w:gridCol w:w="1295"/>
        <w:gridCol w:w="100"/>
        <w:gridCol w:w="75"/>
        <w:gridCol w:w="1295"/>
        <w:gridCol w:w="100"/>
      </w:tblGrid>
      <w:tr>
        <w:tblPrEx>
          <w:tblW w:w="102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43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5"/>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5"/>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Six Months Ended</w:t>
            </w:r>
          </w:p>
        </w:tc>
      </w:tr>
      <w:tr>
        <w:tblPrEx>
          <w:tblW w:w="10260" w:type="dxa"/>
          <w:jc w:val="center"/>
          <w:tblInd w:w="0" w:type="dxa"/>
          <w:tblCellMar>
            <w:left w:w="108" w:type="dxa"/>
            <w:right w:w="108" w:type="dxa"/>
          </w:tblCellMar>
        </w:tblPrEx>
        <w:trPr>
          <w:cantSplit/>
          <w:trHeight w:hRule="exact" w:val="495"/>
          <w:jc w:val="center"/>
        </w:trPr>
        <w:tc>
          <w:tcPr>
            <w:tcW w:w="43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2"/>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r>
      <w:tr>
        <w:tblPrEx>
          <w:tblW w:w="10260" w:type="dxa"/>
          <w:jc w:val="center"/>
          <w:tblInd w:w="0" w:type="dxa"/>
          <w:tblCellMar>
            <w:left w:w="108" w:type="dxa"/>
            <w:right w:w="108" w:type="dxa"/>
          </w:tblCellMar>
        </w:tblPrEx>
        <w:trPr>
          <w:cantSplit/>
          <w:trHeight w:hRule="exact" w:val="300"/>
          <w:jc w:val="center"/>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Stock options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1,544,843 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1,173,705 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1,451,671 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1,101,589 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3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Restricted stock units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1,070,733 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212,939 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941,710 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237,496 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Restricted stock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282,809 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132,056 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334,509 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119,473 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38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Warrants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12,500 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17,500 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13,104 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17,500 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38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Total excluded shares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2,910,885 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1,536,200 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2,740,994 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1,476,058 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both"/>
        <w:outlineLvl w:val="3"/>
        <w:rPr>
          <w:rFonts w:ascii="Times New Roman" w:eastAsia="Times New Roman" w:hAnsi="Times New Roman" w:cs="Times New Roman"/>
          <w:b/>
          <w:sz w:val="20"/>
        </w:rPr>
      </w:pPr>
      <w:bookmarkStart w:id="18" w:name="Section19"/>
      <w:bookmarkEnd w:id="18"/>
      <w:r>
        <w:rPr>
          <w:rFonts w:ascii="Times New Roman" w:eastAsia="Times New Roman" w:hAnsi="Times New Roman" w:cs="Times New Roman"/>
          <w:b/>
          <w:sz w:val="20"/>
        </w:rPr>
        <w:t xml:space="preserve">NOTE </w:t>
      </w:r>
      <w:r>
        <w:rPr>
          <w:rFonts w:ascii="Times New Roman" w:eastAsia="Times New Roman" w:hAnsi="Times New Roman" w:cs="Times New Roman"/>
          <w:b/>
          <w:sz w:val="20"/>
        </w:rPr>
        <w:t>10</w:t>
      </w:r>
      <w:r>
        <w:rPr>
          <w:rFonts w:ascii="Times New Roman" w:eastAsia="Times New Roman" w:hAnsi="Times New Roman" w:cs="Times New Roman"/>
          <w:b/>
          <w:sz w:val="20"/>
        </w:rPr>
        <w:t>.</w:t>
      </w:r>
      <w:r>
        <w:rPr>
          <w:rFonts w:ascii="Times New Roman" w:eastAsia="Times New Roman" w:hAnsi="Times New Roman" w:cs="Times New Roman"/>
          <w:b/>
          <w:sz w:val="20"/>
        </w:rPr>
        <w:tab/>
      </w:r>
      <w:r>
        <w:rPr>
          <w:rFonts w:ascii="Times New Roman" w:eastAsia="Times New Roman" w:hAnsi="Times New Roman" w:cs="Times New Roman"/>
          <w:b/>
          <w:sz w:val="20"/>
        </w:rPr>
        <w:t>REVENUE</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The Company has consistently applied its accounting policies with respect to revenue to all periods presented in the consolidated financial statements contained herein.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following table illustrates the Company’s revenue by product service type</w:t>
      </w:r>
      <w:r>
        <w:rPr>
          <w:rFonts w:ascii="Times New Roman" w:eastAsia="Times New Roman" w:hAnsi="Times New Roman" w:cs="Times New Roman"/>
          <w:sz w:val="20"/>
        </w:rPr>
        <w:t>:</w:t>
      </w: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00"/>
        <w:gridCol w:w="75"/>
        <w:gridCol w:w="160"/>
        <w:gridCol w:w="1075"/>
        <w:gridCol w:w="100"/>
        <w:gridCol w:w="75"/>
        <w:gridCol w:w="160"/>
        <w:gridCol w:w="1075"/>
        <w:gridCol w:w="100"/>
        <w:gridCol w:w="75"/>
        <w:gridCol w:w="160"/>
        <w:gridCol w:w="1135"/>
        <w:gridCol w:w="100"/>
        <w:gridCol w:w="75"/>
        <w:gridCol w:w="160"/>
        <w:gridCol w:w="1135"/>
        <w:gridCol w:w="1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45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4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Six Months Ended</w:t>
            </w:r>
          </w:p>
        </w:tc>
      </w:tr>
      <w:tr>
        <w:tblPrEx>
          <w:tblW w:w="10260" w:type="dxa"/>
          <w:jc w:val="left"/>
          <w:tblInd w:w="0" w:type="dxa"/>
          <w:tblCellMar>
            <w:left w:w="108" w:type="dxa"/>
            <w:right w:w="108" w:type="dxa"/>
          </w:tblCellMar>
        </w:tblPrEx>
        <w:trPr>
          <w:cantSplit/>
          <w:trHeight w:hRule="exact" w:val="465"/>
          <w:jc w:val="left"/>
        </w:trPr>
        <w:tc>
          <w:tcPr>
            <w:tcW w:w="45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left"/>
            </w:pPr>
          </w:p>
        </w:tc>
        <w:tc>
          <w:tcPr>
            <w:tcW w:w="133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left"/>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r>
      <w:tr>
        <w:tblPrEx>
          <w:tblW w:w="10260" w:type="dxa"/>
          <w:jc w:val="left"/>
          <w:tblInd w:w="0" w:type="dxa"/>
          <w:tblCellMar>
            <w:left w:w="108" w:type="dxa"/>
            <w:right w:w="108" w:type="dxa"/>
          </w:tblCellMar>
        </w:tblPrEx>
        <w:trPr>
          <w:cantSplit/>
          <w:trHeight w:hRule="exact" w:val="300"/>
          <w:jc w:val="left"/>
        </w:trPr>
        <w:tc>
          <w:tcPr>
            <w:tcW w:w="45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20"/>
              </w:rPr>
              <w:t>Managed Services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2,490,343 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2,991,571 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6,615,404 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6,858,803 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60" w:type="dxa"/>
          <w:jc w:val="left"/>
          <w:tblInd w:w="0" w:type="dxa"/>
          <w:tblCellMar>
            <w:left w:w="108" w:type="dxa"/>
            <w:right w:w="108" w:type="dxa"/>
          </w:tblCellMar>
        </w:tblPrEx>
        <w:trPr>
          <w:cantSplit/>
          <w:trHeight w:hRule="exact" w:val="165"/>
          <w:jc w:val="left"/>
        </w:trPr>
        <w:tc>
          <w:tcPr>
            <w:tcW w:w="45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left"/>
          <w:tblInd w:w="0" w:type="dxa"/>
          <w:tblCellMar>
            <w:left w:w="108" w:type="dxa"/>
            <w:right w:w="108" w:type="dxa"/>
          </w:tblCellMar>
        </w:tblPrEx>
        <w:trPr>
          <w:cantSplit/>
          <w:trHeight w:hRule="exact" w:val="300"/>
          <w:jc w:val="left"/>
        </w:trPr>
        <w:tc>
          <w:tcPr>
            <w:tcW w:w="45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Legacy Workflow Fees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44,291 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91,621 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left"/>
          <w:tblInd w:w="0" w:type="dxa"/>
          <w:tblCellMar>
            <w:left w:w="108" w:type="dxa"/>
            <w:right w:w="108" w:type="dxa"/>
          </w:tblCellMar>
        </w:tblPrEx>
        <w:trPr>
          <w:cantSplit/>
          <w:trHeight w:hRule="exact" w:val="300"/>
          <w:jc w:val="left"/>
        </w:trPr>
        <w:tc>
          <w:tcPr>
            <w:tcW w:w="45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Marketplace Spend Fees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195,894 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314,638 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362,187 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689,291 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left"/>
          <w:tblInd w:w="0" w:type="dxa"/>
          <w:tblCellMar>
            <w:left w:w="108" w:type="dxa"/>
            <w:right w:w="108" w:type="dxa"/>
          </w:tblCellMar>
        </w:tblPrEx>
        <w:trPr>
          <w:cantSplit/>
          <w:trHeight w:hRule="exact" w:val="300"/>
          <w:jc w:val="left"/>
        </w:trPr>
        <w:tc>
          <w:tcPr>
            <w:tcW w:w="45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License Fees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center"/>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408,728 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p>
        </w:tc>
        <w:tc>
          <w:tcPr>
            <w:tcW w:w="123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548,494 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825,544 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1,039,588 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left"/>
          <w:tblInd w:w="0" w:type="dxa"/>
          <w:tblCellMar>
            <w:left w:w="108" w:type="dxa"/>
            <w:right w:w="108" w:type="dxa"/>
          </w:tblCellMar>
        </w:tblPrEx>
        <w:trPr>
          <w:cantSplit/>
          <w:trHeight w:hRule="exact" w:val="300"/>
          <w:jc w:val="left"/>
        </w:trPr>
        <w:tc>
          <w:tcPr>
            <w:tcW w:w="45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Other Fees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center"/>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40,074 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righ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24,870 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righ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95,572 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righ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38,317 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left"/>
          <w:tblInd w:w="0" w:type="dxa"/>
          <w:tblCellMar>
            <w:left w:w="108" w:type="dxa"/>
            <w:right w:w="108" w:type="dxa"/>
          </w:tblCellMar>
        </w:tblPrEx>
        <w:trPr>
          <w:cantSplit/>
          <w:trHeight w:hRule="exact" w:val="300"/>
          <w:jc w:val="left"/>
        </w:trPr>
        <w:tc>
          <w:tcPr>
            <w:tcW w:w="45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20"/>
              </w:rPr>
              <w:t>SaaS Services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644,696 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3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932,293 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1,283,303 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1,858,817 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60" w:type="dxa"/>
          <w:jc w:val="left"/>
          <w:tblInd w:w="0" w:type="dxa"/>
          <w:tblCellMar>
            <w:left w:w="108" w:type="dxa"/>
            <w:right w:w="108" w:type="dxa"/>
          </w:tblCellMar>
        </w:tblPrEx>
        <w:trPr>
          <w:cantSplit/>
          <w:trHeight w:hRule="exact" w:val="165"/>
          <w:jc w:val="left"/>
        </w:trPr>
        <w:tc>
          <w:tcPr>
            <w:tcW w:w="450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left"/>
          <w:tblInd w:w="0" w:type="dxa"/>
          <w:tblCellMar>
            <w:left w:w="108" w:type="dxa"/>
            <w:right w:w="108" w:type="dxa"/>
          </w:tblCellMar>
        </w:tblPrEx>
        <w:trPr>
          <w:cantSplit/>
          <w:trHeight w:hRule="exact" w:val="300"/>
          <w:jc w:val="left"/>
        </w:trPr>
        <w:tc>
          <w:tcPr>
            <w:tcW w:w="45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495"/>
              <w:jc w:val="left"/>
            </w:pPr>
            <w:r>
              <w:rPr>
                <w:rFonts w:ascii="Times New Roman" w:eastAsia="Times New Roman" w:hAnsi="Times New Roman" w:cs="Times New Roman"/>
                <w:b/>
                <w:color w:val="000000"/>
                <w:sz w:val="20"/>
              </w:rPr>
              <w:t>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0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3,135,039 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0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3,923,864 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7,898,707 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8,717,620 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jc w:val="left"/>
            </w:pPr>
          </w:p>
        </w:tc>
      </w:tr>
    </w:tbl>
    <w:p>
      <w:pPr>
        <w:keepNext/>
        <w:keepLines/>
        <w:pageBreakBefore w:val="0"/>
        <w:widowControl w:val="0"/>
        <w:numPr>
          <w:ilvl w:val="0"/>
          <w:numId w:val="0"/>
        </w:numPr>
        <w:spacing w:before="100" w:after="0" w:line="248" w:lineRule="auto"/>
        <w:ind w:left="0" w:right="0" w:firstLine="72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provides the Company’s revenues as determined by the country of domicile:</w:t>
      </w: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00"/>
        <w:gridCol w:w="75"/>
        <w:gridCol w:w="160"/>
        <w:gridCol w:w="1075"/>
        <w:gridCol w:w="100"/>
        <w:gridCol w:w="75"/>
        <w:gridCol w:w="160"/>
        <w:gridCol w:w="1075"/>
        <w:gridCol w:w="100"/>
        <w:gridCol w:w="75"/>
        <w:gridCol w:w="160"/>
        <w:gridCol w:w="1135"/>
        <w:gridCol w:w="100"/>
        <w:gridCol w:w="75"/>
        <w:gridCol w:w="160"/>
        <w:gridCol w:w="1135"/>
        <w:gridCol w:w="1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45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74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Three Months Ended</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Six Months Ended</w:t>
            </w:r>
          </w:p>
        </w:tc>
      </w:tr>
      <w:tr>
        <w:tblPrEx>
          <w:tblW w:w="10260" w:type="dxa"/>
          <w:jc w:val="left"/>
          <w:tblInd w:w="0" w:type="dxa"/>
          <w:tblCellMar>
            <w:left w:w="108" w:type="dxa"/>
            <w:right w:w="108" w:type="dxa"/>
          </w:tblCellMar>
        </w:tblPrEx>
        <w:trPr>
          <w:cantSplit/>
          <w:trHeight w:hRule="exact" w:val="465"/>
          <w:jc w:val="left"/>
        </w:trPr>
        <w:tc>
          <w:tcPr>
            <w:tcW w:w="45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3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left"/>
            </w:pPr>
          </w:p>
        </w:tc>
        <w:tc>
          <w:tcPr>
            <w:tcW w:w="133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left"/>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June 30,</w:t>
            </w:r>
            <w:r>
              <w:br/>
            </w:r>
            <w:r>
              <w:rPr>
                <w:rFonts w:ascii="Times New Roman" w:eastAsia="Times New Roman" w:hAnsi="Times New Roman" w:cs="Times New Roman"/>
                <w:color w:val="000000"/>
                <w:sz w:val="20"/>
              </w:rPr>
              <w:t>2019</w:t>
            </w:r>
          </w:p>
        </w:tc>
      </w:tr>
      <w:tr>
        <w:tblPrEx>
          <w:tblW w:w="10260" w:type="dxa"/>
          <w:jc w:val="left"/>
          <w:tblInd w:w="0" w:type="dxa"/>
          <w:tblCellMar>
            <w:left w:w="108" w:type="dxa"/>
            <w:right w:w="108" w:type="dxa"/>
          </w:tblCellMar>
        </w:tblPrEx>
        <w:trPr>
          <w:cantSplit/>
          <w:trHeight w:hRule="exact" w:val="300"/>
          <w:jc w:val="left"/>
        </w:trPr>
        <w:tc>
          <w:tcPr>
            <w:tcW w:w="45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United States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3,068,785 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3,508,997 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7,646,793 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7,784,416 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60" w:type="dxa"/>
          <w:jc w:val="left"/>
          <w:tblInd w:w="0" w:type="dxa"/>
          <w:tblCellMar>
            <w:left w:w="108" w:type="dxa"/>
            <w:right w:w="108" w:type="dxa"/>
          </w:tblCellMar>
        </w:tblPrEx>
        <w:trPr>
          <w:cantSplit/>
          <w:trHeight w:hRule="exact" w:val="300"/>
          <w:jc w:val="left"/>
        </w:trPr>
        <w:tc>
          <w:tcPr>
            <w:tcW w:w="45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Canada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66,254 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right"/>
            </w:pPr>
          </w:p>
        </w:tc>
        <w:tc>
          <w:tcPr>
            <w:tcW w:w="123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414,867 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251,914 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933,204 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left"/>
          <w:tblInd w:w="0" w:type="dxa"/>
          <w:tblCellMar>
            <w:left w:w="108" w:type="dxa"/>
            <w:right w:w="108" w:type="dxa"/>
          </w:tblCellMar>
        </w:tblPrEx>
        <w:trPr>
          <w:cantSplit/>
          <w:trHeight w:hRule="exact" w:val="300"/>
          <w:jc w:val="left"/>
        </w:trPr>
        <w:tc>
          <w:tcPr>
            <w:tcW w:w="450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225"/>
              <w:jc w:val="left"/>
            </w:pPr>
            <w:r>
              <w:rPr>
                <w:rFonts w:ascii="Times New Roman" w:eastAsia="Times New Roman" w:hAnsi="Times New Roman" w:cs="Times New Roman"/>
                <w:color w:val="000000"/>
                <w:sz w:val="20"/>
              </w:rPr>
              <w:t>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3,135,039 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0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3,923,864 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7,898,707 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8,717,620 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0" w:line="248" w:lineRule="auto"/>
        <w:ind w:left="0" w:right="0" w:firstLine="0"/>
        <w:jc w:val="left"/>
        <w:outlineLvl w:val="9"/>
        <w:rPr>
          <w:rFonts w:ascii="Times New Roman" w:eastAsia="Times New Roman" w:hAnsi="Times New Roman" w:cs="Times New Roman"/>
          <w:sz w:val="20"/>
        </w:rPr>
      </w:pPr>
    </w:p>
    <w:p>
      <w:pPr>
        <w:keepNext/>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sz w:val="20"/>
          <w:u w:val="single"/>
        </w:rPr>
      </w:pPr>
      <w:r>
        <w:rPr>
          <w:rFonts w:ascii="Times New Roman" w:eastAsia="Times New Roman" w:hAnsi="Times New Roman" w:cs="Times New Roman"/>
          <w:b/>
          <w:sz w:val="20"/>
          <w:u w:val="single"/>
        </w:rPr>
        <w:t>Contract Balances</w:t>
      </w:r>
    </w:p>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The following table provides information about receivables, contract assets and contract liabilities from contracts with customers.</w:t>
      </w:r>
    </w:p>
    <w:tbl>
      <w:tblPr>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365"/>
        <w:gridCol w:w="160"/>
        <w:gridCol w:w="1135"/>
        <w:gridCol w:w="100"/>
        <w:gridCol w:w="75"/>
        <w:gridCol w:w="160"/>
        <w:gridCol w:w="1135"/>
        <w:gridCol w:w="100"/>
      </w:tblGrid>
      <w:tr>
        <w:tblPrEx>
          <w:tblW w:w="1023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65"/>
          <w:jc w:val="left"/>
        </w:trPr>
        <w:tc>
          <w:tcPr>
            <w:tcW w:w="736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June 30,</w:t>
            </w:r>
            <w:r>
              <w:br/>
            </w:r>
            <w:r>
              <w:rPr>
                <w:rFonts w:ascii="Times New Roman" w:eastAsia="Times New Roman" w:hAnsi="Times New Roman" w:cs="Times New Roman"/>
                <w:color w:val="000000"/>
                <w:sz w:val="18"/>
              </w:rPr>
              <w:t>2020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December 31, 2019</w:t>
            </w:r>
          </w:p>
        </w:tc>
      </w:tr>
      <w:tr>
        <w:tblPrEx>
          <w:tblW w:w="10230" w:type="dxa"/>
          <w:jc w:val="left"/>
          <w:tblInd w:w="0" w:type="dxa"/>
          <w:tblCellMar>
            <w:left w:w="108" w:type="dxa"/>
            <w:right w:w="108" w:type="dxa"/>
          </w:tblCellMar>
        </w:tblPrEx>
        <w:trPr>
          <w:cantSplit/>
          <w:trHeight w:hRule="exact" w:val="285"/>
          <w:jc w:val="left"/>
        </w:trPr>
        <w:tc>
          <w:tcPr>
            <w:tcW w:w="736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Accounts receivable, net</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3,053,135 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5,596,719 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30" w:type="dxa"/>
          <w:jc w:val="left"/>
          <w:tblInd w:w="0" w:type="dxa"/>
          <w:tblCellMar>
            <w:left w:w="108" w:type="dxa"/>
            <w:right w:w="108" w:type="dxa"/>
          </w:tblCellMar>
        </w:tblPrEx>
        <w:trPr>
          <w:cantSplit/>
          <w:trHeight w:hRule="exact" w:val="285"/>
          <w:jc w:val="left"/>
        </w:trPr>
        <w:tc>
          <w:tcPr>
            <w:tcW w:w="736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Contract liabilities (unearned revenue)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5,841,264 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6,466,766 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r>
    </w:tbl>
    <w:p>
      <w:pPr>
        <w:keepNext w:val="0"/>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Company does not typically engage in contracts that are longer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Therefore, the Company did not recognize any contract assets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or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The Company does not capitalize costs to obtain its customer contracts given their general duration of less than </w:t>
      </w:r>
      <w:r>
        <w:rPr>
          <w:rFonts w:ascii="Times New Roman" w:eastAsia="Times New Roman" w:hAnsi="Times New Roman" w:cs="Times New Roman"/>
          <w:sz w:val="20"/>
        </w:rPr>
        <w:t>one</w:t>
      </w:r>
      <w:r>
        <w:rPr>
          <w:rFonts w:ascii="Times New Roman" w:eastAsia="Times New Roman" w:hAnsi="Times New Roman" w:cs="Times New Roman"/>
          <w:sz w:val="20"/>
        </w:rPr>
        <w:t xml:space="preserve"> year and the amounts are not material.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Contract receivables are recognized when the receipt of consideration is unconditional. Contract liabilities relate to advance consideration received from customers under the terms of the Company’s contracts, which will be earned in future periods. </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As a practical expedient, the Company expenses the costs of sales commissions that are paid to its sales force associated with obtaining contracts less than one year in length in the period incurred.</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u w:val="single"/>
        </w:rPr>
        <w:t>Remaining Performance Obligations</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Company typically enters into contracts that are one year or less in length. As such, the remaining performance obligations at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December 31, 2019</w:t>
      </w:r>
      <w:r>
        <w:rPr>
          <w:rFonts w:ascii="Times New Roman" w:eastAsia="Times New Roman" w:hAnsi="Times New Roman" w:cs="Times New Roman"/>
          <w:sz w:val="20"/>
        </w:rPr>
        <w:t xml:space="preserve"> are equal to the contract liabilities disclosed above. The Company expects to recognize the full balance of the unearned revenue at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within the next year</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sectPr>
          <w:type w:val="continuous"/>
          <w:pgSz w:w="12240" w:h="15840"/>
          <w:pgMar w:top="855" w:right="990" w:bottom="855" w:left="990" w:header="270" w:footer="270"/>
          <w:cols w:space="708"/>
        </w:sectPr>
      </w:pPr>
    </w:p>
    <w:p>
      <w:pPr>
        <w:keepNext/>
        <w:keepLines w:val="0"/>
        <w:pageBreakBefore w:val="0"/>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3"/>
        <w:rPr>
          <w:rFonts w:ascii="Times New Roman" w:eastAsia="Times New Roman" w:hAnsi="Times New Roman" w:cs="Times New Roman"/>
          <w:b/>
          <w:sz w:val="20"/>
        </w:rPr>
      </w:pPr>
      <w:bookmarkStart w:id="19" w:name="Section20"/>
      <w:bookmarkEnd w:id="19"/>
      <w:r>
        <w:rPr>
          <w:rFonts w:ascii="Times New Roman" w:eastAsia="Times New Roman" w:hAnsi="Times New Roman" w:cs="Times New Roman"/>
          <w:b/>
          <w:sz w:val="20"/>
        </w:rPr>
        <w:t>NOTE 1</w:t>
      </w:r>
      <w:r>
        <w:rPr>
          <w:rFonts w:ascii="Times New Roman" w:eastAsia="Times New Roman" w:hAnsi="Times New Roman" w:cs="Times New Roman"/>
          <w:b/>
          <w:sz w:val="20"/>
        </w:rPr>
        <w:t>1</w:t>
      </w:r>
      <w:r>
        <w:rPr>
          <w:rFonts w:ascii="Times New Roman" w:eastAsia="Times New Roman" w:hAnsi="Times New Roman" w:cs="Times New Roman"/>
          <w:b/>
          <w:sz w:val="20"/>
        </w:rPr>
        <w:t>. </w:t>
      </w:r>
      <w:r>
        <w:rPr>
          <w:rFonts w:ascii="Times New Roman" w:eastAsia="Times New Roman" w:hAnsi="Times New Roman" w:cs="Times New Roman"/>
          <w:b/>
          <w:sz w:val="20"/>
        </w:rPr>
        <w:tab/>
      </w:r>
      <w:r>
        <w:rPr>
          <w:rFonts w:ascii="Times New Roman" w:eastAsia="Times New Roman" w:hAnsi="Times New Roman" w:cs="Times New Roman"/>
          <w:b/>
          <w:sz w:val="20"/>
        </w:rPr>
        <w:t>SUBSEQUENT EVENTS</w:t>
      </w:r>
    </w:p>
    <w:p>
      <w:pPr>
        <w:keepNext/>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color w:val="1A1A1A"/>
          <w:sz w:val="20"/>
          <w:shd w:val="clear" w:color="auto" w:fill="FFFFFF"/>
        </w:rPr>
      </w:pP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b/>
          <w:i/>
          <w:sz w:val="20"/>
        </w:rPr>
      </w:pPr>
      <w:r>
        <w:rPr>
          <w:rFonts w:ascii="Times New Roman" w:eastAsia="Times New Roman" w:hAnsi="Times New Roman" w:cs="Times New Roman"/>
          <w:sz w:val="20"/>
        </w:rPr>
        <w:t>Subs</w:t>
      </w:r>
      <w:r>
        <w:rPr>
          <w:rFonts w:ascii="Times New Roman" w:eastAsia="Times New Roman" w:hAnsi="Times New Roman" w:cs="Times New Roman"/>
          <w:sz w:val="20"/>
        </w:rPr>
        <w:t xml:space="preserve">equent to June 30, </w:t>
      </w:r>
      <w:r>
        <w:rPr>
          <w:rFonts w:ascii="Times New Roman" w:eastAsia="Times New Roman" w:hAnsi="Times New Roman" w:cs="Times New Roman"/>
          <w:sz w:val="20"/>
        </w:rPr>
        <w:t>2020, the Company raised an additio</w:t>
      </w:r>
      <w:r>
        <w:rPr>
          <w:rFonts w:ascii="Times New Roman" w:eastAsia="Times New Roman" w:hAnsi="Times New Roman" w:cs="Times New Roman"/>
          <w:sz w:val="20"/>
        </w:rPr>
        <w:t>n</w:t>
      </w:r>
      <w:r>
        <w:rPr>
          <w:rFonts w:ascii="Times New Roman" w:eastAsia="Times New Roman" w:hAnsi="Times New Roman" w:cs="Times New Roman"/>
          <w:sz w:val="20"/>
        </w:rPr>
        <w:t xml:space="preserve">al </w:t>
      </w:r>
      <w:r>
        <w:rPr>
          <w:rFonts w:ascii="Times New Roman" w:eastAsia="Times New Roman" w:hAnsi="Times New Roman" w:cs="Times New Roman"/>
          <w:sz w:val="20"/>
        </w:rPr>
        <w:t>$10,378,440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through </w:t>
      </w:r>
      <w:r>
        <w:rPr>
          <w:rFonts w:ascii="Times New Roman" w:eastAsia="Times New Roman" w:hAnsi="Times New Roman" w:cs="Times New Roman"/>
          <w:sz w:val="20"/>
        </w:rPr>
        <w:t xml:space="preserve">sales of its common stock </w:t>
      </w:r>
      <w:r>
        <w:rPr>
          <w:rFonts w:ascii="Times New Roman" w:eastAsia="Times New Roman" w:hAnsi="Times New Roman" w:cs="Times New Roman"/>
          <w:sz w:val="20"/>
        </w:rPr>
        <w:t xml:space="preserve">under </w:t>
      </w:r>
      <w:r>
        <w:rPr>
          <w:rFonts w:ascii="Times New Roman" w:eastAsia="Times New Roman" w:hAnsi="Times New Roman" w:cs="Times New Roman"/>
          <w:sz w:val="20"/>
        </w:rPr>
        <w:t>the</w:t>
      </w:r>
      <w:r>
        <w:rPr>
          <w:rFonts w:ascii="Times New Roman" w:eastAsia="Times New Roman" w:hAnsi="Times New Roman" w:cs="Times New Roman"/>
          <w:sz w:val="20"/>
        </w:rPr>
        <w:t xml:space="preserve"> A</w:t>
      </w:r>
      <w:r>
        <w:rPr>
          <w:rFonts w:ascii="Times New Roman" w:eastAsia="Times New Roman" w:hAnsi="Times New Roman" w:cs="Times New Roman"/>
          <w:sz w:val="20"/>
        </w:rPr>
        <w:t>TM</w:t>
      </w:r>
      <w:r>
        <w:rPr>
          <w:rFonts w:ascii="Times New Roman" w:eastAsia="Times New Roman" w:hAnsi="Times New Roman" w:cs="Times New Roman"/>
          <w:sz w:val="20"/>
        </w:rPr>
        <w:t xml:space="preserve"> Offering</w:t>
      </w:r>
      <w:r>
        <w:rPr>
          <w:rFonts w:ascii="Times New Roman" w:eastAsia="Times New Roman" w:hAnsi="Times New Roman" w:cs="Times New Roman"/>
          <w:sz w:val="20"/>
        </w:rPr>
        <w:t xml:space="preserve"> described in Note </w:t>
      </w:r>
      <w:r>
        <w:rPr>
          <w:rFonts w:ascii="Times New Roman" w:eastAsia="Times New Roman" w:hAnsi="Times New Roman" w:cs="Times New Roman"/>
          <w:sz w:val="20"/>
        </w:rPr>
        <w:t xml:space="preserve">8.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August 10, 2020</w:t>
      </w:r>
      <w:r>
        <w:rPr>
          <w:rFonts w:ascii="Times New Roman" w:eastAsia="Times New Roman" w:hAnsi="Times New Roman" w:cs="Times New Roman"/>
          <w:sz w:val="20"/>
        </w:rPr>
        <w:t>, the Company had sold</w:t>
      </w:r>
      <w:r>
        <w:rPr>
          <w:rFonts w:ascii="Times New Roman" w:eastAsia="Times New Roman" w:hAnsi="Times New Roman" w:cs="Times New Roman"/>
          <w:sz w:val="20"/>
        </w:rPr>
        <w:t xml:space="preserve"> a total of</w:t>
      </w:r>
      <w:r>
        <w:rPr>
          <w:rFonts w:ascii="Times New Roman" w:eastAsia="Times New Roman" w:hAnsi="Times New Roman" w:cs="Times New Roman"/>
          <w:sz w:val="20"/>
        </w:rPr>
        <w:t xml:space="preserve"> </w:t>
      </w:r>
      <w:r>
        <w:rPr>
          <w:rFonts w:ascii="Times New Roman" w:eastAsia="Times New Roman" w:hAnsi="Times New Roman" w:cs="Times New Roman"/>
          <w:sz w:val="20"/>
        </w:rPr>
        <w:t>13,258,172</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$1.94</w:t>
      </w:r>
      <w:r>
        <w:rPr>
          <w:rFonts w:ascii="Times New Roman" w:eastAsia="Times New Roman" w:hAnsi="Times New Roman" w:cs="Times New Roman"/>
          <w:sz w:val="20"/>
        </w:rPr>
        <w:t xml:space="preserve"> per share for total gross proceeds of </w:t>
      </w:r>
      <w:r>
        <w:rPr>
          <w:rFonts w:ascii="Times New Roman" w:eastAsia="Times New Roman" w:hAnsi="Times New Roman" w:cs="Times New Roman"/>
          <w:sz w:val="20"/>
        </w:rPr>
        <w:t>$25,740,293</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w:t>
      </w:r>
      <w:r>
        <w:rPr>
          <w:rFonts w:ascii="Times New Roman" w:eastAsia="Times New Roman" w:hAnsi="Times New Roman" w:cs="Times New Roman"/>
          <w:sz w:val="20"/>
        </w:rPr>
        <w:t>the</w:t>
      </w:r>
      <w:r>
        <w:rPr>
          <w:rFonts w:ascii="Times New Roman" w:eastAsia="Times New Roman" w:hAnsi="Times New Roman" w:cs="Times New Roman"/>
          <w:sz w:val="20"/>
        </w:rPr>
        <w:t xml:space="preserve"> ATM Offering</w:t>
      </w:r>
      <w:r>
        <w:rPr>
          <w:rFonts w:ascii="Times New Roman" w:eastAsia="Times New Roman" w:hAnsi="Times New Roman" w:cs="Times New Roman"/>
          <w:sz w:val="20"/>
        </w:rPr>
        <w:t xml:space="preserve"> </w:t>
      </w:r>
      <w:r>
        <w:rPr>
          <w:rFonts w:ascii="Times New Roman" w:eastAsia="Times New Roman" w:hAnsi="Times New Roman" w:cs="Times New Roman"/>
          <w:sz w:val="20"/>
        </w:rPr>
        <w:t>and t</w:t>
      </w:r>
      <w:r>
        <w:rPr>
          <w:rFonts w:ascii="Times New Roman" w:eastAsia="Times New Roman" w:hAnsi="Times New Roman" w:cs="Times New Roman"/>
          <w:sz w:val="20"/>
        </w:rPr>
        <w:t>he</w:t>
      </w:r>
      <w:r>
        <w:rPr>
          <w:rFonts w:ascii="Times New Roman" w:eastAsia="Times New Roman" w:hAnsi="Times New Roman" w:cs="Times New Roman"/>
          <w:sz w:val="20"/>
        </w:rPr>
        <w:t xml:space="preserve"> Company had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 total of </w:t>
      </w:r>
      <w:r>
        <w:rPr>
          <w:rFonts w:ascii="Times New Roman" w:eastAsia="Times New Roman" w:hAnsi="Times New Roman" w:cs="Times New Roman"/>
          <w:sz w:val="20"/>
        </w:rPr>
        <w:t>48,414,560</w:t>
      </w:r>
      <w:r>
        <w:rPr>
          <w:rFonts w:ascii="Times New Roman" w:eastAsia="Times New Roman" w:hAnsi="Times New Roman" w:cs="Times New Roman"/>
          <w:sz w:val="20"/>
        </w:rPr>
        <w:t xml:space="preserve"> shares of</w:t>
      </w:r>
      <w:r>
        <w:rPr>
          <w:rFonts w:ascii="Times New Roman" w:eastAsia="Times New Roman" w:hAnsi="Times New Roman" w:cs="Times New Roman"/>
          <w:sz w:val="20"/>
        </w:rPr>
        <w:t xml:space="preserve"> common stock outstanding</w:t>
      </w: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20" w:name="Section21"/>
      <w:bookmarkEnd w:id="20"/>
      <w:r>
        <w:rPr>
          <w:rFonts w:ascii="Times New Roman" w:eastAsia="Times New Roman" w:hAnsi="Times New Roman" w:cs="Times New Roman"/>
          <w:b/>
          <w:sz w:val="20"/>
        </w:rPr>
        <w:t>ITEM 2 – MANAGEMENT’S DISCUSSION AND ANALYSIS OF FINANCIAL CONDITION AND RESULTS OF OPERATIONS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headerReference w:type="default" r:id="rId10"/>
          <w:pgSz w:w="12240" w:h="15840"/>
          <w:pgMar w:top="855" w:right="990" w:bottom="855" w:left="990" w:header="270" w:footer="270"/>
          <w:cols w:space="708"/>
        </w:sectPr>
      </w:pPr>
    </w:p>
    <w:p>
      <w:pPr>
        <w:keepNext w:val="0"/>
        <w:keepLines w:val="0"/>
        <w:pageBreakBefore w:val="0"/>
        <w:widowControl/>
        <w:numPr>
          <w:ilvl w:val="0"/>
          <w:numId w:val="0"/>
        </w:numPr>
        <w:spacing w:before="0" w:after="0" w:line="360" w:lineRule="auto"/>
        <w:ind w:left="0" w:right="0" w:firstLine="0"/>
        <w:jc w:val="both"/>
        <w:outlineLvl w:val="2"/>
        <w:rPr>
          <w:rFonts w:ascii="Times New Roman" w:eastAsia="Times New Roman" w:hAnsi="Times New Roman" w:cs="Times New Roman"/>
          <w:b/>
          <w:sz w:val="20"/>
        </w:rPr>
      </w:pPr>
      <w:bookmarkStart w:id="21" w:name="Section22"/>
      <w:bookmarkEnd w:id="21"/>
      <w:r>
        <w:rPr>
          <w:rFonts w:ascii="Times New Roman" w:eastAsia="Times New Roman" w:hAnsi="Times New Roman" w:cs="Times New Roman"/>
          <w:b/>
          <w:sz w:val="20"/>
        </w:rPr>
        <w:t>Cautionary Note Regarding Forward-Looking Information</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sz w:val="20"/>
        </w:rPr>
        <w:t>This Quarterly Report on Form 10-Q (this “Quarterly Report”) contains “forward-looking statements” intended to qualify for the safe harbor from liability established by the Private Securities Litigation Reform Act of 1995. The statements, which are not historical facts contained in this report, including those contained in Management’s Discussion and Analysis of Financial Condition and Results of Operations, and the notes to our consolidated financial statements, particularly those that utilize terminology such as “may,” “will,” “would,” “could,” “should,” “expects,” “anticipates,” “anticipates,” “estimates,” “believes,” “thinks,” “intends,” “likely,” “projects,” “plans,” “pursue,” “strategy” or “future,” or the negative of these words or other words or expressions of similar meaning, are forward-looking statements. Such statements are based on currently available operating, financial and competitive information, and are subject to inherent risks, uncertainties and changes in circumstances that are difficult to predict and many of which are outside of our control. Future events and our actual results and financial condition may differ materially from those reflected in these forward-looking statements. Therefore, you should not rely on any of these forward-looking statements. Important factors that could cause these differences include, but are not limited to, the following:</w:t>
      </w:r>
    </w:p>
    <w:p>
      <w:pPr>
        <w:keepNext w:val="0"/>
        <w:keepLines w:val="0"/>
        <w:pageBreakBefore w:val="0"/>
        <w:widowControl/>
        <w:numPr>
          <w:ilvl w:val="0"/>
          <w:numId w:val="0"/>
        </w:numPr>
        <w:spacing w:before="0" w:after="0" w:line="360"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t</w:t>
      </w:r>
      <w:r>
        <w:rPr>
          <w:rFonts w:ascii="Times New Roman" w:eastAsia="Times New Roman" w:hAnsi="Times New Roman" w:cs="Times New Roman"/>
          <w:sz w:val="20"/>
        </w:rPr>
        <w:t>he impact of the COVID-19 pandemic on our operations, financial condition and the worldwide economy;</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customer cancellations;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raise additional funding needed to fund our business operation in the future;</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satisfy the requirements for continued listing of our common stock on the Nasdaq Capital Market;</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maintain effective disclosure controls and procedures and internal control over financial reporting;</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ability to protect our intellectual property;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ability to maintain and grow our business; </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results of any</w:t>
      </w:r>
      <w:r>
        <w:rPr>
          <w:rFonts w:ascii="Times New Roman" w:eastAsia="Times New Roman" w:hAnsi="Times New Roman" w:cs="Times New Roman"/>
          <w:sz w:val="20"/>
        </w:rPr>
        <w:t xml:space="preserve"> </w:t>
      </w:r>
      <w:r>
        <w:rPr>
          <w:rFonts w:ascii="Times New Roman" w:eastAsia="Times New Roman" w:hAnsi="Times New Roman" w:cs="Times New Roman"/>
          <w:sz w:val="20"/>
        </w:rPr>
        <w:t>future</w:t>
      </w:r>
      <w:r>
        <w:rPr>
          <w:rFonts w:ascii="Times New Roman" w:eastAsia="Times New Roman" w:hAnsi="Times New Roman" w:cs="Times New Roman"/>
          <w:sz w:val="20"/>
        </w:rPr>
        <w:t xml:space="preserve"> litigation;</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competition in the industry;</w:t>
      </w:r>
    </w:p>
    <w:p>
      <w:pPr>
        <w:keepNext w:val="0"/>
        <w:keepLines w:val="0"/>
        <w:pageBreakBefore w:val="0"/>
        <w:widowControl/>
        <w:numPr>
          <w:ilvl w:val="0"/>
          <w:numId w:val="6"/>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variability of operating results; </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ability to maintain and enhance our brand;</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accuracy of tracking the number of user accounts; </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our development and introduction of new products and services; </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successful integration of acquired companies, technologies and assets into our portfolio of software and services; </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marketing and other business development initiatives; </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general government regulation; </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economic conditions, including as a result of health and safety concerns; </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dependence on key personnel; </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ability to attract, hire and retain personnel who possess the technical skills and experience necessary to meet the service requirements of our customers; </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potential liability with respect to actions taken by our existing and past employees; </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risks associated with international sales; </w:t>
      </w:r>
    </w:p>
    <w:p>
      <w:pPr>
        <w:keepNext w:val="0"/>
        <w:keepLines w:val="0"/>
        <w:pageBreakBefore w:val="0"/>
        <w:widowControl/>
        <w:numPr>
          <w:ilvl w:val="0"/>
          <w:numId w:val="7"/>
        </w:numPr>
        <w:spacing w:before="0" w:after="0" w:line="248" w:lineRule="auto"/>
        <w:ind w:left="144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and the other risks and uncertainties described in the Risk Factors section of this Quarterly Report and our Annual Report on Form 10-K for the year ended December 31, 2019.</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All forward-looking statements in this document are based on our current expectations, intentions and beliefs using information currently available to us as of the date of this Annual Report, and we assume no obligation to update any forward-looking statements, except as required by law.  Forward-looking statements involve known and unknown risks, uncertainties and other factors that may cause the actual results to differ materially from any future results, performance or achievements expressed or implied by such forward-looking statements.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both"/>
        <w:outlineLvl w:val="2"/>
        <w:rPr>
          <w:rFonts w:ascii="Times New Roman" w:eastAsia="Times New Roman" w:hAnsi="Times New Roman" w:cs="Times New Roman"/>
          <w:b/>
          <w:sz w:val="20"/>
        </w:rPr>
      </w:pPr>
      <w:bookmarkStart w:id="22" w:name="Section23"/>
      <w:bookmarkEnd w:id="22"/>
      <w:r>
        <w:rPr>
          <w:rFonts w:ascii="Times New Roman" w:eastAsia="Times New Roman" w:hAnsi="Times New Roman" w:cs="Times New Roman"/>
          <w:b/>
          <w:sz w:val="20"/>
        </w:rPr>
        <w:t>Company Overview</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IZEA creates and operates online marketplaces that connect marketers, including brands, agencies, and publishers, with content creators such as bloggers and tweeters (“creators”). Our technology brings the marketers and creators together, enabling their transactions to be completed at scale through the management of custom content workflow, creator search and targeting, bidding, analytics and payment processing. </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We help power the creator economy, allowing everyone from college students and stay-at-home individuals to celebrities and accredited journalists the opportunity to monetize their content, creativity and influence through our marketers. These creators are compensated by IZEA for producing unique content such as long and short form text, videos, photos, status updates, and illustrations for marketers or distributing such content on behalf of marketers through their personal websites, blogs, and social media channels.</w:t>
      </w: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Marketers engage us to gain access to our industry expertise, technology, data, analytics, and network of creators. The majority of the marketers engage us to perform these services on their behalf, but they also have the ability to use our marketplaces on a self-service basis by licensing our technology. Our technology is used for two primary purposes: the engagement of creators for influencer marketing campaigns, or the engagement of creators to create stand-alone custom content for the marketers’ own use and distribution. Marketers receive influential consumer content and engaging, shareable stories that drive awareness. </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 xml:space="preserve">Our primary technology platform, </w:t>
      </w:r>
      <w:r>
        <w:rPr>
          <w:rFonts w:ascii="Times New Roman" w:eastAsia="Times New Roman" w:hAnsi="Times New Roman" w:cs="Times New Roman"/>
          <w:i/>
          <w:sz w:val="20"/>
        </w:rPr>
        <w:t xml:space="preserve">The IZEA Exchange </w:t>
      </w:r>
      <w:r>
        <w:rPr>
          <w:rFonts w:ascii="Times New Roman" w:eastAsia="Times New Roman" w:hAnsi="Times New Roman" w:cs="Times New Roman"/>
          <w:sz w:val="20"/>
        </w:rPr>
        <w:t>(“</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enables transactions to be completed at scale through the management of custom content workflow, creator search and targeting, bidding, analytics, and payment processing.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is designed to provide a unified ecosystem that enables the creation and publication of multiple types of custom content through a creator’s personal websites, blogs, or social media channels including Twitter, Facebook, Instagram, and YouTube, among others. Until December 2019 when it was merged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we operated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technology platform, which we acquired in January 2015.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was originally designed as a self-service content marketplace to replace </w:t>
      </w:r>
      <w:r>
        <w:rPr>
          <w:rFonts w:ascii="Times New Roman" w:eastAsia="Times New Roman" w:hAnsi="Times New Roman" w:cs="Times New Roman"/>
          <w:sz w:val="20"/>
        </w:rPr>
        <w:t xml:space="preserve">in-house </w:t>
      </w:r>
      <w:r>
        <w:rPr>
          <w:rFonts w:ascii="Times New Roman" w:eastAsia="Times New Roman" w:hAnsi="Times New Roman" w:cs="Times New Roman"/>
          <w:sz w:val="20"/>
        </w:rPr>
        <w:t xml:space="preserve">editorial newsrooms </w:t>
      </w:r>
      <w:r>
        <w:rPr>
          <w:rFonts w:ascii="Times New Roman" w:eastAsia="Times New Roman" w:hAnsi="Times New Roman" w:cs="Times New Roman"/>
          <w:sz w:val="20"/>
        </w:rPr>
        <w:t xml:space="preserve">in news agencies with a “virtual newsroom” </w:t>
      </w:r>
      <w:r>
        <w:rPr>
          <w:rFonts w:ascii="Times New Roman" w:eastAsia="Times New Roman" w:hAnsi="Times New Roman" w:cs="Times New Roman"/>
          <w:sz w:val="20"/>
        </w:rPr>
        <w:t xml:space="preserve">to </w:t>
      </w:r>
      <w:r>
        <w:rPr>
          <w:rFonts w:ascii="Times New Roman" w:eastAsia="Times New Roman" w:hAnsi="Times New Roman" w:cs="Times New Roman"/>
          <w:sz w:val="20"/>
        </w:rPr>
        <w:t xml:space="preserve">source and </w:t>
      </w:r>
      <w:r>
        <w:rPr>
          <w:rFonts w:ascii="Times New Roman" w:eastAsia="Times New Roman" w:hAnsi="Times New Roman" w:cs="Times New Roman"/>
          <w:sz w:val="20"/>
        </w:rPr>
        <w:t>handle their content workflow</w:t>
      </w:r>
      <w:r>
        <w:rPr>
          <w:rFonts w:ascii="Times New Roman" w:eastAsia="Times New Roman" w:hAnsi="Times New Roman" w:cs="Times New Roman"/>
          <w:sz w:val="20"/>
        </w:rPr>
        <w:t xml:space="preserve"> with outside creators</w:t>
      </w:r>
      <w:r>
        <w:rPr>
          <w:rFonts w:ascii="Times New Roman" w:eastAsia="Times New Roman" w:hAnsi="Times New Roman" w:cs="Times New Roman"/>
          <w:sz w:val="20"/>
        </w:rPr>
        <w:t xml:space="preserve">. After the acquisition, we began to utilize the creators in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 produce professional custom content for brands, in addition to the self-service functionality used by newspapers. In July 2016, we acquired the </w:t>
      </w:r>
      <w:r>
        <w:rPr>
          <w:rFonts w:ascii="Times New Roman" w:eastAsia="Times New Roman" w:hAnsi="Times New Roman" w:cs="Times New Roman"/>
          <w:i/>
          <w:sz w:val="20"/>
        </w:rPr>
        <w:t>ZenContent</w:t>
      </w:r>
      <w:r>
        <w:rPr>
          <w:rFonts w:ascii="Times New Roman" w:eastAsia="Times New Roman" w:hAnsi="Times New Roman" w:cs="Times New Roman"/>
          <w:sz w:val="20"/>
        </w:rPr>
        <w:t xml:space="preserve"> technology platform to use as an in-house workflow tool that enables us to produce highly scalable, multi-part production of content for both e-commerce entities and brand customers.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 acquired in 2018, performed in a similar manner 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 was being utilized by the majority of the TapInfluence customers as a self-service platform via a licensing arrangement, allowing access to the platform and its creators for self-managed marketing campaigns. After the migration of the last customers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from the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 xml:space="preserve">platform in December 2019 and from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 in February 2020, all marketplace revenue is solely generated from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Impact of COVID-19 on our Business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Although the ultimate impact of COVID-19 on our business is </w:t>
      </w:r>
      <w:r>
        <w:rPr>
          <w:rFonts w:ascii="Times New Roman" w:eastAsia="Times New Roman" w:hAnsi="Times New Roman" w:cs="Times New Roman"/>
          <w:sz w:val="20"/>
        </w:rPr>
        <w:t xml:space="preserve">still </w:t>
      </w:r>
      <w:r>
        <w:rPr>
          <w:rFonts w:ascii="Times New Roman" w:eastAsia="Times New Roman" w:hAnsi="Times New Roman" w:cs="Times New Roman"/>
          <w:sz w:val="20"/>
        </w:rPr>
        <w:t>unknown, our operations, sales and finances have been impacted by the pandemic</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In an effort to protect the health and safety of our employees, we took precautionary action and directed all staff to work from home effective March 16, 2020. During this work-from-home period, we have not renewed leases for our headquarters and temporary office spaces and </w:t>
      </w:r>
      <w:r>
        <w:rPr>
          <w:rFonts w:ascii="Times New Roman" w:eastAsia="Times New Roman" w:hAnsi="Times New Roman" w:cs="Times New Roman"/>
          <w:sz w:val="20"/>
        </w:rPr>
        <w:t>we do not have any plans to d</w:t>
      </w:r>
      <w:r>
        <w:rPr>
          <w:rFonts w:ascii="Times New Roman" w:eastAsia="Times New Roman" w:hAnsi="Times New Roman" w:cs="Times New Roman"/>
          <w:sz w:val="20"/>
        </w:rPr>
        <w:t>o</w:t>
      </w:r>
      <w:r>
        <w:rPr>
          <w:rFonts w:ascii="Times New Roman" w:eastAsia="Times New Roman" w:hAnsi="Times New Roman" w:cs="Times New Roman"/>
          <w:sz w:val="20"/>
        </w:rPr>
        <w:t xml:space="preserve"> so prior to t</w:t>
      </w:r>
      <w:r>
        <w:rPr>
          <w:rFonts w:ascii="Times New Roman" w:eastAsia="Times New Roman" w:hAnsi="Times New Roman" w:cs="Times New Roman"/>
          <w:sz w:val="20"/>
        </w:rPr>
        <w:t xml:space="preserve">he end of 2020 and </w:t>
      </w:r>
      <w:r>
        <w:rPr>
          <w:rFonts w:ascii="Times New Roman" w:eastAsia="Times New Roman" w:hAnsi="Times New Roman" w:cs="Times New Roman"/>
          <w:sz w:val="20"/>
        </w:rPr>
        <w:t>until</w:t>
      </w:r>
      <w:r>
        <w:rPr>
          <w:rFonts w:ascii="Times New Roman" w:eastAsia="Times New Roman" w:hAnsi="Times New Roman" w:cs="Times New Roman"/>
          <w:sz w:val="20"/>
        </w:rPr>
        <w:t xml:space="preserve"> </w:t>
      </w:r>
      <w:r>
        <w:rPr>
          <w:rFonts w:ascii="Times New Roman" w:eastAsia="Times New Roman" w:hAnsi="Times New Roman" w:cs="Times New Roman"/>
          <w:sz w:val="20"/>
        </w:rPr>
        <w:t>circumstances allow.</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Although we </w:t>
      </w:r>
      <w:r>
        <w:rPr>
          <w:rFonts w:ascii="Times New Roman" w:eastAsia="Times New Roman" w:hAnsi="Times New Roman" w:cs="Times New Roman"/>
          <w:sz w:val="20"/>
        </w:rPr>
        <w:t>are</w:t>
      </w:r>
      <w:r>
        <w:rPr>
          <w:rFonts w:ascii="Times New Roman" w:eastAsia="Times New Roman" w:hAnsi="Times New Roman" w:cs="Times New Roman"/>
          <w:sz w:val="20"/>
        </w:rPr>
        <w:t xml:space="preserve"> able to </w:t>
      </w:r>
      <w:r>
        <w:rPr>
          <w:rFonts w:ascii="Times New Roman" w:eastAsia="Times New Roman" w:hAnsi="Times New Roman" w:cs="Times New Roman"/>
          <w:sz w:val="20"/>
        </w:rPr>
        <w:t>maintain full operations remote</w:t>
      </w:r>
      <w:r>
        <w:rPr>
          <w:rFonts w:ascii="Times New Roman" w:eastAsia="Times New Roman" w:hAnsi="Times New Roman" w:cs="Times New Roman"/>
          <w:sz w:val="20"/>
        </w:rPr>
        <w:t>ly, t</w:t>
      </w:r>
      <w:r>
        <w:rPr>
          <w:rFonts w:ascii="Times New Roman" w:eastAsia="Times New Roman" w:hAnsi="Times New Roman" w:cs="Times New Roman"/>
          <w:sz w:val="20"/>
        </w:rPr>
        <w:t xml:space="preserve">he economic conditions caused by COVID-19 have negatively impacted the business activity of our customers. We </w:t>
      </w:r>
      <w:r>
        <w:rPr>
          <w:rFonts w:ascii="Times New Roman" w:eastAsia="Times New Roman" w:hAnsi="Times New Roman" w:cs="Times New Roman"/>
          <w:sz w:val="20"/>
        </w:rPr>
        <w:t xml:space="preserve">observed </w:t>
      </w:r>
      <w:r>
        <w:rPr>
          <w:rFonts w:ascii="Times New Roman" w:eastAsia="Times New Roman" w:hAnsi="Times New Roman" w:cs="Times New Roman"/>
          <w:sz w:val="20"/>
        </w:rPr>
        <w:t>changes in advertising decisions, timing and spending priorities from brand and agency customers, which</w:t>
      </w:r>
      <w:r>
        <w:rPr>
          <w:rFonts w:ascii="Times New Roman" w:eastAsia="Times New Roman" w:hAnsi="Times New Roman" w:cs="Times New Roman"/>
          <w:sz w:val="20"/>
        </w:rPr>
        <w:t xml:space="preserve"> have</w:t>
      </w:r>
      <w:r>
        <w:rPr>
          <w:rFonts w:ascii="Times New Roman" w:eastAsia="Times New Roman" w:hAnsi="Times New Roman" w:cs="Times New Roman"/>
          <w:sz w:val="20"/>
        </w:rPr>
        <w:t xml:space="preserve"> result</w:t>
      </w:r>
      <w:r>
        <w:rPr>
          <w:rFonts w:ascii="Times New Roman" w:eastAsia="Times New Roman" w:hAnsi="Times New Roman" w:cs="Times New Roman"/>
          <w:sz w:val="20"/>
        </w:rPr>
        <w:t>ed</w:t>
      </w:r>
      <w:r>
        <w:rPr>
          <w:rFonts w:ascii="Times New Roman" w:eastAsia="Times New Roman" w:hAnsi="Times New Roman" w:cs="Times New Roman"/>
          <w:sz w:val="20"/>
        </w:rPr>
        <w:t xml:space="preserve"> in </w:t>
      </w:r>
      <w:r>
        <w:rPr>
          <w:rFonts w:ascii="Times New Roman" w:eastAsia="Times New Roman" w:hAnsi="Times New Roman" w:cs="Times New Roman"/>
          <w:color w:val="1A1A1A"/>
          <w:sz w:val="20"/>
        </w:rPr>
        <w:t xml:space="preserve">a negative impact to our </w:t>
      </w:r>
      <w:r>
        <w:rPr>
          <w:rFonts w:ascii="Times New Roman" w:eastAsia="Times New Roman" w:hAnsi="Times New Roman" w:cs="Times New Roman"/>
          <w:color w:val="1A1A1A"/>
          <w:sz w:val="20"/>
        </w:rPr>
        <w:t>revenue</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color w:val="1A1A1A"/>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In light of the adverse economic conditions caused by the COVID-19 pandemic, we </w:t>
      </w:r>
      <w:r>
        <w:rPr>
          <w:rFonts w:ascii="Times New Roman" w:eastAsia="Times New Roman" w:hAnsi="Times New Roman" w:cs="Times New Roman"/>
          <w:sz w:val="20"/>
        </w:rPr>
        <w:t>implemented certain cost-</w:t>
      </w:r>
      <w:r>
        <w:rPr>
          <w:rFonts w:ascii="Times New Roman" w:eastAsia="Times New Roman" w:hAnsi="Times New Roman" w:cs="Times New Roman"/>
          <w:sz w:val="20"/>
        </w:rPr>
        <w:t>reduction</w:t>
      </w:r>
      <w:r>
        <w:rPr>
          <w:rFonts w:ascii="Times New Roman" w:eastAsia="Times New Roman" w:hAnsi="Times New Roman" w:cs="Times New Roman"/>
          <w:sz w:val="20"/>
        </w:rPr>
        <w:t xml:space="preserve"> measures, including </w:t>
      </w:r>
      <w:r>
        <w:rPr>
          <w:rFonts w:ascii="Times New Roman" w:eastAsia="Times New Roman" w:hAnsi="Times New Roman" w:cs="Times New Roman"/>
          <w:sz w:val="20"/>
        </w:rPr>
        <w:t xml:space="preserve">temporary </w:t>
      </w:r>
      <w:r>
        <w:rPr>
          <w:rFonts w:ascii="Times New Roman" w:eastAsia="Times New Roman" w:hAnsi="Times New Roman" w:cs="Times New Roman"/>
          <w:sz w:val="20"/>
        </w:rPr>
        <w:t xml:space="preserve">salary and wage reductions averaging 20%, </w:t>
      </w:r>
      <w:r>
        <w:rPr>
          <w:rFonts w:ascii="Times New Roman" w:eastAsia="Times New Roman" w:hAnsi="Times New Roman" w:cs="Times New Roman"/>
          <w:sz w:val="20"/>
        </w:rPr>
        <w:t xml:space="preserve">including </w:t>
      </w:r>
      <w:r>
        <w:rPr>
          <w:rFonts w:ascii="Times New Roman" w:eastAsia="Times New Roman" w:hAnsi="Times New Roman" w:cs="Times New Roman"/>
          <w:sz w:val="20"/>
        </w:rPr>
        <w:t xml:space="preserve">a 21% reduction in base salary for </w:t>
      </w:r>
      <w:r>
        <w:rPr>
          <w:rFonts w:ascii="Times New Roman" w:eastAsia="Times New Roman" w:hAnsi="Times New Roman" w:cs="Times New Roman"/>
          <w:sz w:val="20"/>
        </w:rPr>
        <w:t>our Chief Executive Officer</w:t>
      </w:r>
      <w:r>
        <w:rPr>
          <w:rFonts w:ascii="Times New Roman" w:eastAsia="Times New Roman" w:hAnsi="Times New Roman" w:cs="Times New Roman"/>
          <w:sz w:val="20"/>
        </w:rPr>
        <w:t>,</w:t>
      </w:r>
      <w:r>
        <w:rPr>
          <w:rFonts w:ascii="Times New Roman" w:eastAsia="Times New Roman" w:hAnsi="Times New Roman" w:cs="Times New Roman"/>
          <w:sz w:val="20"/>
        </w:rPr>
        <w:t xml:space="preserve"> Chief Operating Officer</w:t>
      </w:r>
      <w:r>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fees </w:t>
      </w:r>
      <w:r>
        <w:rPr>
          <w:rFonts w:ascii="Times New Roman" w:eastAsia="Times New Roman" w:hAnsi="Times New Roman" w:cs="Times New Roman"/>
          <w:sz w:val="20"/>
        </w:rPr>
        <w:t>for</w:t>
      </w:r>
      <w:r>
        <w:rPr>
          <w:rFonts w:ascii="Times New Roman" w:eastAsia="Times New Roman" w:hAnsi="Times New Roman" w:cs="Times New Roman"/>
          <w:sz w:val="20"/>
        </w:rPr>
        <w:t xml:space="preserve"> our directors</w:t>
      </w:r>
      <w:r>
        <w:rPr>
          <w:rFonts w:ascii="Times New Roman" w:eastAsia="Times New Roman" w:hAnsi="Times New Roman" w:cs="Times New Roman"/>
          <w:sz w:val="20"/>
        </w:rPr>
        <w:t xml:space="preserve">, </w:t>
      </w:r>
      <w:r>
        <w:rPr>
          <w:rFonts w:ascii="Times New Roman" w:eastAsia="Times New Roman" w:hAnsi="Times New Roman" w:cs="Times New Roman"/>
          <w:sz w:val="20"/>
        </w:rPr>
        <w:t>during the entire three months ended June 30, 2020</w:t>
      </w:r>
      <w:r>
        <w:rPr>
          <w:rFonts w:ascii="Times New Roman" w:eastAsia="Times New Roman" w:hAnsi="Times New Roman" w:cs="Times New Roman"/>
          <w:sz w:val="20"/>
        </w:rPr>
        <w:t xml:space="preserve">. We </w:t>
      </w:r>
      <w:r>
        <w:rPr>
          <w:rFonts w:ascii="Times New Roman" w:eastAsia="Times New Roman" w:hAnsi="Times New Roman" w:cs="Times New Roman"/>
          <w:sz w:val="20"/>
        </w:rPr>
        <w:t xml:space="preserve">reduced and shifted our marketing expense and eliminated travel expense for the near term future. </w:t>
      </w:r>
      <w:r>
        <w:rPr>
          <w:rFonts w:ascii="Times New Roman" w:eastAsia="Times New Roman" w:hAnsi="Times New Roman" w:cs="Times New Roman"/>
          <w:sz w:val="20"/>
        </w:rPr>
        <w:t>In March 2020, w</w:t>
      </w:r>
      <w:r>
        <w:rPr>
          <w:rFonts w:ascii="Times New Roman" w:eastAsia="Times New Roman" w:hAnsi="Times New Roman" w:cs="Times New Roman"/>
          <w:sz w:val="20"/>
        </w:rPr>
        <w:t xml:space="preserve">e </w:t>
      </w:r>
      <w:r>
        <w:rPr>
          <w:rFonts w:ascii="Times New Roman" w:eastAsia="Times New Roman" w:hAnsi="Times New Roman" w:cs="Times New Roman"/>
          <w:sz w:val="20"/>
        </w:rPr>
        <w:t>incurred debt by drawing on our secured credit facility and receiving a loan under the U.S. Small Business Association’s Paycheck Protection Program.</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w:t>
      </w:r>
      <w:r>
        <w:rPr>
          <w:rFonts w:ascii="Times New Roman" w:eastAsia="Times New Roman" w:hAnsi="Times New Roman" w:cs="Times New Roman"/>
          <w:sz w:val="20"/>
        </w:rPr>
        <w:t xml:space="preserve">fter </w:t>
      </w:r>
      <w:r>
        <w:rPr>
          <w:rFonts w:ascii="Times New Roman" w:eastAsia="Times New Roman" w:hAnsi="Times New Roman" w:cs="Times New Roman"/>
          <w:sz w:val="20"/>
        </w:rPr>
        <w:t>we were</w:t>
      </w:r>
      <w:r>
        <w:rPr>
          <w:rFonts w:ascii="Times New Roman" w:eastAsia="Times New Roman" w:hAnsi="Times New Roman" w:cs="Times New Roman"/>
          <w:sz w:val="20"/>
        </w:rPr>
        <w:t xml:space="preserve"> able to secure additional capital </w:t>
      </w:r>
      <w:r>
        <w:rPr>
          <w:rFonts w:ascii="Times New Roman" w:eastAsia="Times New Roman" w:hAnsi="Times New Roman" w:cs="Times New Roman"/>
          <w:sz w:val="20"/>
        </w:rPr>
        <w:t>through sales of</w:t>
      </w:r>
      <w:r>
        <w:rPr>
          <w:rFonts w:ascii="Times New Roman" w:eastAsia="Times New Roman" w:hAnsi="Times New Roman" w:cs="Times New Roman"/>
          <w:sz w:val="20"/>
        </w:rPr>
        <w:t xml:space="preserve"> our </w:t>
      </w:r>
      <w:r>
        <w:rPr>
          <w:rFonts w:ascii="Times New Roman" w:eastAsia="Times New Roman" w:hAnsi="Times New Roman" w:cs="Times New Roman"/>
          <w:sz w:val="20"/>
        </w:rPr>
        <w:t>common stock through an</w:t>
      </w:r>
      <w:r>
        <w:rPr>
          <w:rFonts w:ascii="Times New Roman" w:eastAsia="Times New Roman" w:hAnsi="Times New Roman" w:cs="Times New Roman"/>
          <w:sz w:val="20"/>
        </w:rPr>
        <w:t xml:space="preserve"> </w:t>
      </w:r>
      <w:r>
        <w:rPr>
          <w:rFonts w:ascii="Times New Roman" w:eastAsia="Times New Roman" w:hAnsi="Times New Roman" w:cs="Times New Roman"/>
          <w:sz w:val="20"/>
        </w:rPr>
        <w:t>at the market offering</w:t>
      </w:r>
      <w:r>
        <w:rPr>
          <w:rFonts w:ascii="Times New Roman" w:eastAsia="Times New Roman" w:hAnsi="Times New Roman" w:cs="Times New Roman"/>
          <w:sz w:val="20"/>
        </w:rPr>
        <w:t xml:space="preserve"> in June</w:t>
      </w:r>
      <w:r>
        <w:rPr>
          <w:rFonts w:ascii="Times New Roman" w:eastAsia="Times New Roman" w:hAnsi="Times New Roman" w:cs="Times New Roman"/>
          <w:sz w:val="20"/>
        </w:rPr>
        <w:t xml:space="preserve"> 2020, </w:t>
      </w:r>
      <w:r>
        <w:rPr>
          <w:rFonts w:ascii="Times New Roman" w:eastAsia="Times New Roman" w:hAnsi="Times New Roman" w:cs="Times New Roman"/>
          <w:sz w:val="20"/>
        </w:rPr>
        <w:t>t</w:t>
      </w:r>
      <w:r>
        <w:rPr>
          <w:rFonts w:ascii="Times New Roman" w:eastAsia="Times New Roman" w:hAnsi="Times New Roman" w:cs="Times New Roman"/>
          <w:sz w:val="20"/>
        </w:rPr>
        <w:t>he secured credit facility was paid down by June 30, 2020 and the employee salary reductions and hiring restrictions were removed effective July 1,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In an effort to contain COVID-19 or slow its spread, governments around the world have also enacted various measures, including orders to close all businesses not deemed “essential,” isolate residents to their homes or places of residence, and practice social distancing when engaging in essential activities. These measures have impacted the method and timing of certain business meetings and our attendance at industry events.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When COVID-19 is demonstrably contained, we anticipate a rebound in economic activity, depending on the rate, pace, and effectiveness of the containment efforts deployed by various national, state, and local governments; however, the timing and extent of any such rebound is uncertain.</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We will continue to actively monitor the situation and may take further actions altering our business operations that we determine are in the best interests of our employees, customers, partners, suppliers, and stakeholders, or as required by federal, state, or local authorities. It is not clear what the potential effects any such alterations or modifications may have on our business, including the effects on our customers, employees, and prospects, or on our financial results for the remainder of fiscal year 2020 or beyond.</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120" w:after="0" w:line="24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val="0"/>
        <w:numPr>
          <w:ilvl w:val="0"/>
          <w:numId w:val="0"/>
        </w:numPr>
        <w:spacing w:before="0" w:after="0" w:line="248" w:lineRule="auto"/>
        <w:ind w:left="0" w:right="180" w:firstLine="0"/>
        <w:jc w:val="left"/>
        <w:outlineLvl w:val="2"/>
        <w:rPr>
          <w:rFonts w:ascii="Times New Roman" w:eastAsia="Times New Roman" w:hAnsi="Times New Roman" w:cs="Times New Roman"/>
          <w:b/>
          <w:sz w:val="20"/>
        </w:rPr>
      </w:pPr>
      <w:bookmarkStart w:id="23" w:name="Section24"/>
      <w:bookmarkEnd w:id="23"/>
      <w:r>
        <w:rPr>
          <w:rFonts w:ascii="Times New Roman" w:eastAsia="Times New Roman" w:hAnsi="Times New Roman" w:cs="Times New Roman"/>
          <w:b/>
          <w:sz w:val="20"/>
        </w:rPr>
        <w:t>Key Components of Results of Operations</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Overall consolidated results of operations are evaluated based on Revenue, Cost of Revenue, Sales and Marketing expenses, General and Administrative expenses, Depreciation and Amortization, and Other Income (Expense), net.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We historically generated revenue from five primary sources: (1) revenue from our managed services when a marketer (typically a brand, agency or partner) pays us to provide custom content, influencer marketing, amplification or other campaign management services (“Managed Services”); (2) revenue from fees charged to software customers on their marketplace spend within our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(“Marketplace Spend Fees”); (3) revenue from fees charged to access the </w:t>
      </w:r>
      <w:r>
        <w:rPr>
          <w:rFonts w:ascii="Times New Roman" w:eastAsia="Times New Roman" w:hAnsi="Times New Roman" w:cs="Times New Roman"/>
          <w:i/>
          <w:sz w:val="20"/>
        </w:rPr>
        <w:t>IZEAx, Ebyline,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(“License Fees”); (4) revenue from transactions generated by the self-service use of our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for professional custom content workflow (“Legacy Workflow Fees”); and (5) revenue derived from other fees such as inactivity fees, early cash-out fees, and plan fees charged to users of our platforms (“Other</w:t>
      </w:r>
      <w:r>
        <w:rPr>
          <w:rFonts w:ascii="Times New Roman" w:eastAsia="Times New Roman" w:hAnsi="Times New Roman" w:cs="Times New Roman"/>
          <w:sz w:val="20"/>
        </w:rPr>
        <w:t xml:space="preserve"> Fees</w:t>
      </w:r>
      <w:r>
        <w:rPr>
          <w:rFonts w:ascii="Times New Roman" w:eastAsia="Times New Roman" w:hAnsi="Times New Roman" w:cs="Times New Roman"/>
          <w:sz w:val="20"/>
        </w:rPr>
        <w:t xml:space="preserve">”).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there is no longer any revenue generated from Legacy Workflow Fees and all such revenue is reported as Marketplace Spend Fees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As discussed in more detail within “Critical Accounting Policies and Use of Estimates” under “Note 1. Company and Summary of Significant Accounting Policies,” under Part I, Item 1 herein, revenue from Marketplace Spend Fees and Legacy Workflow Fees is reported on a net basis and revenue from all other sources, including Managed Services, License Fees and Other </w:t>
      </w:r>
      <w:r>
        <w:rPr>
          <w:rFonts w:ascii="Times New Roman" w:eastAsia="Times New Roman" w:hAnsi="Times New Roman" w:cs="Times New Roman"/>
          <w:sz w:val="20"/>
        </w:rPr>
        <w:t xml:space="preserve">Fees </w:t>
      </w:r>
      <w:r>
        <w:rPr>
          <w:rFonts w:ascii="Times New Roman" w:eastAsia="Times New Roman" w:hAnsi="Times New Roman" w:cs="Times New Roman"/>
          <w:sz w:val="20"/>
        </w:rPr>
        <w:t xml:space="preserve">are reported on a gross basis. We further categorize these sources into </w:t>
      </w:r>
      <w:r>
        <w:rPr>
          <w:rFonts w:ascii="Times New Roman" w:eastAsia="Times New Roman" w:hAnsi="Times New Roman" w:cs="Times New Roman"/>
          <w:sz w:val="20"/>
        </w:rPr>
        <w:t>two</w:t>
      </w:r>
      <w:r>
        <w:rPr>
          <w:rFonts w:ascii="Times New Roman" w:eastAsia="Times New Roman" w:hAnsi="Times New Roman" w:cs="Times New Roman"/>
          <w:sz w:val="20"/>
        </w:rPr>
        <w:t xml:space="preserve"> primary groups: (1) Managed Services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(2) SaaS Services, which includes revenue from Marketplace Spend Fees, License Fees and Legacy Workflow Fees, and </w:t>
      </w:r>
      <w:r>
        <w:rPr>
          <w:rFonts w:ascii="Times New Roman" w:eastAsia="Times New Roman" w:hAnsi="Times New Roman" w:cs="Times New Roman"/>
          <w:sz w:val="20"/>
        </w:rPr>
        <w:t>Other</w:t>
      </w:r>
      <w:r>
        <w:rPr>
          <w:rFonts w:ascii="Times New Roman" w:eastAsia="Times New Roman" w:hAnsi="Times New Roman" w:cs="Times New Roman"/>
          <w:sz w:val="20"/>
        </w:rPr>
        <w:t xml:space="preserve"> Fees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Cost of Revenue</w:t>
      </w:r>
    </w:p>
    <w:p>
      <w:pPr>
        <w:keepNext w:val="0"/>
        <w:keepLines w:val="0"/>
        <w:pageBreakBefore w:val="0"/>
        <w:widowControl w:val="0"/>
        <w:numPr>
          <w:ilvl w:val="0"/>
          <w:numId w:val="0"/>
        </w:numPr>
        <w:spacing w:before="120" w:after="0" w:line="248" w:lineRule="auto"/>
        <w:ind w:left="0" w:right="27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Our cost of revenue consists of direct costs paid to our third-party creators who provide the custom content, influencer marketing or amplification services for our Managed Service customers where we report revenue on a gross basis. It also includes internal costs related to our campaign fulfillment and SaaS support departments. These costs include salaries, bonuses, commissions, stock</w:t>
      </w:r>
      <w:r>
        <w:rPr>
          <w:rFonts w:ascii="Times New Roman" w:eastAsia="Times New Roman" w:hAnsi="Times New Roman" w:cs="Times New Roman"/>
          <w:sz w:val="20"/>
        </w:rPr>
        <w:t xml:space="preserve">-based compensation, employee benefit costs, and miscellaneous departmental costs related to the personnel who are primarily responsible for providing support to our customers and ultimately fulfillment of our obligations under our contracts with customers. Where appropriate, we capitalize costs that were incurred with software that is developed or acquired for our revenue supporting platforms and amortize these costs over the estimated useful lives of those platforms. This amortization is separately stated under depreciation and amortization in our consolidated statements of operations. </w:t>
      </w:r>
    </w:p>
    <w:p>
      <w:pPr>
        <w:keepNext w:val="0"/>
        <w:keepLines w:val="0"/>
        <w:pageBreakBefore w:val="0"/>
        <w:widowControl w:val="0"/>
        <w:numPr>
          <w:ilvl w:val="0"/>
          <w:numId w:val="0"/>
        </w:numPr>
        <w:spacing w:before="11"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Sales and Marketing</w:t>
      </w:r>
      <w:r>
        <w:rPr>
          <w:rFonts w:ascii="Times New Roman" w:eastAsia="Times New Roman" w:hAnsi="Times New Roman" w:cs="Times New Roman"/>
          <w:sz w:val="20"/>
        </w:rPr>
        <w:t xml:space="preserve"> </w:t>
      </w:r>
    </w:p>
    <w:p>
      <w:pPr>
        <w:keepNext w:val="0"/>
        <w:keepLines w:val="0"/>
        <w:pageBreakBefore w:val="0"/>
        <w:widowControl w:val="0"/>
        <w:numPr>
          <w:ilvl w:val="0"/>
          <w:numId w:val="0"/>
        </w:numPr>
        <w:spacing w:before="120" w:after="0" w:line="248" w:lineRule="auto"/>
        <w:ind w:left="0" w:right="27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Our sales and marketing expenses consist primarily of salaries, bonuses, commissions, stock</w:t>
      </w:r>
      <w:r>
        <w:rPr>
          <w:rFonts w:ascii="Times New Roman" w:eastAsia="Times New Roman" w:hAnsi="Times New Roman" w:cs="Times New Roman"/>
          <w:sz w:val="20"/>
        </w:rPr>
        <w:t xml:space="preserve">-based compensation, employee benefit costs, travel and miscellaneous departmental costs for our </w:t>
      </w:r>
      <w:r>
        <w:rPr>
          <w:rFonts w:ascii="Times New Roman" w:eastAsia="Times New Roman" w:hAnsi="Times New Roman" w:cs="Times New Roman"/>
          <w:sz w:val="20"/>
        </w:rPr>
        <w:t xml:space="preserve">marketing, </w:t>
      </w:r>
      <w:r>
        <w:rPr>
          <w:rFonts w:ascii="Times New Roman" w:eastAsia="Times New Roman" w:hAnsi="Times New Roman" w:cs="Times New Roman"/>
          <w:sz w:val="20"/>
        </w:rPr>
        <w:t xml:space="preserve">sales and sales support personnel, as well as marketing expenses such as brand marketing, public relation events, trade shows and marketing materials, and travel expenses. </w:t>
      </w:r>
    </w:p>
    <w:p>
      <w:pPr>
        <w:keepNext w:val="0"/>
        <w:keepLines w:val="0"/>
        <w:pageBreakBefore w:val="0"/>
        <w:widowControl w:val="0"/>
        <w:numPr>
          <w:ilvl w:val="0"/>
          <w:numId w:val="0"/>
        </w:numPr>
        <w:spacing w:before="11"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General and Administrative</w:t>
      </w:r>
      <w:r>
        <w:rPr>
          <w:rFonts w:ascii="Times New Roman" w:eastAsia="Times New Roman" w:hAnsi="Times New Roman" w:cs="Times New Roman"/>
          <w:b/>
          <w:sz w:val="20"/>
        </w:rPr>
        <w:t xml:space="preserve"> </w:t>
      </w:r>
    </w:p>
    <w:p>
      <w:pPr>
        <w:keepNext w:val="0"/>
        <w:keepLines w:val="0"/>
        <w:pageBreakBefore w:val="0"/>
        <w:widowControl w:val="0"/>
        <w:numPr>
          <w:ilvl w:val="0"/>
          <w:numId w:val="0"/>
        </w:numPr>
        <w:spacing w:before="120" w:after="0" w:line="248" w:lineRule="auto"/>
        <w:ind w:left="0" w:right="27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Our general and administrative expense consists primarily of salaries, bonuses, commissions, stock</w:t>
      </w:r>
      <w:r>
        <w:rPr>
          <w:rFonts w:ascii="Times New Roman" w:eastAsia="Times New Roman" w:hAnsi="Times New Roman" w:cs="Times New Roman"/>
          <w:sz w:val="20"/>
        </w:rPr>
        <w:t>-based compensation, employee benefit costs, and miscellaneous departmental costs related to our executive, finance, legal, human resources, and other administrative personnel. It also includes travel, public company and investor relations expenses, as well as accounting and legal professional services fees, leasehold facilities</w:t>
      </w:r>
      <w:r>
        <w:rPr>
          <w:rFonts w:ascii="Times New Roman" w:eastAsia="Times New Roman" w:hAnsi="Times New Roman" w:cs="Times New Roman"/>
          <w:sz w:val="20"/>
        </w:rPr>
        <w:t>,</w:t>
      </w:r>
      <w:r>
        <w:rPr>
          <w:rFonts w:ascii="Times New Roman" w:eastAsia="Times New Roman" w:hAnsi="Times New Roman" w:cs="Times New Roman"/>
          <w:sz w:val="20"/>
        </w:rPr>
        <w:t>­</w:t>
      </w:r>
      <w:r>
        <w:rPr>
          <w:rFonts w:ascii="Times New Roman" w:eastAsia="Times New Roman" w:hAnsi="Times New Roman" w:cs="Times New Roman"/>
          <w:sz w:val="20"/>
        </w:rPr>
        <w:t>and other corporate</w:t>
      </w:r>
      <w:r>
        <w:rPr>
          <w:rFonts w:ascii="Times New Roman" w:eastAsia="Times New Roman" w:hAnsi="Times New Roman" w:cs="Times New Roman"/>
          <w:sz w:val="20"/>
        </w:rPr>
        <w:t>-</w:t>
      </w:r>
      <w:r>
        <w:rPr>
          <w:rFonts w:ascii="Times New Roman" w:eastAsia="Times New Roman" w:hAnsi="Times New Roman" w:cs="Times New Roman"/>
          <w:sz w:val="20"/>
        </w:rPr>
        <w:t>related expenses. General and administrative expense also includes our technology and development costs consisting primarily of our payroll costs for our internal engineers and contractors responsible for developing, maintaining and improving our technology, as well as hosting and software subscription costs. These costs are expensed as incurred, except to the extent that they are associated with internal use software that qualifies for capitalization, which are then recorded as software development costs in the consolidated balance sheet. We also capitalize costs that are related to our acquired intangible assets. Depreciation and amortization related to these costs are separately stated under depreciation and amortization in our consolidated statements of operations. General and administrative expense also includes current period gains and losses on costs previously accrued related to our acquisitions, as well as gains and losses from the sale of fixed assets. Impairments on fixed assets, intangible assets and goodwill, are included as part of general and administrative expense when they are not material and broken out separately in our consolidated statements of operations</w:t>
      </w:r>
      <w:r>
        <w:rPr>
          <w:rFonts w:ascii="Times New Roman" w:eastAsia="Times New Roman" w:hAnsi="Times New Roman" w:cs="Times New Roman"/>
          <w:sz w:val="20"/>
        </w:rPr>
        <w:t xml:space="preserve"> when they are material</w:t>
      </w:r>
      <w:r>
        <w:rPr>
          <w:rFonts w:ascii="Times New Roman" w:eastAsia="Times New Roman" w:hAnsi="Times New Roman" w:cs="Times New Roman"/>
          <w:sz w:val="20"/>
        </w:rPr>
        <w:t>.</w:t>
      </w: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Depreciation and Amortization </w:t>
      </w:r>
    </w:p>
    <w:p>
      <w:pPr>
        <w:keepNext w:val="0"/>
        <w:keepLines w:val="0"/>
        <w:pageBreakBefore w:val="0"/>
        <w:widowControl w:val="0"/>
        <w:numPr>
          <w:ilvl w:val="0"/>
          <w:numId w:val="0"/>
        </w:numPr>
        <w:spacing w:before="120" w:after="0" w:line="248" w:lineRule="auto"/>
        <w:ind w:left="0" w:right="27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Depreciation and amortization expense consists primarily of amortization of our internal use software and acquired intangible assets from our business acquisitions. To a lesser extent, we also have depreciation and amortization on equipment and leasehold improvements used by our personnel. Costs are amortized or depreciated over the estimated useful lives of the associated assets.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Income (Expense)</w:t>
      </w:r>
    </w:p>
    <w:p>
      <w:pPr>
        <w:keepNext w:val="0"/>
        <w:keepLines w:val="0"/>
        <w:pageBreakBefore w:val="0"/>
        <w:widowControl w:val="0"/>
        <w:numPr>
          <w:ilvl w:val="0"/>
          <w:numId w:val="0"/>
        </w:numPr>
        <w:spacing w:before="120" w:after="0" w:line="248" w:lineRule="auto"/>
        <w:ind w:left="0" w:right="315" w:firstLine="72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Interest Expense. </w:t>
      </w:r>
      <w:r>
        <w:rPr>
          <w:rFonts w:ascii="Times New Roman" w:eastAsia="Times New Roman" w:hAnsi="Times New Roman" w:cs="Times New Roman"/>
          <w:sz w:val="20"/>
        </w:rPr>
        <w:t xml:space="preserve">Interest expense is mainly related to the imputed interest on our acquisition costs payable and interest when we use our secured credit facility. </w:t>
      </w:r>
    </w:p>
    <w:p>
      <w:pPr>
        <w:keepNext w:val="0"/>
        <w:keepLines w:val="0"/>
        <w:pageBreakBefore w:val="0"/>
        <w:widowControl w:val="0"/>
        <w:numPr>
          <w:ilvl w:val="0"/>
          <w:numId w:val="0"/>
        </w:numPr>
        <w:spacing w:before="11"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ab/>
      </w:r>
    </w:p>
    <w:p>
      <w:pPr>
        <w:keepNext w:val="0"/>
        <w:keepLines w:val="0"/>
        <w:pageBreakBefore w:val="0"/>
        <w:widowControl w:val="0"/>
        <w:numPr>
          <w:ilvl w:val="0"/>
          <w:numId w:val="0"/>
        </w:numPr>
        <w:spacing w:before="11"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ab/>
      </w:r>
      <w:r>
        <w:rPr>
          <w:rFonts w:ascii="Times New Roman" w:eastAsia="Times New Roman" w:hAnsi="Times New Roman" w:cs="Times New Roman"/>
          <w:i/>
          <w:sz w:val="20"/>
        </w:rPr>
        <w:t xml:space="preserve">Other Income (Expense). </w:t>
      </w:r>
      <w:r>
        <w:rPr>
          <w:rFonts w:ascii="Times New Roman" w:eastAsia="Times New Roman" w:hAnsi="Times New Roman" w:cs="Times New Roman"/>
          <w:sz w:val="20"/>
        </w:rPr>
        <w:t xml:space="preserve">Other income </w:t>
      </w:r>
      <w:r>
        <w:rPr>
          <w:rFonts w:ascii="Times New Roman" w:eastAsia="Times New Roman" w:hAnsi="Times New Roman" w:cs="Times New Roman"/>
          <w:sz w:val="20"/>
        </w:rPr>
        <w:t xml:space="preserve">(expense) </w:t>
      </w:r>
      <w:r>
        <w:rPr>
          <w:rFonts w:ascii="Times New Roman" w:eastAsia="Times New Roman" w:hAnsi="Times New Roman" w:cs="Times New Roman"/>
          <w:sz w:val="20"/>
        </w:rPr>
        <w:t xml:space="preserve">consists primarily of interest income for interest earned or changes in </w:t>
      </w:r>
      <w:r>
        <w:rPr>
          <w:rFonts w:ascii="Times New Roman" w:eastAsia="Times New Roman" w:hAnsi="Times New Roman" w:cs="Times New Roman"/>
          <w:sz w:val="20"/>
        </w:rPr>
        <w:t xml:space="preserve">the </w:t>
      </w:r>
      <w:r>
        <w:rPr>
          <w:rFonts w:ascii="Times New Roman" w:eastAsia="Times New Roman" w:hAnsi="Times New Roman" w:cs="Times New Roman"/>
          <w:sz w:val="20"/>
        </w:rPr>
        <w:t>value</w:t>
      </w:r>
      <w:r>
        <w:rPr>
          <w:rFonts w:ascii="Times New Roman" w:eastAsia="Times New Roman" w:hAnsi="Times New Roman" w:cs="Times New Roman"/>
          <w:sz w:val="20"/>
        </w:rPr>
        <w:t xml:space="preserve"> o</w:t>
      </w:r>
      <w:r>
        <w:rPr>
          <w:rFonts w:ascii="Times New Roman" w:eastAsia="Times New Roman" w:hAnsi="Times New Roman" w:cs="Times New Roman"/>
          <w:sz w:val="20"/>
        </w:rPr>
        <w:t>f</w:t>
      </w:r>
      <w:r>
        <w:rPr>
          <w:rFonts w:ascii="Times New Roman" w:eastAsia="Times New Roman" w:hAnsi="Times New Roman" w:cs="Times New Roman"/>
          <w:sz w:val="20"/>
        </w:rPr>
        <w:t xml:space="preserve"> our </w:t>
      </w:r>
      <w:r>
        <w:rPr>
          <w:rFonts w:ascii="Times New Roman" w:eastAsia="Times New Roman" w:hAnsi="Times New Roman" w:cs="Times New Roman"/>
          <w:sz w:val="20"/>
        </w:rPr>
        <w:t>fo</w:t>
      </w:r>
      <w:r>
        <w:rPr>
          <w:rFonts w:ascii="Times New Roman" w:eastAsia="Times New Roman" w:hAnsi="Times New Roman" w:cs="Times New Roman"/>
          <w:sz w:val="20"/>
        </w:rPr>
        <w:t>reign</w:t>
      </w:r>
      <w:r>
        <w:rPr>
          <w:rFonts w:ascii="Times New Roman" w:eastAsia="Times New Roman" w:hAnsi="Times New Roman" w:cs="Times New Roman"/>
          <w:sz w:val="20"/>
        </w:rPr>
        <w:t xml:space="preserve"> </w:t>
      </w:r>
      <w:r>
        <w:rPr>
          <w:rFonts w:ascii="Times New Roman" w:eastAsia="Times New Roman" w:hAnsi="Times New Roman" w:cs="Times New Roman"/>
          <w:sz w:val="20"/>
        </w:rPr>
        <w:t>assets and liabilities</w:t>
      </w:r>
      <w:r>
        <w:rPr>
          <w:rFonts w:ascii="Times New Roman" w:eastAsia="Times New Roman" w:hAnsi="Times New Roman" w:cs="Times New Roman"/>
          <w:sz w:val="20"/>
        </w:rPr>
        <w:t xml:space="preserve"> and foreign currency exchange gains and losses on foreign currency transactions, primarily related to the Canadian Dollar.</w:t>
      </w:r>
    </w:p>
    <w:p>
      <w:pPr>
        <w:keepNext w:val="0"/>
        <w:keepLines w:val="0"/>
        <w:pageBreakBefore w:val="0"/>
        <w:widowControl w:val="0"/>
        <w:numPr>
          <w:ilvl w:val="0"/>
          <w:numId w:val="0"/>
        </w:numPr>
        <w:spacing w:before="11"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bookmarkStart w:id="24" w:name="Section25"/>
      <w:bookmarkEnd w:id="24"/>
      <w:r>
        <w:rPr>
          <w:rFonts w:ascii="Times New Roman" w:eastAsia="Times New Roman" w:hAnsi="Times New Roman" w:cs="Times New Roman"/>
          <w:b/>
          <w:sz w:val="20"/>
        </w:rPr>
        <w:t xml:space="preserve">Results of Operations for the </w:t>
      </w:r>
      <w:r>
        <w:rPr>
          <w:rFonts w:ascii="Times New Roman" w:eastAsia="Times New Roman" w:hAnsi="Times New Roman" w:cs="Times New Roman"/>
          <w:b/>
          <w:sz w:val="20"/>
        </w:rPr>
        <w:t>Three Months Ended</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June 30, 2020</w:t>
      </w:r>
      <w:r>
        <w:rPr>
          <w:rFonts w:ascii="Times New Roman" w:eastAsia="Times New Roman" w:hAnsi="Times New Roman" w:cs="Times New Roman"/>
          <w:b/>
          <w:sz w:val="20"/>
        </w:rPr>
        <w:t xml:space="preserve"> and </w:t>
      </w:r>
      <w:r>
        <w:rPr>
          <w:rFonts w:ascii="Times New Roman" w:eastAsia="Times New Roman" w:hAnsi="Times New Roman" w:cs="Times New Roman"/>
          <w:b/>
          <w:sz w:val="20"/>
        </w:rPr>
        <w:t>2019</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The following table sets forth a summary of our consolidated statements of operations and the change between the periods:</w:t>
      </w:r>
    </w:p>
    <w:tbl>
      <w:tblPr>
        <w:tblW w:w="102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80"/>
        <w:gridCol w:w="160"/>
        <w:gridCol w:w="1045"/>
        <w:gridCol w:w="100"/>
        <w:gridCol w:w="75"/>
        <w:gridCol w:w="160"/>
        <w:gridCol w:w="1045"/>
        <w:gridCol w:w="100"/>
        <w:gridCol w:w="75"/>
        <w:gridCol w:w="160"/>
        <w:gridCol w:w="940"/>
        <w:gridCol w:w="100"/>
        <w:gridCol w:w="905"/>
        <w:gridCol w:w="100"/>
      </w:tblGrid>
      <w:tr>
        <w:tblPrEx>
          <w:tblW w:w="102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trPr>
        <w:tc>
          <w:tcPr>
            <w:tcW w:w="52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Three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05" w:type="dxa"/>
            <w:gridSpan w:val="5"/>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45" w:type="dxa"/>
          <w:tblInd w:w="0" w:type="dxa"/>
          <w:tblCellMar>
            <w:left w:w="108" w:type="dxa"/>
            <w:right w:w="108" w:type="dxa"/>
          </w:tblCellMar>
        </w:tblPrEx>
        <w:trPr>
          <w:cantSplit/>
          <w:trHeight w:hRule="exact" w:val="300"/>
        </w:trPr>
        <w:tc>
          <w:tcPr>
            <w:tcW w:w="52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 Change</w:t>
            </w:r>
          </w:p>
        </w:tc>
      </w:tr>
      <w:tr>
        <w:tblPrEx>
          <w:tblW w:w="10245" w:type="dxa"/>
          <w:tblInd w:w="0" w:type="dxa"/>
          <w:tblCellMar>
            <w:left w:w="108" w:type="dxa"/>
            <w:right w:w="108" w:type="dxa"/>
          </w:tblCellMar>
        </w:tblPrEx>
        <w:trPr>
          <w:cantSplit/>
          <w:trHeight w:hRule="exact" w:val="285"/>
        </w:trPr>
        <w:tc>
          <w:tcPr>
            <w:tcW w:w="528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3,135,039 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3,923,864 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(788,825)</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(20)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180"/>
        </w:trPr>
        <w:tc>
          <w:tcPr>
            <w:tcW w:w="52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Costs and expenses:</w:t>
            </w:r>
          </w:p>
        </w:tc>
        <w:tc>
          <w:tcPr>
            <w:tcW w:w="130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45" w:type="dxa"/>
          <w:tblInd w:w="0" w:type="dxa"/>
          <w:tblCellMar>
            <w:left w:w="108" w:type="dxa"/>
            <w:right w:w="108" w:type="dxa"/>
          </w:tblCellMar>
        </w:tblPrEx>
        <w:trPr>
          <w:cantSplit/>
          <w:trHeight w:hRule="exact" w:val="300"/>
        </w:trPr>
        <w:tc>
          <w:tcPr>
            <w:tcW w:w="528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 xml:space="preserve">Cost of revenue (exclusive of amortization) </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1,414,249 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1,817,659 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(403,410)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Sales and marketing</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1,228,691 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1,362,242 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(133,551)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General and administrative</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1,920,492 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2,232,305 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(311,813)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Depreciation and amortization</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377,107 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448,105 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(70,998)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00" w:lineRule="auto"/>
              <w:ind w:left="720"/>
              <w:jc w:val="left"/>
            </w:pPr>
            <w:r>
              <w:rPr>
                <w:rFonts w:ascii="Times New Roman" w:eastAsia="Times New Roman" w:hAnsi="Times New Roman" w:cs="Times New Roman"/>
                <w:color w:val="000000"/>
                <w:sz w:val="20"/>
              </w:rPr>
              <w:t>Total costs and expenses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4,940,539 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5,860,311 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(919,772)</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(16)</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Loss from operations</w:t>
            </w: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(1,805,500)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(1,936,447)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130,947 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(7)</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Other income (expense):</w:t>
            </w:r>
          </w:p>
        </w:tc>
        <w:tc>
          <w:tcPr>
            <w:tcW w:w="130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Interest expense</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(19,476)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(86,737)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67,261 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Other income, net</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33,834 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30,798 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3,036 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720"/>
              <w:jc w:val="left"/>
            </w:pPr>
            <w:r>
              <w:rPr>
                <w:rFonts w:ascii="Times New Roman" w:eastAsia="Times New Roman" w:hAnsi="Times New Roman" w:cs="Times New Roman"/>
                <w:color w:val="000000"/>
                <w:sz w:val="20"/>
              </w:rPr>
              <w:t>Total other income (expense), net</w:t>
            </w: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14,358 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(55,939)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70,297 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(126)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300"/>
        </w:trPr>
        <w:tc>
          <w:tcPr>
            <w:tcW w:w="5280" w:type="dxa"/>
            <w:tcBorders>
              <w:top w:val="single" w:sz="8" w:space="0" w:color="000000"/>
              <w:left w:val="nil"/>
              <w:bottom w:val="double" w:sz="8" w:space="0" w:color="000000"/>
              <w:right w:val="nil"/>
            </w:tcBorders>
            <w:shd w:val="clear" w:color="auto" w:fill="FFFFFF"/>
            <w:tcMar>
              <w:top w:w="0" w:type="dxa"/>
              <w:left w:w="53" w:type="dxa"/>
              <w:bottom w:w="0" w:type="dxa"/>
              <w:right w:w="15"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Net loss</w:t>
            </w: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(1,791,142)</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04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(1,992,386)</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201,244 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left"/>
            </w:pPr>
          </w:p>
        </w:tc>
        <w:tc>
          <w:tcPr>
            <w:tcW w:w="905"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(10)</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20" w:after="10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The following table illustrates our revenue by type, the percentage of total revenue by type, and the change between the periods:</w:t>
      </w:r>
    </w:p>
    <w:tbl>
      <w:tblPr>
        <w:tblW w:w="102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0"/>
        <w:gridCol w:w="160"/>
        <w:gridCol w:w="1135"/>
        <w:gridCol w:w="100"/>
        <w:gridCol w:w="560"/>
        <w:gridCol w:w="100"/>
        <w:gridCol w:w="75"/>
        <w:gridCol w:w="160"/>
        <w:gridCol w:w="1135"/>
        <w:gridCol w:w="100"/>
        <w:gridCol w:w="500"/>
        <w:gridCol w:w="100"/>
        <w:gridCol w:w="75"/>
        <w:gridCol w:w="160"/>
        <w:gridCol w:w="1135"/>
        <w:gridCol w:w="100"/>
        <w:gridCol w:w="905"/>
        <w:gridCol w:w="100"/>
      </w:tblGrid>
      <w:tr>
        <w:tblPrEx>
          <w:tblW w:w="102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6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125" w:type="dxa"/>
            <w:gridSpan w:val="11"/>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Three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00"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55" w:type="dxa"/>
            <w:gridSpan w:val="5"/>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gridSpan w:val="5"/>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 Change</w:t>
            </w:r>
          </w:p>
        </w:tc>
      </w:tr>
      <w:tr>
        <w:tblPrEx>
          <w:tblW w:w="10200" w:type="dxa"/>
          <w:jc w:val="left"/>
          <w:tblInd w:w="0" w:type="dxa"/>
          <w:tblCellMar>
            <w:left w:w="108" w:type="dxa"/>
            <w:right w:w="108" w:type="dxa"/>
          </w:tblCellMar>
        </w:tblPrEx>
        <w:trPr>
          <w:cantSplit/>
          <w:trHeight w:hRule="exact" w:val="300"/>
          <w:jc w:val="left"/>
        </w:trPr>
        <w:tc>
          <w:tcPr>
            <w:tcW w:w="360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Managed Services Revenue</w:t>
            </w: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2,490,343 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80 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right"/>
            </w:pP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2,991,571 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76 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(501,228)</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(17)</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195"/>
          <w:jc w:val="left"/>
        </w:trPr>
        <w:tc>
          <w:tcPr>
            <w:tcW w:w="3600"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660" w:type="dxa"/>
            <w:gridSpan w:val="2"/>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395" w:type="dxa"/>
            <w:gridSpan w:val="3"/>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600" w:type="dxa"/>
            <w:gridSpan w:val="2"/>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00"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Legacy Workflow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righ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44,291 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(44,291)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Marketplace Spend Fees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195,894 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righ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314,638 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(118,744)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License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408,728 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right"/>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548,494 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(139,766)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Other Fees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40,074 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24,870 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15,204 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300"/>
          <w:jc w:val="left"/>
        </w:trPr>
        <w:tc>
          <w:tcPr>
            <w:tcW w:w="360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SaaS Services Revenue</w:t>
            </w: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644,696 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20 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932,293 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24 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(287,597)</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195"/>
          <w:jc w:val="left"/>
        </w:trPr>
        <w:tc>
          <w:tcPr>
            <w:tcW w:w="36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6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00" w:type="dxa"/>
          <w:jc w:val="left"/>
          <w:tblInd w:w="0" w:type="dxa"/>
          <w:tblCellMar>
            <w:left w:w="108" w:type="dxa"/>
            <w:right w:w="108" w:type="dxa"/>
          </w:tblCellMar>
        </w:tblPrEx>
        <w:trPr>
          <w:cantSplit/>
          <w:trHeight w:hRule="exact" w:val="405"/>
          <w:jc w:val="left"/>
        </w:trPr>
        <w:tc>
          <w:tcPr>
            <w:tcW w:w="360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00" w:lineRule="auto"/>
              <w:ind w:left="360"/>
              <w:jc w:val="left"/>
            </w:pPr>
            <w:r>
              <w:rPr>
                <w:rFonts w:ascii="Times New Roman" w:eastAsia="Times New Roman" w:hAnsi="Times New Roman" w:cs="Times New Roman"/>
                <w:b/>
                <w:color w:val="000000"/>
                <w:sz w:val="20"/>
              </w:rPr>
              <w:t>Total Revenue</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3,135,039 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c>
          <w:tcPr>
            <w:tcW w:w="5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100 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3,923,864 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c>
          <w:tcPr>
            <w:tcW w:w="50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100 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(788,825)</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c>
          <w:tcPr>
            <w:tcW w:w="905"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(20)</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Historically, we have invested the majority of our time and resources in our Managed Services business, which provides the majority of our revenue. Our acquisitions of Ebyline and ZenContent allowed us to expand our product offerings to provide custom content in addition to and in combination with our influencer marketing campaigns to expand our Managed Services. Our July 2018 merger with TapInfluence expanded our SaaS Services and provided the ability to increase revenue derived from Marketplace Spend Fees and License Fees.</w:t>
      </w:r>
      <w:r>
        <w:rPr>
          <w:rFonts w:ascii="Times New Roman" w:eastAsia="Times New Roman" w:hAnsi="Times New Roman" w:cs="Times New Roman"/>
          <w:sz w:val="20"/>
        </w:rPr>
        <w:tab/>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i/>
          <w:sz w:val="20"/>
        </w:rPr>
        <w:t>Managed Services</w:t>
      </w:r>
      <w:r>
        <w:rPr>
          <w:rFonts w:ascii="Times New Roman" w:eastAsia="Times New Roman" w:hAnsi="Times New Roman" w:cs="Times New Roman"/>
          <w:sz w:val="20"/>
        </w:rPr>
        <w:t xml:space="preserve"> is generated when a marketer (typically a brand, agency or partner) pays us to provide custom content, influencer marketing, amplification or other campaign management services. Managed Services revenue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w:t>
      </w:r>
      <w:r>
        <w:rPr>
          <w:rFonts w:ascii="Times New Roman" w:eastAsia="Times New Roman" w:hAnsi="Times New Roman" w:cs="Times New Roman"/>
          <w:sz w:val="20"/>
        </w:rPr>
        <w:t xml:space="preserve">creased </w:t>
      </w:r>
      <w:r>
        <w:rPr>
          <w:rFonts w:ascii="Times New Roman" w:eastAsia="Times New Roman" w:hAnsi="Times New Roman" w:cs="Times New Roman"/>
          <w:sz w:val="20"/>
        </w:rPr>
        <w:t>17%</w:t>
      </w:r>
      <w:r>
        <w:rPr>
          <w:rFonts w:ascii="Times New Roman" w:eastAsia="Times New Roman" w:hAnsi="Times New Roman" w:cs="Times New Roman"/>
          <w:sz w:val="20"/>
        </w:rPr>
        <w:t xml:space="preserve"> from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primarily due to m</w:t>
      </w:r>
      <w:r>
        <w:rPr>
          <w:rFonts w:ascii="Times New Roman" w:eastAsia="Times New Roman" w:hAnsi="Times New Roman" w:cs="Times New Roman"/>
          <w:sz w:val="20"/>
        </w:rPr>
        <w:t xml:space="preserve">arketers </w:t>
      </w:r>
      <w:r>
        <w:rPr>
          <w:rFonts w:ascii="Times New Roman" w:eastAsia="Times New Roman" w:hAnsi="Times New Roman" w:cs="Times New Roman"/>
          <w:sz w:val="20"/>
        </w:rPr>
        <w:t>cance</w:t>
      </w:r>
      <w:r>
        <w:rPr>
          <w:rFonts w:ascii="Times New Roman" w:eastAsia="Times New Roman" w:hAnsi="Times New Roman" w:cs="Times New Roman"/>
          <w:sz w:val="20"/>
        </w:rPr>
        <w:t xml:space="preserve">ling or </w:t>
      </w:r>
      <w:r>
        <w:rPr>
          <w:rFonts w:ascii="Times New Roman" w:eastAsia="Times New Roman" w:hAnsi="Times New Roman" w:cs="Times New Roman"/>
          <w:sz w:val="20"/>
        </w:rPr>
        <w:t xml:space="preserve">pausing </w:t>
      </w:r>
      <w:r>
        <w:rPr>
          <w:rFonts w:ascii="Times New Roman" w:eastAsia="Times New Roman" w:hAnsi="Times New Roman" w:cs="Times New Roman"/>
          <w:sz w:val="20"/>
        </w:rPr>
        <w:t>planned advertis</w:t>
      </w:r>
      <w:r>
        <w:rPr>
          <w:rFonts w:ascii="Times New Roman" w:eastAsia="Times New Roman" w:hAnsi="Times New Roman" w:cs="Times New Roman"/>
          <w:sz w:val="20"/>
        </w:rPr>
        <w:t>ing</w:t>
      </w:r>
      <w:r>
        <w:rPr>
          <w:rFonts w:ascii="Times New Roman" w:eastAsia="Times New Roman" w:hAnsi="Times New Roman" w:cs="Times New Roman"/>
          <w:sz w:val="20"/>
        </w:rPr>
        <w:t xml:space="preserve"> campaigns in the second q</w:t>
      </w:r>
      <w:r>
        <w:rPr>
          <w:rFonts w:ascii="Times New Roman" w:eastAsia="Times New Roman" w:hAnsi="Times New Roman" w:cs="Times New Roman"/>
          <w:sz w:val="20"/>
        </w:rPr>
        <w:t xml:space="preserve">uarter of 2020 as a result of </w:t>
      </w:r>
      <w:r>
        <w:rPr>
          <w:rFonts w:ascii="Times New Roman" w:eastAsia="Times New Roman" w:hAnsi="Times New Roman" w:cs="Times New Roman"/>
          <w:sz w:val="20"/>
        </w:rPr>
        <w:t>uncertainty or inability to offer their prod</w:t>
      </w:r>
      <w:r>
        <w:rPr>
          <w:rFonts w:ascii="Times New Roman" w:eastAsia="Times New Roman" w:hAnsi="Times New Roman" w:cs="Times New Roman"/>
          <w:sz w:val="20"/>
        </w:rPr>
        <w:t>uc</w:t>
      </w:r>
      <w:r>
        <w:rPr>
          <w:rFonts w:ascii="Times New Roman" w:eastAsia="Times New Roman" w:hAnsi="Times New Roman" w:cs="Times New Roman"/>
          <w:sz w:val="20"/>
        </w:rPr>
        <w:t>ts for sale</w:t>
      </w:r>
      <w:r>
        <w:rPr>
          <w:rFonts w:ascii="Times New Roman" w:eastAsia="Times New Roman" w:hAnsi="Times New Roman" w:cs="Times New Roman"/>
          <w:sz w:val="20"/>
        </w:rPr>
        <w:t xml:space="preserve"> </w:t>
      </w:r>
      <w:r>
        <w:rPr>
          <w:rFonts w:ascii="Times New Roman" w:eastAsia="Times New Roman" w:hAnsi="Times New Roman" w:cs="Times New Roman"/>
          <w:sz w:val="20"/>
        </w:rPr>
        <w:t>as a result of</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business </w:t>
      </w:r>
      <w:r>
        <w:rPr>
          <w:rFonts w:ascii="Times New Roman" w:eastAsia="Times New Roman" w:hAnsi="Times New Roman" w:cs="Times New Roman"/>
          <w:sz w:val="20"/>
        </w:rPr>
        <w:t>shutdowns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due to </w:t>
      </w:r>
      <w:r>
        <w:rPr>
          <w:rFonts w:ascii="Times New Roman" w:eastAsia="Times New Roman" w:hAnsi="Times New Roman" w:cs="Times New Roman"/>
          <w:sz w:val="20"/>
        </w:rPr>
        <w:t>COVID-19</w:t>
      </w:r>
      <w:r>
        <w:rPr>
          <w:rFonts w:ascii="Times New Roman" w:eastAsia="Times New Roman" w:hAnsi="Times New Roman" w:cs="Times New Roman"/>
          <w:sz w:val="20"/>
        </w:rPr>
        <w:t xml:space="preserve"> or</w:t>
      </w:r>
      <w:r>
        <w:rPr>
          <w:rFonts w:ascii="Times New Roman" w:eastAsia="Times New Roman" w:hAnsi="Times New Roman" w:cs="Times New Roman"/>
          <w:sz w:val="20"/>
        </w:rPr>
        <w:t xml:space="preserve"> in light of</w:t>
      </w:r>
      <w:r>
        <w:rPr>
          <w:rFonts w:ascii="Times New Roman" w:eastAsia="Times New Roman" w:hAnsi="Times New Roman" w:cs="Times New Roman"/>
          <w:sz w:val="20"/>
        </w:rPr>
        <w:t xml:space="preserve"> civil </w:t>
      </w:r>
      <w:r>
        <w:rPr>
          <w:rFonts w:ascii="Times New Roman" w:eastAsia="Times New Roman" w:hAnsi="Times New Roman" w:cs="Times New Roman"/>
          <w:sz w:val="20"/>
        </w:rPr>
        <w:t xml:space="preserve">unrest. Although we </w:t>
      </w:r>
      <w:r>
        <w:rPr>
          <w:rFonts w:ascii="Times New Roman" w:eastAsia="Times New Roman" w:hAnsi="Times New Roman" w:cs="Times New Roman"/>
          <w:sz w:val="20"/>
        </w:rPr>
        <w:t xml:space="preserve">saw a decrease in revenue during the quarter, </w:t>
      </w:r>
      <w:r>
        <w:rPr>
          <w:rFonts w:ascii="Times New Roman" w:eastAsia="Times New Roman" w:hAnsi="Times New Roman" w:cs="Times New Roman"/>
          <w:sz w:val="20"/>
        </w:rPr>
        <w:t>bookings</w:t>
      </w:r>
      <w:r>
        <w:rPr>
          <w:rFonts w:ascii="Times New Roman" w:eastAsia="Times New Roman" w:hAnsi="Times New Roman" w:cs="Times New Roman"/>
          <w:sz w:val="20"/>
        </w:rPr>
        <w:t xml:space="preserve">, </w:t>
      </w:r>
      <w:r>
        <w:rPr>
          <w:rFonts w:ascii="Times New Roman" w:eastAsia="Times New Roman" w:hAnsi="Times New Roman" w:cs="Times New Roman"/>
          <w:sz w:val="20"/>
        </w:rPr>
        <w:t>or</w:t>
      </w:r>
      <w:r>
        <w:rPr>
          <w:rFonts w:ascii="Times New Roman" w:eastAsia="Times New Roman" w:hAnsi="Times New Roman" w:cs="Times New Roman"/>
          <w:sz w:val="20"/>
        </w:rPr>
        <w:t xml:space="preserve"> </w:t>
      </w:r>
      <w:r>
        <w:rPr>
          <w:rFonts w:ascii="Times New Roman" w:eastAsia="Times New Roman" w:hAnsi="Times New Roman" w:cs="Times New Roman"/>
          <w:sz w:val="20"/>
        </w:rPr>
        <w:t>sales orders</w:t>
      </w:r>
      <w:r>
        <w:rPr>
          <w:rFonts w:ascii="Times New Roman" w:eastAsia="Times New Roman" w:hAnsi="Times New Roman" w:cs="Times New Roman"/>
          <w:sz w:val="20"/>
        </w:rPr>
        <w:t>,</w:t>
      </w:r>
      <w:r>
        <w:rPr>
          <w:rFonts w:ascii="Times New Roman" w:eastAsia="Times New Roman" w:hAnsi="Times New Roman" w:cs="Times New Roman"/>
          <w:sz w:val="20"/>
        </w:rPr>
        <w:t xml:space="preserve"> for our Manage</w:t>
      </w:r>
      <w:r>
        <w:rPr>
          <w:rFonts w:ascii="Times New Roman" w:eastAsia="Times New Roman" w:hAnsi="Times New Roman" w:cs="Times New Roman"/>
          <w:sz w:val="20"/>
        </w:rPr>
        <w:t xml:space="preserve">d Services </w:t>
      </w:r>
      <w:r>
        <w:rPr>
          <w:rFonts w:ascii="Times New Roman" w:eastAsia="Times New Roman" w:hAnsi="Times New Roman" w:cs="Times New Roman"/>
          <w:sz w:val="20"/>
        </w:rPr>
        <w:t xml:space="preserve">increased </w:t>
      </w:r>
      <w:r>
        <w:rPr>
          <w:rFonts w:ascii="Times New Roman" w:eastAsia="Times New Roman" w:hAnsi="Times New Roman" w:cs="Times New Roman"/>
          <w:sz w:val="20"/>
        </w:rPr>
        <w:t xml:space="preserve">by 50% </w:t>
      </w:r>
      <w:r>
        <w:rPr>
          <w:rFonts w:ascii="Times New Roman" w:eastAsia="Times New Roman" w:hAnsi="Times New Roman" w:cs="Times New Roman"/>
          <w:sz w:val="20"/>
        </w:rPr>
        <w:t>from $</w:t>
      </w:r>
      <w:r>
        <w:rPr>
          <w:rFonts w:ascii="Times New Roman" w:eastAsia="Times New Roman" w:hAnsi="Times New Roman" w:cs="Times New Roman"/>
          <w:sz w:val="20"/>
        </w:rPr>
        <w:t>2</w:t>
      </w:r>
      <w:r>
        <w:rPr>
          <w:rFonts w:ascii="Times New Roman" w:eastAsia="Times New Roman" w:hAnsi="Times New Roman" w:cs="Times New Roman"/>
          <w:sz w:val="20"/>
        </w:rPr>
        <w:t xml:space="preserve">.64 million in </w:t>
      </w: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in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2019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 $3.96 </w:t>
      </w:r>
      <w:r>
        <w:rPr>
          <w:rFonts w:ascii="Times New Roman" w:eastAsia="Times New Roman" w:hAnsi="Times New Roman" w:cs="Times New Roman"/>
          <w:sz w:val="20"/>
        </w:rPr>
        <w:t xml:space="preserve">million </w:t>
      </w:r>
      <w:r>
        <w:rPr>
          <w:rFonts w:ascii="Times New Roman" w:eastAsia="Times New Roman" w:hAnsi="Times New Roman" w:cs="Times New Roman"/>
          <w:sz w:val="20"/>
        </w:rPr>
        <w:t>in</w:t>
      </w:r>
      <w:r>
        <w:rPr>
          <w:rFonts w:ascii="Times New Roman" w:eastAsia="Times New Roman" w:hAnsi="Times New Roman" w:cs="Times New Roman"/>
          <w:sz w:val="20"/>
        </w:rPr>
        <w:t xml:space="preserve">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as market</w:t>
      </w:r>
      <w:r>
        <w:rPr>
          <w:rFonts w:ascii="Times New Roman" w:eastAsia="Times New Roman" w:hAnsi="Times New Roman" w:cs="Times New Roman"/>
          <w:sz w:val="20"/>
        </w:rPr>
        <w:t xml:space="preserve">ers </w:t>
      </w:r>
      <w:r>
        <w:rPr>
          <w:rFonts w:ascii="Times New Roman" w:eastAsia="Times New Roman" w:hAnsi="Times New Roman" w:cs="Times New Roman"/>
          <w:sz w:val="20"/>
        </w:rPr>
        <w:t xml:space="preserve">who are </w:t>
      </w:r>
      <w:r>
        <w:rPr>
          <w:rFonts w:ascii="Times New Roman" w:eastAsia="Times New Roman" w:hAnsi="Times New Roman" w:cs="Times New Roman"/>
          <w:sz w:val="20"/>
        </w:rPr>
        <w:t xml:space="preserve">still </w:t>
      </w:r>
      <w:r>
        <w:rPr>
          <w:rFonts w:ascii="Times New Roman" w:eastAsia="Times New Roman" w:hAnsi="Times New Roman" w:cs="Times New Roman"/>
          <w:sz w:val="20"/>
        </w:rPr>
        <w:t xml:space="preserve">advertising </w:t>
      </w:r>
      <w:r>
        <w:rPr>
          <w:rFonts w:ascii="Times New Roman" w:eastAsia="Times New Roman" w:hAnsi="Times New Roman" w:cs="Times New Roman"/>
          <w:sz w:val="20"/>
        </w:rPr>
        <w:t>shifted</w:t>
      </w:r>
      <w:r>
        <w:rPr>
          <w:rFonts w:ascii="Times New Roman" w:eastAsia="Times New Roman" w:hAnsi="Times New Roman" w:cs="Times New Roman"/>
          <w:sz w:val="20"/>
        </w:rPr>
        <w:t xml:space="preserve"> more of</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their </w:t>
      </w:r>
      <w:r>
        <w:rPr>
          <w:rFonts w:ascii="Times New Roman" w:eastAsia="Times New Roman" w:hAnsi="Times New Roman" w:cs="Times New Roman"/>
          <w:sz w:val="20"/>
        </w:rPr>
        <w:t xml:space="preserve">spend to influencer marketing </w:t>
      </w:r>
      <w:r>
        <w:rPr>
          <w:rFonts w:ascii="Times New Roman" w:eastAsia="Times New Roman" w:hAnsi="Times New Roman" w:cs="Times New Roman"/>
          <w:sz w:val="20"/>
        </w:rPr>
        <w:t>campaigns.</w:t>
      </w:r>
      <w:r>
        <w:rPr>
          <w:rFonts w:ascii="Times New Roman" w:eastAsia="Times New Roman" w:hAnsi="Times New Roman" w:cs="Times New Roman"/>
          <w:sz w:val="20"/>
        </w:rPr>
        <w:t xml:space="preserve"> </w:t>
      </w:r>
      <w:r>
        <w:rPr>
          <w:rFonts w:ascii="Times New Roman" w:eastAsia="Times New Roman" w:hAnsi="Times New Roman" w:cs="Times New Roman"/>
          <w:sz w:val="20"/>
        </w:rPr>
        <w:t>Managed Service bookings typically convert to future revenue over the next three to twelve months</w:t>
      </w:r>
      <w:r>
        <w:rPr>
          <w:rFonts w:ascii="Times New Roman" w:eastAsia="Times New Roman" w:hAnsi="Times New Roman" w:cs="Times New Roman"/>
          <w:sz w:val="20"/>
        </w:rPr>
        <w:t>, but the tim</w:t>
      </w:r>
      <w:r>
        <w:rPr>
          <w:rFonts w:ascii="Times New Roman" w:eastAsia="Times New Roman" w:hAnsi="Times New Roman" w:cs="Times New Roman"/>
          <w:sz w:val="20"/>
        </w:rPr>
        <w:t xml:space="preserve">ing </w:t>
      </w:r>
      <w:r>
        <w:rPr>
          <w:rFonts w:ascii="Times New Roman" w:eastAsia="Times New Roman" w:hAnsi="Times New Roman" w:cs="Times New Roman"/>
          <w:sz w:val="20"/>
        </w:rPr>
        <w:t xml:space="preserve">of revenue </w:t>
      </w:r>
      <w:r>
        <w:rPr>
          <w:rFonts w:ascii="Times New Roman" w:eastAsia="Times New Roman" w:hAnsi="Times New Roman" w:cs="Times New Roman"/>
          <w:sz w:val="20"/>
        </w:rPr>
        <w:t xml:space="preserve">may </w:t>
      </w:r>
      <w:r>
        <w:rPr>
          <w:rFonts w:ascii="Times New Roman" w:eastAsia="Times New Roman" w:hAnsi="Times New Roman" w:cs="Times New Roman"/>
          <w:sz w:val="20"/>
        </w:rPr>
        <w:t>fluctuate</w:t>
      </w:r>
      <w:r>
        <w:rPr>
          <w:rFonts w:ascii="Times New Roman" w:eastAsia="Times New Roman" w:hAnsi="Times New Roman" w:cs="Times New Roman"/>
          <w:sz w:val="20"/>
        </w:rPr>
        <w:t xml:space="preserve"> </w:t>
      </w:r>
      <w:r>
        <w:rPr>
          <w:rFonts w:ascii="Times New Roman" w:eastAsia="Times New Roman" w:hAnsi="Times New Roman" w:cs="Times New Roman"/>
          <w:sz w:val="20"/>
        </w:rPr>
        <w:t>from prior year results</w:t>
      </w:r>
      <w:r>
        <w:rPr>
          <w:rFonts w:ascii="Times New Roman" w:eastAsia="Times New Roman" w:hAnsi="Times New Roman" w:cs="Times New Roman"/>
          <w:sz w:val="20"/>
        </w:rPr>
        <w:t xml:space="preserve"> or current</w:t>
      </w:r>
      <w:r>
        <w:rPr>
          <w:rFonts w:ascii="Times New Roman" w:eastAsia="Times New Roman" w:hAnsi="Times New Roman" w:cs="Times New Roman"/>
          <w:sz w:val="20"/>
        </w:rPr>
        <w:t xml:space="preserve"> </w:t>
      </w:r>
      <w:r>
        <w:rPr>
          <w:rFonts w:ascii="Times New Roman" w:eastAsia="Times New Roman" w:hAnsi="Times New Roman" w:cs="Times New Roman"/>
          <w:sz w:val="20"/>
        </w:rPr>
        <w:t>expectat</w:t>
      </w:r>
      <w:r>
        <w:rPr>
          <w:rFonts w:ascii="Times New Roman" w:eastAsia="Times New Roman" w:hAnsi="Times New Roman" w:cs="Times New Roman"/>
          <w:sz w:val="20"/>
        </w:rPr>
        <w:t>ions</w:t>
      </w:r>
      <w:r>
        <w:rPr>
          <w:rFonts w:ascii="Times New Roman" w:eastAsia="Times New Roman" w:hAnsi="Times New Roman" w:cs="Times New Roman"/>
          <w:sz w:val="20"/>
        </w:rPr>
        <w:t xml:space="preserve"> </w:t>
      </w:r>
      <w:r>
        <w:rPr>
          <w:rFonts w:ascii="Times New Roman" w:eastAsia="Times New Roman" w:hAnsi="Times New Roman" w:cs="Times New Roman"/>
          <w:sz w:val="20"/>
        </w:rPr>
        <w:t>in t</w:t>
      </w:r>
      <w:r>
        <w:rPr>
          <w:rFonts w:ascii="Times New Roman" w:eastAsia="Times New Roman" w:hAnsi="Times New Roman" w:cs="Times New Roman"/>
          <w:sz w:val="20"/>
        </w:rPr>
        <w:t xml:space="preserve">he event of </w:t>
      </w:r>
      <w:r>
        <w:rPr>
          <w:rFonts w:ascii="Times New Roman" w:eastAsia="Times New Roman" w:hAnsi="Times New Roman" w:cs="Times New Roman"/>
          <w:sz w:val="20"/>
        </w:rPr>
        <w:t xml:space="preserve">continued or </w:t>
      </w:r>
      <w:r>
        <w:rPr>
          <w:rFonts w:ascii="Times New Roman" w:eastAsia="Times New Roman" w:hAnsi="Times New Roman" w:cs="Times New Roman"/>
          <w:sz w:val="20"/>
        </w:rPr>
        <w:t>additional economic changes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ab/>
      </w:r>
      <w:r>
        <w:rPr>
          <w:rFonts w:ascii="Times New Roman" w:eastAsia="Times New Roman" w:hAnsi="Times New Roman" w:cs="Times New Roman"/>
          <w:i/>
          <w:sz w:val="20"/>
        </w:rPr>
        <w:t>SaaS Services</w:t>
      </w:r>
      <w:r>
        <w:rPr>
          <w:rFonts w:ascii="Times New Roman" w:eastAsia="Times New Roman" w:hAnsi="Times New Roman" w:cs="Times New Roman"/>
          <w:sz w:val="20"/>
        </w:rPr>
        <w:t xml:space="preserve"> revenue is generated by the self-service use of our technology platforms by marketers to manage their own content workflow and influencer marketing campaigns. It consists of fees earned on the marketer’s spend within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platforms, along with the license and support fees to access the platform services.</w:t>
      </w:r>
      <w:r>
        <w:rPr>
          <w:rFonts w:ascii="Times New Roman" w:eastAsia="Times New Roman" w:hAnsi="Times New Roman" w:cs="Times New Roman"/>
          <w:sz w:val="20"/>
        </w:rPr>
        <w:tab/>
      </w:r>
    </w:p>
    <w:p>
      <w:pPr>
        <w:keepNext w:val="0"/>
        <w:keepLines w:val="0"/>
        <w:pageBreakBefore w:val="0"/>
        <w:widowControl/>
        <w:numPr>
          <w:ilvl w:val="0"/>
          <w:numId w:val="19"/>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Legacy Workflow Fees </w:t>
      </w:r>
      <w:r>
        <w:rPr>
          <w:rFonts w:ascii="Times New Roman" w:eastAsia="Times New Roman" w:hAnsi="Times New Roman" w:cs="Times New Roman"/>
          <w:sz w:val="20"/>
        </w:rPr>
        <w:t xml:space="preserve">revenue represents self-service transactions through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for professional custom content workflow. After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 there is no longer any revenue generated from Legacy Workflow Fees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Any activity from former legacy workflow customers is now generated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and reported as Marketplace Spend Fees. </w:t>
      </w:r>
    </w:p>
    <w:p>
      <w:pPr>
        <w:keepNext w:val="0"/>
        <w:keepLines w:val="0"/>
        <w:pageBreakBefore w:val="0"/>
        <w:widowControl/>
        <w:numPr>
          <w:ilvl w:val="0"/>
          <w:numId w:val="19"/>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Marketplace Spend Fees</w:t>
      </w:r>
      <w:r>
        <w:rPr>
          <w:rFonts w:ascii="Times New Roman" w:eastAsia="Times New Roman" w:hAnsi="Times New Roman" w:cs="Times New Roman"/>
          <w:sz w:val="20"/>
        </w:rPr>
        <w:t xml:space="preserve"> revenue primarily results from </w:t>
      </w:r>
      <w:r>
        <w:rPr>
          <w:rFonts w:ascii="Times New Roman" w:eastAsia="Times New Roman" w:hAnsi="Times New Roman" w:cs="Times New Roman"/>
          <w:sz w:val="20"/>
        </w:rPr>
        <w:t xml:space="preserve">fees </w:t>
      </w:r>
      <w:r>
        <w:rPr>
          <w:rFonts w:ascii="Times New Roman" w:eastAsia="Times New Roman" w:hAnsi="Times New Roman" w:cs="Times New Roman"/>
          <w:sz w:val="20"/>
        </w:rPr>
        <w:t>on transaction spending by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marketers and partners using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w:t>
      </w:r>
      <w:r>
        <w:rPr>
          <w:rFonts w:ascii="Times New Roman" w:eastAsia="Times New Roman" w:hAnsi="Times New Roman" w:cs="Times New Roman"/>
          <w:sz w:val="20"/>
        </w:rPr>
        <w:t>,</w:t>
      </w:r>
      <w:r>
        <w:rPr>
          <w:rFonts w:ascii="Times New Roman" w:eastAsia="Times New Roman" w:hAnsi="Times New Roman" w:cs="Times New Roman"/>
          <w:sz w:val="20"/>
        </w:rPr>
        <w:t xml:space="preserve"> from July 2018 - February 2020,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platforms on a SaaS basis to </w:t>
      </w:r>
      <w:r>
        <w:rPr>
          <w:rFonts w:ascii="Times New Roman" w:eastAsia="Times New Roman" w:hAnsi="Times New Roman" w:cs="Times New Roman"/>
          <w:sz w:val="20"/>
        </w:rPr>
        <w:t>purcha</w:t>
      </w:r>
      <w:r>
        <w:rPr>
          <w:rFonts w:ascii="Times New Roman" w:eastAsia="Times New Roman" w:hAnsi="Times New Roman" w:cs="Times New Roman"/>
          <w:sz w:val="20"/>
        </w:rPr>
        <w:t xml:space="preserve">se or </w:t>
      </w:r>
      <w:r>
        <w:rPr>
          <w:rFonts w:ascii="Times New Roman" w:eastAsia="Times New Roman" w:hAnsi="Times New Roman" w:cs="Times New Roman"/>
          <w:sz w:val="20"/>
        </w:rPr>
        <w:t xml:space="preserve">distribute content for </w:t>
      </w:r>
      <w:r>
        <w:rPr>
          <w:rFonts w:ascii="Times New Roman" w:eastAsia="Times New Roman" w:hAnsi="Times New Roman" w:cs="Times New Roman"/>
          <w:sz w:val="20"/>
        </w:rPr>
        <w:t>their</w:t>
      </w:r>
      <w:r>
        <w:rPr>
          <w:rFonts w:ascii="Times New Roman" w:eastAsia="Times New Roman" w:hAnsi="Times New Roman" w:cs="Times New Roman"/>
          <w:sz w:val="20"/>
        </w:rPr>
        <w:t xml:space="preserve"> internal </w:t>
      </w:r>
      <w:r>
        <w:rPr>
          <w:rFonts w:ascii="Times New Roman" w:eastAsia="Times New Roman" w:hAnsi="Times New Roman" w:cs="Times New Roman"/>
          <w:sz w:val="20"/>
        </w:rPr>
        <w:t>use or</w:t>
      </w:r>
      <w:r>
        <w:rPr>
          <w:rFonts w:ascii="Times New Roman" w:eastAsia="Times New Roman" w:hAnsi="Times New Roman" w:cs="Times New Roman"/>
          <w:sz w:val="20"/>
        </w:rPr>
        <w:t xml:space="preserve"> adver</w:t>
      </w:r>
      <w:r>
        <w:rPr>
          <w:rFonts w:ascii="Times New Roman" w:eastAsia="Times New Roman" w:hAnsi="Times New Roman" w:cs="Times New Roman"/>
          <w:sz w:val="20"/>
        </w:rPr>
        <w:t>t</w:t>
      </w:r>
      <w:r>
        <w:rPr>
          <w:rFonts w:ascii="Times New Roman" w:eastAsia="Times New Roman" w:hAnsi="Times New Roman" w:cs="Times New Roman"/>
          <w:sz w:val="20"/>
        </w:rPr>
        <w:t>i</w:t>
      </w:r>
      <w:r>
        <w:rPr>
          <w:rFonts w:ascii="Times New Roman" w:eastAsia="Times New Roman" w:hAnsi="Times New Roman" w:cs="Times New Roman"/>
          <w:sz w:val="20"/>
        </w:rPr>
        <w:t xml:space="preserve">sing </w:t>
      </w:r>
      <w:r>
        <w:rPr>
          <w:rFonts w:ascii="Times New Roman" w:eastAsia="Times New Roman" w:hAnsi="Times New Roman" w:cs="Times New Roman"/>
          <w:sz w:val="20"/>
        </w:rPr>
        <w:t>purposes</w:t>
      </w:r>
      <w:r>
        <w:rPr>
          <w:rFonts w:ascii="Times New Roman" w:eastAsia="Times New Roman" w:hAnsi="Times New Roman" w:cs="Times New Roman"/>
          <w:sz w:val="20"/>
        </w:rPr>
        <w:t xml:space="preserve">. </w:t>
      </w:r>
      <w:r>
        <w:rPr>
          <w:rFonts w:ascii="Times New Roman" w:eastAsia="Times New Roman" w:hAnsi="Times New Roman" w:cs="Times New Roman"/>
          <w:sz w:val="20"/>
        </w:rPr>
        <w:t>We</w:t>
      </w:r>
      <w:r>
        <w:rPr>
          <w:rFonts w:ascii="Times New Roman" w:eastAsia="Times New Roman" w:hAnsi="Times New Roman" w:cs="Times New Roman"/>
          <w:sz w:val="20"/>
        </w:rPr>
        <w:t xml:space="preserve"> charge</w:t>
      </w:r>
      <w:r>
        <w:rPr>
          <w:rFonts w:ascii="Times New Roman" w:eastAsia="Times New Roman" w:hAnsi="Times New Roman" w:cs="Times New Roman"/>
          <w:sz w:val="20"/>
        </w:rPr>
        <w:t xml:space="preserve"> the self-service customer the transaction price plus a fee based on </w:t>
      </w:r>
      <w:r>
        <w:rPr>
          <w:rFonts w:ascii="Times New Roman" w:eastAsia="Times New Roman" w:hAnsi="Times New Roman" w:cs="Times New Roman"/>
          <w:sz w:val="20"/>
        </w:rPr>
        <w:t>agreed upon rates</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Our revenue from Marketplace Spend Fees decreased by </w:t>
      </w:r>
      <w:r>
        <w:rPr>
          <w:rFonts w:ascii="Times New Roman" w:eastAsia="Times New Roman" w:hAnsi="Times New Roman" w:cs="Times New Roman"/>
          <w:sz w:val="20"/>
        </w:rPr>
        <w:t>$118,744</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to </w:t>
      </w:r>
      <w:r>
        <w:rPr>
          <w:rFonts w:ascii="Times New Roman" w:eastAsia="Times New Roman" w:hAnsi="Times New Roman" w:cs="Times New Roman"/>
          <w:sz w:val="20"/>
        </w:rPr>
        <w:t>$195,894</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when compared </w:t>
      </w:r>
      <w:r>
        <w:rPr>
          <w:rFonts w:ascii="Times New Roman" w:eastAsia="Times New Roman" w:hAnsi="Times New Roman" w:cs="Times New Roman"/>
          <w:sz w:val="20"/>
        </w:rPr>
        <w:t>to</w:t>
      </w:r>
      <w:r>
        <w:rPr>
          <w:rFonts w:ascii="Times New Roman" w:eastAsia="Times New Roman" w:hAnsi="Times New Roman" w:cs="Times New Roman"/>
          <w:sz w:val="20"/>
        </w:rPr>
        <w:t xml:space="preserve"> </w:t>
      </w:r>
      <w:r>
        <w:rPr>
          <w:rFonts w:ascii="Times New Roman" w:eastAsia="Times New Roman" w:hAnsi="Times New Roman" w:cs="Times New Roman"/>
          <w:sz w:val="20"/>
        </w:rPr>
        <w:t>$314,638</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w:t>
      </w:r>
      <w:r>
        <w:rPr>
          <w:rFonts w:ascii="Times New Roman" w:eastAsia="Times New Roman" w:hAnsi="Times New Roman" w:cs="Times New Roman"/>
          <w:sz w:val="20"/>
        </w:rPr>
        <w:t xml:space="preserve">the same period </w:t>
      </w:r>
      <w:r>
        <w:rPr>
          <w:rFonts w:ascii="Times New Roman" w:eastAsia="Times New Roman" w:hAnsi="Times New Roman" w:cs="Times New Roman"/>
          <w:sz w:val="20"/>
        </w:rPr>
        <w:t>in</w:t>
      </w:r>
      <w:r>
        <w:rPr>
          <w:rFonts w:ascii="Times New Roman" w:eastAsia="Times New Roman" w:hAnsi="Times New Roman" w:cs="Times New Roman"/>
          <w:sz w:val="20"/>
        </w:rPr>
        <w:t xml:space="preserve">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as a result of lower spend levels from our marketers and </w:t>
      </w:r>
      <w:r>
        <w:rPr>
          <w:rFonts w:ascii="Times New Roman" w:eastAsia="Times New Roman" w:hAnsi="Times New Roman" w:cs="Times New Roman"/>
          <w:sz w:val="20"/>
        </w:rPr>
        <w:t>lower fee</w:t>
      </w:r>
      <w:r>
        <w:rPr>
          <w:rFonts w:ascii="Times New Roman" w:eastAsia="Times New Roman" w:hAnsi="Times New Roman" w:cs="Times New Roman"/>
          <w:sz w:val="20"/>
        </w:rPr>
        <w:t xml:space="preserve">s </w:t>
      </w:r>
      <w:r>
        <w:rPr>
          <w:rFonts w:ascii="Times New Roman" w:eastAsia="Times New Roman" w:hAnsi="Times New Roman" w:cs="Times New Roman"/>
          <w:sz w:val="20"/>
        </w:rPr>
        <w:t>assessed</w:t>
      </w:r>
      <w:r>
        <w:rPr>
          <w:rFonts w:ascii="Times New Roman" w:eastAsia="Times New Roman" w:hAnsi="Times New Roman" w:cs="Times New Roman"/>
          <w:sz w:val="20"/>
        </w:rPr>
        <w:t xml:space="preserve"> on those spends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a result of competitive pricing efforts </w:t>
      </w:r>
      <w:r>
        <w:rPr>
          <w:rFonts w:ascii="Times New Roman" w:eastAsia="Times New Roman" w:hAnsi="Times New Roman" w:cs="Times New Roman"/>
          <w:sz w:val="20"/>
        </w:rPr>
        <w:t xml:space="preserve">and the incorporation of </w:t>
      </w:r>
      <w:r>
        <w:rPr>
          <w:rFonts w:ascii="Times New Roman" w:eastAsia="Times New Roman" w:hAnsi="Times New Roman" w:cs="Times New Roman"/>
          <w:sz w:val="20"/>
        </w:rPr>
        <w:t xml:space="preserve">lower margin </w:t>
      </w:r>
      <w:r>
        <w:rPr>
          <w:rFonts w:ascii="Times New Roman" w:eastAsia="Times New Roman" w:hAnsi="Times New Roman" w:cs="Times New Roman"/>
          <w:sz w:val="20"/>
        </w:rPr>
        <w:t xml:space="preserve">legacy workflow customers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Revenue from Marketplace Spend Fees represents our net margins received on this business. After the migration of the last customers from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February 2020, all revenue is solely generated from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19"/>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License Fees </w:t>
      </w:r>
      <w:r>
        <w:rPr>
          <w:rFonts w:ascii="Times New Roman" w:eastAsia="Times New Roman" w:hAnsi="Times New Roman" w:cs="Times New Roman"/>
          <w:sz w:val="20"/>
        </w:rPr>
        <w:t xml:space="preserve">revenue is generated primarily through the granting of limited, non-exclusive, non-transferable licenses to customers for the use of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and</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until February 2020,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 License Fees revenue decreased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to </w:t>
      </w:r>
      <w:r>
        <w:rPr>
          <w:rFonts w:ascii="Times New Roman" w:eastAsia="Times New Roman" w:hAnsi="Times New Roman" w:cs="Times New Roman"/>
          <w:sz w:val="20"/>
        </w:rPr>
        <w:t>$408,728</w:t>
      </w:r>
      <w:r>
        <w:rPr>
          <w:rFonts w:ascii="Times New Roman" w:eastAsia="Times New Roman" w:hAnsi="Times New Roman" w:cs="Times New Roman"/>
          <w:sz w:val="20"/>
        </w:rPr>
        <w:t xml:space="preserve"> compared to </w:t>
      </w:r>
      <w:r>
        <w:rPr>
          <w:rFonts w:ascii="Times New Roman" w:eastAsia="Times New Roman" w:hAnsi="Times New Roman" w:cs="Times New Roman"/>
          <w:sz w:val="20"/>
        </w:rPr>
        <w:t>$548,494</w:t>
      </w:r>
      <w:r>
        <w:rPr>
          <w:rFonts w:ascii="Times New Roman" w:eastAsia="Times New Roman" w:hAnsi="Times New Roman" w:cs="Times New Roman"/>
          <w:sz w:val="20"/>
        </w:rPr>
        <w:t xml:space="preserve"> in the same period of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decrease was partly due to former TapInfluence customers who churned during </w:t>
      </w:r>
      <w:r>
        <w:rPr>
          <w:rFonts w:ascii="Times New Roman" w:eastAsia="Times New Roman" w:hAnsi="Times New Roman" w:cs="Times New Roman"/>
          <w:sz w:val="20"/>
        </w:rPr>
        <w:t xml:space="preserve">the second half of </w:t>
      </w:r>
      <w:r>
        <w:rPr>
          <w:rFonts w:ascii="Times New Roman" w:eastAsia="Times New Roman" w:hAnsi="Times New Roman" w:cs="Times New Roman"/>
          <w:sz w:val="20"/>
        </w:rPr>
        <w:t>2019</w:t>
      </w:r>
      <w:r>
        <w:rPr>
          <w:rFonts w:ascii="Times New Roman" w:eastAsia="Times New Roman" w:hAnsi="Times New Roman" w:cs="Times New Roman"/>
          <w:sz w:val="20"/>
        </w:rPr>
        <w:t>. Additionally</w:t>
      </w:r>
      <w:r>
        <w:rPr>
          <w:rFonts w:ascii="Times New Roman" w:eastAsia="Times New Roman" w:hAnsi="Times New Roman" w:cs="Times New Roman"/>
          <w:sz w:val="20"/>
        </w:rPr>
        <w:t>,</w:t>
      </w:r>
      <w:r>
        <w:rPr>
          <w:rFonts w:ascii="Times New Roman" w:eastAsia="Times New Roman" w:hAnsi="Times New Roman" w:cs="Times New Roman"/>
          <w:sz w:val="20"/>
        </w:rPr>
        <w:t xml:space="preserve"> we implemented a competitive standardized pricing system for all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customers that was at a lower price point than the former TapInfluence licensing contracts. </w:t>
      </w:r>
    </w:p>
    <w:p>
      <w:pPr>
        <w:keepNext w:val="0"/>
        <w:keepLines w:val="0"/>
        <w:pageBreakBefore w:val="0"/>
        <w:widowControl/>
        <w:numPr>
          <w:ilvl w:val="0"/>
          <w:numId w:val="19"/>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Other </w:t>
      </w:r>
      <w:r>
        <w:rPr>
          <w:rFonts w:ascii="Times New Roman" w:eastAsia="Times New Roman" w:hAnsi="Times New Roman" w:cs="Times New Roman"/>
          <w:i/>
          <w:sz w:val="20"/>
        </w:rPr>
        <w:t xml:space="preserve">Fees </w:t>
      </w:r>
      <w:r>
        <w:rPr>
          <w:rFonts w:ascii="Times New Roman" w:eastAsia="Times New Roman" w:hAnsi="Times New Roman" w:cs="Times New Roman"/>
          <w:sz w:val="20"/>
        </w:rPr>
        <w:t xml:space="preserve">revenue consists of other fees, such as inactivity fees, early cash-out fees, and plan fees charged to users of our platforms. </w:t>
      </w:r>
      <w:r>
        <w:rPr>
          <w:rFonts w:ascii="Times New Roman" w:eastAsia="Times New Roman" w:hAnsi="Times New Roman" w:cs="Times New Roman"/>
          <w:sz w:val="20"/>
        </w:rPr>
        <w:t xml:space="preserve">Other </w:t>
      </w:r>
      <w:r>
        <w:rPr>
          <w:rFonts w:ascii="Times New Roman" w:eastAsia="Times New Roman" w:hAnsi="Times New Roman" w:cs="Times New Roman"/>
          <w:sz w:val="20"/>
        </w:rPr>
        <w:t>F</w:t>
      </w:r>
      <w:r>
        <w:rPr>
          <w:rFonts w:ascii="Times New Roman" w:eastAsia="Times New Roman" w:hAnsi="Times New Roman" w:cs="Times New Roman"/>
          <w:sz w:val="20"/>
        </w:rPr>
        <w:t>e</w:t>
      </w:r>
      <w:r>
        <w:rPr>
          <w:rFonts w:ascii="Times New Roman" w:eastAsia="Times New Roman" w:hAnsi="Times New Roman" w:cs="Times New Roman"/>
          <w:sz w:val="20"/>
        </w:rPr>
        <w:t xml:space="preserve">es </w:t>
      </w:r>
      <w:r>
        <w:rPr>
          <w:rFonts w:ascii="Times New Roman" w:eastAsia="Times New Roman" w:hAnsi="Times New Roman" w:cs="Times New Roman"/>
          <w:sz w:val="20"/>
        </w:rPr>
        <w:t xml:space="preserve">revenue increased </w:t>
      </w:r>
      <w:r>
        <w:rPr>
          <w:rFonts w:ascii="Times New Roman" w:eastAsia="Times New Roman" w:hAnsi="Times New Roman" w:cs="Times New Roman"/>
          <w:sz w:val="20"/>
        </w:rPr>
        <w:t>61%</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due to </w:t>
      </w:r>
      <w:r>
        <w:rPr>
          <w:rFonts w:ascii="Times New Roman" w:eastAsia="Times New Roman" w:hAnsi="Times New Roman" w:cs="Times New Roman"/>
          <w:sz w:val="20"/>
        </w:rPr>
        <w:t>an</w:t>
      </w:r>
      <w:r>
        <w:rPr>
          <w:rFonts w:ascii="Times New Roman" w:eastAsia="Times New Roman" w:hAnsi="Times New Roman" w:cs="Times New Roman"/>
          <w:sz w:val="20"/>
        </w:rPr>
        <w:t xml:space="preserve"> </w:t>
      </w:r>
      <w:r>
        <w:rPr>
          <w:rFonts w:ascii="Times New Roman" w:eastAsia="Times New Roman" w:hAnsi="Times New Roman" w:cs="Times New Roman"/>
          <w:sz w:val="20"/>
        </w:rPr>
        <w:t>increase</w:t>
      </w:r>
      <w:r>
        <w:rPr>
          <w:rFonts w:ascii="Times New Roman" w:eastAsia="Times New Roman" w:hAnsi="Times New Roman" w:cs="Times New Roman"/>
          <w:sz w:val="20"/>
        </w:rPr>
        <w:t xml:space="preserve"> in </w:t>
      </w:r>
      <w:r>
        <w:rPr>
          <w:rFonts w:ascii="Times New Roman" w:eastAsia="Times New Roman" w:hAnsi="Times New Roman" w:cs="Times New Roman"/>
          <w:sz w:val="20"/>
        </w:rPr>
        <w:t xml:space="preserve">plan </w:t>
      </w:r>
      <w:r>
        <w:rPr>
          <w:rFonts w:ascii="Times New Roman" w:eastAsia="Times New Roman" w:hAnsi="Times New Roman" w:cs="Times New Roman"/>
          <w:sz w:val="20"/>
        </w:rPr>
        <w:t xml:space="preserve">subscription fees on certain new self-service offerings such as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Discovery.</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Cost of Revenue</w:t>
      </w:r>
    </w:p>
    <w:p>
      <w:pPr>
        <w:keepNext w:val="0"/>
        <w:keepLines/>
        <w:pageBreakBefore w:val="0"/>
        <w:widowControl w:val="0"/>
        <w:numPr>
          <w:ilvl w:val="0"/>
          <w:numId w:val="0"/>
        </w:numPr>
        <w:spacing w:before="12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Cost of revenue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$403,410</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22%</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as a result of the </w:t>
      </w:r>
      <w:r>
        <w:rPr>
          <w:rFonts w:ascii="Times New Roman" w:eastAsia="Times New Roman" w:hAnsi="Times New Roman" w:cs="Times New Roman"/>
          <w:sz w:val="20"/>
        </w:rPr>
        <w:t xml:space="preserve">decrease in </w:t>
      </w:r>
      <w:r>
        <w:rPr>
          <w:rFonts w:ascii="Times New Roman" w:eastAsia="Times New Roman" w:hAnsi="Times New Roman" w:cs="Times New Roman"/>
          <w:sz w:val="20"/>
        </w:rPr>
        <w:t>varia</w:t>
      </w:r>
      <w:r>
        <w:rPr>
          <w:rFonts w:ascii="Times New Roman" w:eastAsia="Times New Roman" w:hAnsi="Times New Roman" w:cs="Times New Roman"/>
          <w:sz w:val="20"/>
        </w:rPr>
        <w:t>ble c</w:t>
      </w:r>
      <w:r>
        <w:rPr>
          <w:rFonts w:ascii="Times New Roman" w:eastAsia="Times New Roman" w:hAnsi="Times New Roman" w:cs="Times New Roman"/>
          <w:sz w:val="20"/>
        </w:rPr>
        <w:t xml:space="preserve">osts associated with </w:t>
      </w:r>
      <w:r>
        <w:rPr>
          <w:rFonts w:ascii="Times New Roman" w:eastAsia="Times New Roman" w:hAnsi="Times New Roman" w:cs="Times New Roman"/>
          <w:sz w:val="20"/>
        </w:rPr>
        <w:t>the decline</w:t>
      </w:r>
      <w:r>
        <w:rPr>
          <w:rFonts w:ascii="Times New Roman" w:eastAsia="Times New Roman" w:hAnsi="Times New Roman" w:cs="Times New Roman"/>
          <w:sz w:val="20"/>
        </w:rPr>
        <w:t xml:space="preserve"> in </w:t>
      </w:r>
      <w:r>
        <w:rPr>
          <w:rFonts w:ascii="Times New Roman" w:eastAsia="Times New Roman" w:hAnsi="Times New Roman" w:cs="Times New Roman"/>
          <w:sz w:val="20"/>
        </w:rPr>
        <w:t xml:space="preserve">Managed Services </w:t>
      </w:r>
      <w:r>
        <w:rPr>
          <w:rFonts w:ascii="Times New Roman" w:eastAsia="Times New Roman" w:hAnsi="Times New Roman" w:cs="Times New Roman"/>
          <w:sz w:val="20"/>
        </w:rPr>
        <w:t>revenue</w:t>
      </w:r>
      <w:r>
        <w:rPr>
          <w:rFonts w:ascii="Times New Roman" w:eastAsia="Times New Roman" w:hAnsi="Times New Roman" w:cs="Times New Roman"/>
          <w:sz w:val="20"/>
        </w:rPr>
        <w:t xml:space="preserve">. Cost of revenue as a percentage of revenue </w:t>
      </w:r>
      <w:r>
        <w:rPr>
          <w:rFonts w:ascii="Times New Roman" w:eastAsia="Times New Roman" w:hAnsi="Times New Roman" w:cs="Times New Roman"/>
          <w:sz w:val="20"/>
        </w:rPr>
        <w:t>impr</w:t>
      </w:r>
      <w:r>
        <w:rPr>
          <w:rFonts w:ascii="Times New Roman" w:eastAsia="Times New Roman" w:hAnsi="Times New Roman" w:cs="Times New Roman"/>
          <w:sz w:val="20"/>
        </w:rPr>
        <w:t>ove</w:t>
      </w:r>
      <w:r>
        <w:rPr>
          <w:rFonts w:ascii="Times New Roman" w:eastAsia="Times New Roman" w:hAnsi="Times New Roman" w:cs="Times New Roman"/>
          <w:sz w:val="20"/>
        </w:rPr>
        <w:t>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from </w:t>
      </w:r>
      <w:r>
        <w:rPr>
          <w:rFonts w:ascii="Times New Roman" w:eastAsia="Times New Roman" w:hAnsi="Times New Roman" w:cs="Times New Roman"/>
          <w:sz w:val="20"/>
        </w:rPr>
        <w:t>46%</w:t>
      </w:r>
      <w:r>
        <w:rPr>
          <w:rFonts w:ascii="Times New Roman" w:eastAsia="Times New Roman" w:hAnsi="Times New Roman" w:cs="Times New Roman"/>
          <w:sz w:val="20"/>
        </w:rPr>
        <w:t xml:space="preserve">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and </w:t>
      </w:r>
      <w:r>
        <w:rPr>
          <w:rFonts w:ascii="Times New Roman" w:eastAsia="Times New Roman" w:hAnsi="Times New Roman" w:cs="Times New Roman"/>
          <w:sz w:val="20"/>
        </w:rPr>
        <w:t>45%</w:t>
      </w:r>
      <w:r>
        <w:rPr>
          <w:rFonts w:ascii="Times New Roman" w:eastAsia="Times New Roman" w:hAnsi="Times New Roman" w:cs="Times New Roman"/>
          <w:sz w:val="20"/>
        </w:rPr>
        <w:t xml:space="preserve"> in </w:t>
      </w:r>
      <w:r>
        <w:rPr>
          <w:rFonts w:ascii="Times New Roman" w:eastAsia="Times New Roman" w:hAnsi="Times New Roman" w:cs="Times New Roman"/>
          <w:sz w:val="20"/>
        </w:rPr>
        <w:t>2020</w:t>
      </w:r>
      <w:r>
        <w:rPr>
          <w:rFonts w:ascii="Times New Roman" w:eastAsia="Times New Roman" w:hAnsi="Times New Roman" w:cs="Times New Roman"/>
          <w:sz w:val="20"/>
        </w:rPr>
        <w:t xml:space="preserve"> primarily due to a </w:t>
      </w:r>
      <w:r>
        <w:rPr>
          <w:rFonts w:ascii="Times New Roman" w:eastAsia="Times New Roman" w:hAnsi="Times New Roman" w:cs="Times New Roman"/>
          <w:sz w:val="20"/>
        </w:rPr>
        <w:t>$</w:t>
      </w:r>
      <w:r>
        <w:rPr>
          <w:rFonts w:ascii="Times New Roman" w:eastAsia="Times New Roman" w:hAnsi="Times New Roman" w:cs="Times New Roman"/>
          <w:sz w:val="20"/>
        </w:rPr>
        <w:t>7</w:t>
      </w:r>
      <w:r>
        <w:rPr>
          <w:rFonts w:ascii="Times New Roman" w:eastAsia="Times New Roman" w:hAnsi="Times New Roman" w:cs="Times New Roman"/>
          <w:sz w:val="20"/>
        </w:rPr>
        <w:t>3</w:t>
      </w:r>
      <w:r>
        <w:rPr>
          <w:rFonts w:ascii="Times New Roman" w:eastAsia="Times New Roman" w:hAnsi="Times New Roman" w:cs="Times New Roman"/>
          <w:sz w:val="20"/>
        </w:rPr>
        <w:t>,00</w:t>
      </w:r>
      <w:r>
        <w:rPr>
          <w:rFonts w:ascii="Times New Roman" w:eastAsia="Times New Roman" w:hAnsi="Times New Roman" w:cs="Times New Roman"/>
          <w:sz w:val="20"/>
        </w:rPr>
        <w:t>0 reduction</w:t>
      </w:r>
      <w:r>
        <w:rPr>
          <w:rFonts w:ascii="Times New Roman" w:eastAsia="Times New Roman" w:hAnsi="Times New Roman" w:cs="Times New Roman"/>
          <w:sz w:val="20"/>
        </w:rPr>
        <w:t xml:space="preserve"> in personnel and travel r</w:t>
      </w:r>
      <w:r>
        <w:rPr>
          <w:rFonts w:ascii="Times New Roman" w:eastAsia="Times New Roman" w:hAnsi="Times New Roman" w:cs="Times New Roman"/>
          <w:sz w:val="20"/>
        </w:rPr>
        <w:t xml:space="preserve">elated costs on the fulfillment of customer </w:t>
      </w:r>
      <w:r>
        <w:rPr>
          <w:rFonts w:ascii="Times New Roman" w:eastAsia="Times New Roman" w:hAnsi="Times New Roman" w:cs="Times New Roman"/>
          <w:sz w:val="20"/>
        </w:rPr>
        <w:t>marketing</w:t>
      </w:r>
      <w:r>
        <w:rPr>
          <w:rFonts w:ascii="Times New Roman" w:eastAsia="Times New Roman" w:hAnsi="Times New Roman" w:cs="Times New Roman"/>
          <w:sz w:val="20"/>
        </w:rPr>
        <w:t xml:space="preserve"> campaigns</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Sales and Marketing</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Sales and marketing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$133,551</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10%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Although </w:t>
      </w:r>
      <w:r>
        <w:rPr>
          <w:rFonts w:ascii="Times New Roman" w:eastAsia="Times New Roman" w:hAnsi="Times New Roman" w:cs="Times New Roman"/>
          <w:sz w:val="20"/>
        </w:rPr>
        <w:t>ou</w:t>
      </w:r>
      <w:r>
        <w:rPr>
          <w:rFonts w:ascii="Times New Roman" w:eastAsia="Times New Roman" w:hAnsi="Times New Roman" w:cs="Times New Roman"/>
          <w:sz w:val="20"/>
        </w:rPr>
        <w:t xml:space="preserve">r </w:t>
      </w:r>
      <w:r>
        <w:rPr>
          <w:rFonts w:ascii="Times New Roman" w:eastAsia="Times New Roman" w:hAnsi="Times New Roman" w:cs="Times New Roman"/>
          <w:sz w:val="20"/>
        </w:rPr>
        <w:t xml:space="preserve">average number of sales and marketing personnel increased by </w:t>
      </w:r>
      <w:r>
        <w:rPr>
          <w:rFonts w:ascii="Times New Roman" w:eastAsia="Times New Roman" w:hAnsi="Times New Roman" w:cs="Times New Roman"/>
          <w:sz w:val="20"/>
        </w:rPr>
        <w:t>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we saw</w:t>
      </w:r>
      <w:r>
        <w:rPr>
          <w:rFonts w:ascii="Times New Roman" w:eastAsia="Times New Roman" w:hAnsi="Times New Roman" w:cs="Times New Roman"/>
          <w:sz w:val="20"/>
        </w:rPr>
        <w:t xml:space="preserve"> a $</w:t>
      </w:r>
      <w:r>
        <w:rPr>
          <w:rFonts w:ascii="Times New Roman" w:eastAsia="Times New Roman" w:hAnsi="Times New Roman" w:cs="Times New Roman"/>
          <w:sz w:val="20"/>
        </w:rPr>
        <w:t>29</w:t>
      </w:r>
      <w:r>
        <w:rPr>
          <w:rFonts w:ascii="Times New Roman" w:eastAsia="Times New Roman" w:hAnsi="Times New Roman" w:cs="Times New Roman"/>
          <w:sz w:val="20"/>
        </w:rPr>
        <w:t xml:space="preserve">,000 </w:t>
      </w:r>
      <w:r>
        <w:rPr>
          <w:rFonts w:ascii="Times New Roman" w:eastAsia="Times New Roman" w:hAnsi="Times New Roman" w:cs="Times New Roman"/>
          <w:sz w:val="20"/>
        </w:rPr>
        <w:t>de</w:t>
      </w:r>
      <w:r>
        <w:rPr>
          <w:rFonts w:ascii="Times New Roman" w:eastAsia="Times New Roman" w:hAnsi="Times New Roman" w:cs="Times New Roman"/>
          <w:sz w:val="20"/>
        </w:rPr>
        <w:t>crease in sales and marketing payroll and personnel related expenses</w:t>
      </w:r>
      <w:r>
        <w:rPr>
          <w:rFonts w:ascii="Times New Roman" w:eastAsia="Times New Roman" w:hAnsi="Times New Roman" w:cs="Times New Roman"/>
          <w:sz w:val="20"/>
        </w:rPr>
        <w:t xml:space="preserve"> </w:t>
      </w:r>
      <w:r>
        <w:rPr>
          <w:rFonts w:ascii="Times New Roman" w:eastAsia="Times New Roman" w:hAnsi="Times New Roman" w:cs="Times New Roman"/>
          <w:sz w:val="20"/>
        </w:rPr>
        <w:t>inc</w:t>
      </w:r>
      <w:r>
        <w:rPr>
          <w:rFonts w:ascii="Times New Roman" w:eastAsia="Times New Roman" w:hAnsi="Times New Roman" w:cs="Times New Roman"/>
          <w:sz w:val="20"/>
        </w:rPr>
        <w:t xml:space="preserve">luding stock compensation </w:t>
      </w:r>
      <w:r>
        <w:rPr>
          <w:rFonts w:ascii="Times New Roman" w:eastAsia="Times New Roman" w:hAnsi="Times New Roman" w:cs="Times New Roman"/>
          <w:sz w:val="20"/>
        </w:rPr>
        <w:t>due to the</w:t>
      </w:r>
      <w:r>
        <w:rPr>
          <w:rFonts w:ascii="Times New Roman" w:eastAsia="Times New Roman" w:hAnsi="Times New Roman" w:cs="Times New Roman"/>
          <w:sz w:val="20"/>
        </w:rPr>
        <w:t xml:space="preserve"> salary reduction</w:t>
      </w:r>
      <w:r>
        <w:rPr>
          <w:rFonts w:ascii="Times New Roman" w:eastAsia="Times New Roman" w:hAnsi="Times New Roman" w:cs="Times New Roman"/>
          <w:sz w:val="20"/>
        </w:rPr>
        <w:t>s t</w:t>
      </w:r>
      <w:r>
        <w:rPr>
          <w:rFonts w:ascii="Times New Roman" w:eastAsia="Times New Roman" w:hAnsi="Times New Roman" w:cs="Times New Roman"/>
          <w:sz w:val="20"/>
        </w:rPr>
        <w:t xml:space="preserve">hat were implemented </w:t>
      </w:r>
      <w:r>
        <w:rPr>
          <w:rFonts w:ascii="Times New Roman" w:eastAsia="Times New Roman" w:hAnsi="Times New Roman" w:cs="Times New Roman"/>
          <w:sz w:val="20"/>
        </w:rPr>
        <w:t>during</w:t>
      </w:r>
      <w:r>
        <w:rPr>
          <w:rFonts w:ascii="Times New Roman" w:eastAsia="Times New Roman" w:hAnsi="Times New Roman" w:cs="Times New Roman"/>
          <w:sz w:val="20"/>
        </w:rPr>
        <w:t xml:space="preserve">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as a result of the </w:t>
      </w:r>
      <w:r>
        <w:rPr>
          <w:rFonts w:ascii="Times New Roman" w:eastAsia="Times New Roman" w:hAnsi="Times New Roman" w:cs="Times New Roman"/>
          <w:sz w:val="20"/>
        </w:rPr>
        <w:t>COVID-19</w:t>
      </w:r>
      <w:r>
        <w:rPr>
          <w:rFonts w:ascii="Times New Roman" w:eastAsia="Times New Roman" w:hAnsi="Times New Roman" w:cs="Times New Roman"/>
          <w:sz w:val="20"/>
        </w:rPr>
        <w:t xml:space="preserve"> cost reduction </w:t>
      </w:r>
      <w:r>
        <w:rPr>
          <w:rFonts w:ascii="Times New Roman" w:eastAsia="Times New Roman" w:hAnsi="Times New Roman" w:cs="Times New Roman"/>
          <w:sz w:val="20"/>
        </w:rPr>
        <w:t>efforts</w:t>
      </w:r>
      <w:r>
        <w:rPr>
          <w:rFonts w:ascii="Times New Roman" w:eastAsia="Times New Roman" w:hAnsi="Times New Roman" w:cs="Times New Roman"/>
          <w:sz w:val="20"/>
        </w:rPr>
        <w:t xml:space="preserve">. We also </w:t>
      </w:r>
      <w:r>
        <w:rPr>
          <w:rFonts w:ascii="Times New Roman" w:eastAsia="Times New Roman" w:hAnsi="Times New Roman" w:cs="Times New Roman"/>
          <w:sz w:val="20"/>
        </w:rPr>
        <w:t>de</w:t>
      </w:r>
      <w:r>
        <w:rPr>
          <w:rFonts w:ascii="Times New Roman" w:eastAsia="Times New Roman" w:hAnsi="Times New Roman" w:cs="Times New Roman"/>
          <w:sz w:val="20"/>
        </w:rPr>
        <w:t>creased our marketing expenses by $</w:t>
      </w:r>
      <w:r>
        <w:rPr>
          <w:rFonts w:ascii="Times New Roman" w:eastAsia="Times New Roman" w:hAnsi="Times New Roman" w:cs="Times New Roman"/>
          <w:sz w:val="20"/>
        </w:rPr>
        <w:t>51</w:t>
      </w:r>
      <w:r>
        <w:rPr>
          <w:rFonts w:ascii="Times New Roman" w:eastAsia="Times New Roman" w:hAnsi="Times New Roman" w:cs="Times New Roman"/>
          <w:sz w:val="20"/>
        </w:rPr>
        <w:t xml:space="preserve">,000 </w:t>
      </w:r>
      <w:r>
        <w:rPr>
          <w:rFonts w:ascii="Times New Roman" w:eastAsia="Times New Roman" w:hAnsi="Times New Roman" w:cs="Times New Roman"/>
          <w:sz w:val="20"/>
        </w:rPr>
        <w:t>and</w:t>
      </w:r>
      <w:r>
        <w:rPr>
          <w:rFonts w:ascii="Times New Roman" w:eastAsia="Times New Roman" w:hAnsi="Times New Roman" w:cs="Times New Roman"/>
          <w:sz w:val="20"/>
        </w:rPr>
        <w:t xml:space="preserve"> travel related expenses </w:t>
      </w:r>
      <w:r>
        <w:rPr>
          <w:rFonts w:ascii="Times New Roman" w:eastAsia="Times New Roman" w:hAnsi="Times New Roman" w:cs="Times New Roman"/>
          <w:sz w:val="20"/>
        </w:rPr>
        <w:t>by</w:t>
      </w:r>
      <w:r>
        <w:rPr>
          <w:rFonts w:ascii="Times New Roman" w:eastAsia="Times New Roman" w:hAnsi="Times New Roman" w:cs="Times New Roman"/>
          <w:sz w:val="20"/>
        </w:rPr>
        <w:t xml:space="preserve"> $</w:t>
      </w:r>
      <w:r>
        <w:rPr>
          <w:rFonts w:ascii="Times New Roman" w:eastAsia="Times New Roman" w:hAnsi="Times New Roman" w:cs="Times New Roman"/>
          <w:sz w:val="20"/>
        </w:rPr>
        <w:t>48</w:t>
      </w:r>
      <w:r>
        <w:rPr>
          <w:rFonts w:ascii="Times New Roman" w:eastAsia="Times New Roman" w:hAnsi="Times New Roman" w:cs="Times New Roman"/>
          <w:sz w:val="20"/>
        </w:rPr>
        <w:t xml:space="preserve">,000 due to the impact of COVID-19 restricting travel </w:t>
      </w:r>
      <w:r>
        <w:rPr>
          <w:rFonts w:ascii="Times New Roman" w:eastAsia="Times New Roman" w:hAnsi="Times New Roman" w:cs="Times New Roman"/>
          <w:sz w:val="20"/>
        </w:rPr>
        <w:t xml:space="preserve">for the entire quarter in </w:t>
      </w:r>
      <w:r>
        <w:rPr>
          <w:rFonts w:ascii="Times New Roman" w:eastAsia="Times New Roman" w:hAnsi="Times New Roman" w:cs="Times New Roman"/>
          <w:sz w:val="20"/>
        </w:rPr>
        <w:t>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General and Administrative</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color w:val="EE2724"/>
          <w:sz w:val="20"/>
        </w:rPr>
        <w:tab/>
      </w:r>
      <w:r>
        <w:rPr>
          <w:rFonts w:ascii="Times New Roman" w:eastAsia="Times New Roman" w:hAnsi="Times New Roman" w:cs="Times New Roman"/>
          <w:sz w:val="20"/>
        </w:rPr>
        <w:t xml:space="preserve">General and administrative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$311,813</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14%</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General and administrative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primarily </w:t>
      </w:r>
      <w:r>
        <w:rPr>
          <w:rFonts w:ascii="Times New Roman" w:eastAsia="Times New Roman" w:hAnsi="Times New Roman" w:cs="Times New Roman"/>
          <w:sz w:val="20"/>
        </w:rPr>
        <w:t>due to</w:t>
      </w:r>
      <w:r>
        <w:rPr>
          <w:rFonts w:ascii="Times New Roman" w:eastAsia="Times New Roman" w:hAnsi="Times New Roman" w:cs="Times New Roman"/>
          <w:sz w:val="20"/>
        </w:rPr>
        <w:t xml:space="preserve"> a </w:t>
      </w:r>
      <w:r>
        <w:rPr>
          <w:rFonts w:ascii="Times New Roman" w:eastAsia="Times New Roman" w:hAnsi="Times New Roman" w:cs="Times New Roman"/>
          <w:sz w:val="20"/>
        </w:rPr>
        <w:t>$</w:t>
      </w:r>
      <w:r>
        <w:rPr>
          <w:rFonts w:ascii="Times New Roman" w:eastAsia="Times New Roman" w:hAnsi="Times New Roman" w:cs="Times New Roman"/>
          <w:sz w:val="20"/>
        </w:rPr>
        <w:t>3</w:t>
      </w:r>
      <w:r>
        <w:rPr>
          <w:rFonts w:ascii="Times New Roman" w:eastAsia="Times New Roman" w:hAnsi="Times New Roman" w:cs="Times New Roman"/>
          <w:sz w:val="20"/>
        </w:rPr>
        <w:t>38</w:t>
      </w:r>
      <w:r>
        <w:rPr>
          <w:rFonts w:ascii="Times New Roman" w:eastAsia="Times New Roman" w:hAnsi="Times New Roman" w:cs="Times New Roman"/>
          <w:sz w:val="20"/>
        </w:rPr>
        <w:t>,000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decrease in </w:t>
      </w:r>
      <w:r>
        <w:rPr>
          <w:rFonts w:ascii="Times New Roman" w:eastAsia="Times New Roman" w:hAnsi="Times New Roman" w:cs="Times New Roman"/>
          <w:sz w:val="20"/>
        </w:rPr>
        <w:t xml:space="preserve">payroll and personnel related expenses </w:t>
      </w:r>
      <w:r>
        <w:rPr>
          <w:rFonts w:ascii="Times New Roman" w:eastAsia="Times New Roman" w:hAnsi="Times New Roman" w:cs="Times New Roman"/>
          <w:sz w:val="20"/>
        </w:rPr>
        <w:t>a</w:t>
      </w:r>
      <w:r>
        <w:rPr>
          <w:rFonts w:ascii="Times New Roman" w:eastAsia="Times New Roman" w:hAnsi="Times New Roman" w:cs="Times New Roman"/>
          <w:sz w:val="20"/>
        </w:rPr>
        <w:t>s a result of a</w:t>
      </w:r>
      <w:r>
        <w:rPr>
          <w:rFonts w:ascii="Times New Roman" w:eastAsia="Times New Roman" w:hAnsi="Times New Roman" w:cs="Times New Roman"/>
          <w:sz w:val="20"/>
        </w:rPr>
        <w:t xml:space="preserve"> 12% reduction in staff compared to the prior year quarter and </w:t>
      </w:r>
      <w:r>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20% </w:t>
      </w:r>
      <w:r>
        <w:rPr>
          <w:rFonts w:ascii="Times New Roman" w:eastAsia="Times New Roman" w:hAnsi="Times New Roman" w:cs="Times New Roman"/>
          <w:sz w:val="20"/>
        </w:rPr>
        <w:t xml:space="preserve">average </w:t>
      </w:r>
      <w:r>
        <w:rPr>
          <w:rFonts w:ascii="Times New Roman" w:eastAsia="Times New Roman" w:hAnsi="Times New Roman" w:cs="Times New Roman"/>
          <w:sz w:val="20"/>
        </w:rPr>
        <w:t xml:space="preserve">decrease in </w:t>
      </w:r>
      <w:r>
        <w:rPr>
          <w:rFonts w:ascii="Times New Roman" w:eastAsia="Times New Roman" w:hAnsi="Times New Roman" w:cs="Times New Roman"/>
          <w:sz w:val="20"/>
        </w:rPr>
        <w:t>salar</w:t>
      </w:r>
      <w:r>
        <w:rPr>
          <w:rFonts w:ascii="Times New Roman" w:eastAsia="Times New Roman" w:hAnsi="Times New Roman" w:cs="Times New Roman"/>
          <w:sz w:val="20"/>
        </w:rPr>
        <w:t>ies</w:t>
      </w:r>
      <w:r>
        <w:rPr>
          <w:rFonts w:ascii="Times New Roman" w:eastAsia="Times New Roman" w:hAnsi="Times New Roman" w:cs="Times New Roman"/>
          <w:sz w:val="20"/>
        </w:rPr>
        <w:t xml:space="preserve"> that w</w:t>
      </w:r>
      <w:r>
        <w:rPr>
          <w:rFonts w:ascii="Times New Roman" w:eastAsia="Times New Roman" w:hAnsi="Times New Roman" w:cs="Times New Roman"/>
          <w:sz w:val="20"/>
        </w:rPr>
        <w:t>as</w:t>
      </w:r>
      <w:r>
        <w:rPr>
          <w:rFonts w:ascii="Times New Roman" w:eastAsia="Times New Roman" w:hAnsi="Times New Roman" w:cs="Times New Roman"/>
          <w:sz w:val="20"/>
        </w:rPr>
        <w:t xml:space="preserve"> implemented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as a result of the COVID-19 cost reduction efforts</w:t>
      </w:r>
      <w:r>
        <w:rPr>
          <w:rFonts w:ascii="Times New Roman" w:eastAsia="Times New Roman" w:hAnsi="Times New Roman" w:cs="Times New Roman"/>
          <w:sz w:val="20"/>
        </w:rPr>
        <w:t>.  Rent expense also decreased by $66,000 due to the non-renewal of expiring office facility leases</w:t>
      </w:r>
      <w:r>
        <w:rPr>
          <w:rFonts w:ascii="Times New Roman" w:eastAsia="Times New Roman" w:hAnsi="Times New Roman" w:cs="Times New Roman"/>
          <w:sz w:val="20"/>
        </w:rPr>
        <w:t xml:space="preserve"> </w:t>
      </w:r>
      <w:r>
        <w:rPr>
          <w:rFonts w:ascii="Times New Roman" w:eastAsia="Times New Roman" w:hAnsi="Times New Roman" w:cs="Times New Roman"/>
          <w:sz w:val="20"/>
        </w:rPr>
        <w:t>and travel costs decr</w:t>
      </w:r>
      <w:r>
        <w:rPr>
          <w:rFonts w:ascii="Times New Roman" w:eastAsia="Times New Roman" w:hAnsi="Times New Roman" w:cs="Times New Roman"/>
          <w:sz w:val="20"/>
        </w:rPr>
        <w:t xml:space="preserve">eased by $44,000 </w:t>
      </w:r>
      <w:r>
        <w:rPr>
          <w:rFonts w:ascii="Times New Roman" w:eastAsia="Times New Roman" w:hAnsi="Times New Roman" w:cs="Times New Roman"/>
          <w:sz w:val="20"/>
        </w:rPr>
        <w:t xml:space="preserve">as our employees </w:t>
      </w:r>
      <w:r>
        <w:rPr>
          <w:rFonts w:ascii="Times New Roman" w:eastAsia="Times New Roman" w:hAnsi="Times New Roman" w:cs="Times New Roman"/>
          <w:sz w:val="20"/>
        </w:rPr>
        <w:t xml:space="preserve">continue to </w:t>
      </w:r>
      <w:r>
        <w:rPr>
          <w:rFonts w:ascii="Times New Roman" w:eastAsia="Times New Roman" w:hAnsi="Times New Roman" w:cs="Times New Roman"/>
          <w:sz w:val="20"/>
        </w:rPr>
        <w:t>work</w:t>
      </w:r>
      <w:r>
        <w:rPr>
          <w:rFonts w:ascii="Times New Roman" w:eastAsia="Times New Roman" w:hAnsi="Times New Roman" w:cs="Times New Roman"/>
          <w:sz w:val="20"/>
        </w:rPr>
        <w:t xml:space="preserve"> from home.</w:t>
      </w:r>
      <w:r>
        <w:rPr>
          <w:rFonts w:ascii="Times New Roman" w:eastAsia="Times New Roman" w:hAnsi="Times New Roman" w:cs="Times New Roman"/>
          <w:sz w:val="20"/>
        </w:rPr>
        <w:t xml:space="preserve"> These de</w:t>
      </w:r>
      <w:r>
        <w:rPr>
          <w:rFonts w:ascii="Times New Roman" w:eastAsia="Times New Roman" w:hAnsi="Times New Roman" w:cs="Times New Roman"/>
          <w:sz w:val="20"/>
        </w:rPr>
        <w:t>c</w:t>
      </w:r>
      <w:r>
        <w:rPr>
          <w:rFonts w:ascii="Times New Roman" w:eastAsia="Times New Roman" w:hAnsi="Times New Roman" w:cs="Times New Roman"/>
          <w:sz w:val="20"/>
        </w:rPr>
        <w:t xml:space="preserve">reases were offset by </w:t>
      </w:r>
      <w:r>
        <w:rPr>
          <w:rFonts w:ascii="Times New Roman" w:eastAsia="Times New Roman" w:hAnsi="Times New Roman" w:cs="Times New Roman"/>
          <w:sz w:val="20"/>
        </w:rPr>
        <w:t>a $92</w:t>
      </w:r>
      <w:r>
        <w:rPr>
          <w:rFonts w:ascii="Times New Roman" w:eastAsia="Times New Roman" w:hAnsi="Times New Roman" w:cs="Times New Roman"/>
          <w:sz w:val="20"/>
        </w:rPr>
        <w:t>,000</w:t>
      </w:r>
      <w:r>
        <w:rPr>
          <w:rFonts w:ascii="Times New Roman" w:eastAsia="Times New Roman" w:hAnsi="Times New Roman" w:cs="Times New Roman"/>
          <w:sz w:val="20"/>
        </w:rPr>
        <w:t xml:space="preserve"> </w:t>
      </w:r>
      <w:r>
        <w:rPr>
          <w:rFonts w:ascii="Times New Roman" w:eastAsia="Times New Roman" w:hAnsi="Times New Roman" w:cs="Times New Roman"/>
          <w:sz w:val="20"/>
        </w:rPr>
        <w:t>increa</w:t>
      </w:r>
      <w:r>
        <w:rPr>
          <w:rFonts w:ascii="Times New Roman" w:eastAsia="Times New Roman" w:hAnsi="Times New Roman" w:cs="Times New Roman"/>
          <w:sz w:val="20"/>
        </w:rPr>
        <w:t>se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w:t>
      </w:r>
      <w:r>
        <w:rPr>
          <w:rFonts w:ascii="Times New Roman" w:eastAsia="Times New Roman" w:hAnsi="Times New Roman" w:cs="Times New Roman"/>
          <w:sz w:val="20"/>
        </w:rPr>
        <w:t>pro</w:t>
      </w:r>
      <w:r>
        <w:rPr>
          <w:rFonts w:ascii="Times New Roman" w:eastAsia="Times New Roman" w:hAnsi="Times New Roman" w:cs="Times New Roman"/>
          <w:sz w:val="20"/>
        </w:rPr>
        <w:t>fessional</w:t>
      </w:r>
      <w:r>
        <w:rPr>
          <w:rFonts w:ascii="Times New Roman" w:eastAsia="Times New Roman" w:hAnsi="Times New Roman" w:cs="Times New Roman"/>
          <w:sz w:val="20"/>
        </w:rPr>
        <w:t xml:space="preserve"> services</w:t>
      </w:r>
      <w:r>
        <w:rPr>
          <w:rFonts w:ascii="Times New Roman" w:eastAsia="Times New Roman" w:hAnsi="Times New Roman" w:cs="Times New Roman"/>
          <w:sz w:val="20"/>
        </w:rPr>
        <w:t xml:space="preserve"> for special projects</w:t>
      </w:r>
      <w:r>
        <w:rPr>
          <w:rFonts w:ascii="Times New Roman" w:eastAsia="Times New Roman" w:hAnsi="Times New Roman" w:cs="Times New Roman"/>
          <w:sz w:val="20"/>
        </w:rPr>
        <w:t>,</w:t>
      </w:r>
      <w:r>
        <w:rPr>
          <w:rFonts w:ascii="Times New Roman" w:eastAsia="Times New Roman" w:hAnsi="Times New Roman" w:cs="Times New Roman"/>
          <w:sz w:val="20"/>
        </w:rPr>
        <w:t xml:space="preserve"> a $35,000 </w:t>
      </w:r>
      <w:r>
        <w:rPr>
          <w:rFonts w:ascii="Times New Roman" w:eastAsia="Times New Roman" w:hAnsi="Times New Roman" w:cs="Times New Roman"/>
          <w:sz w:val="20"/>
        </w:rPr>
        <w:t xml:space="preserve">increase </w:t>
      </w:r>
      <w:r>
        <w:rPr>
          <w:rFonts w:ascii="Times New Roman" w:eastAsia="Times New Roman" w:hAnsi="Times New Roman" w:cs="Times New Roman"/>
          <w:sz w:val="20"/>
        </w:rPr>
        <w:t xml:space="preserve">in </w:t>
      </w:r>
      <w:r>
        <w:rPr>
          <w:rFonts w:ascii="Times New Roman" w:eastAsia="Times New Roman" w:hAnsi="Times New Roman" w:cs="Times New Roman"/>
          <w:sz w:val="20"/>
        </w:rPr>
        <w:t>moving costs to vacate our leasehold premises</w:t>
      </w:r>
      <w:r>
        <w:rPr>
          <w:rFonts w:ascii="Times New Roman" w:eastAsia="Times New Roman" w:hAnsi="Times New Roman" w:cs="Times New Roman"/>
          <w:sz w:val="20"/>
        </w:rPr>
        <w:t xml:space="preserve">, and a $9,000 increase in insurance </w:t>
      </w:r>
      <w:r>
        <w:rPr>
          <w:rFonts w:ascii="Times New Roman" w:eastAsia="Times New Roman" w:hAnsi="Times New Roman" w:cs="Times New Roman"/>
          <w:sz w:val="20"/>
        </w:rPr>
        <w:t>pre</w:t>
      </w:r>
      <w:r>
        <w:rPr>
          <w:rFonts w:ascii="Times New Roman" w:eastAsia="Times New Roman" w:hAnsi="Times New Roman" w:cs="Times New Roman"/>
          <w:sz w:val="20"/>
        </w:rPr>
        <w:t>miums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Depreciation and Amortization </w:t>
      </w:r>
    </w:p>
    <w:p>
      <w:pPr>
        <w:keepNext w:val="0"/>
        <w:keepLines w:val="0"/>
        <w:pageBreakBefore w:val="0"/>
        <w:widowControl w:val="0"/>
        <w:numPr>
          <w:ilvl w:val="0"/>
          <w:numId w:val="0"/>
        </w:numPr>
        <w:spacing w:before="120" w:after="0" w:line="248" w:lineRule="auto"/>
        <w:ind w:left="0" w:right="270" w:firstLine="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Depreciation and amortization expense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$70,998</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16%</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Depreciation and amortization expense on property and equipment was </w:t>
      </w:r>
      <w:r>
        <w:rPr>
          <w:rFonts w:ascii="Times New Roman" w:eastAsia="Times New Roman" w:hAnsi="Times New Roman" w:cs="Times New Roman"/>
          <w:sz w:val="20"/>
        </w:rPr>
        <w:t>$34,578</w:t>
      </w:r>
      <w:r>
        <w:rPr>
          <w:rFonts w:ascii="Times New Roman" w:eastAsia="Times New Roman" w:hAnsi="Times New Roman" w:cs="Times New Roman"/>
          <w:sz w:val="20"/>
        </w:rPr>
        <w:t xml:space="preserve"> and </w:t>
      </w:r>
      <w:r>
        <w:rPr>
          <w:rFonts w:ascii="Times New Roman" w:eastAsia="Times New Roman" w:hAnsi="Times New Roman" w:cs="Times New Roman"/>
          <w:sz w:val="20"/>
        </w:rPr>
        <w:t>$35,946</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Depreciation expense has declined primarily due to certain assets becoming fully depreciated.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Amortization expense was </w:t>
      </w:r>
      <w:r>
        <w:rPr>
          <w:rFonts w:ascii="Times New Roman" w:eastAsia="Times New Roman" w:hAnsi="Times New Roman" w:cs="Times New Roman"/>
          <w:sz w:val="20"/>
        </w:rPr>
        <w:t>$342,529</w:t>
      </w:r>
      <w:r>
        <w:rPr>
          <w:rFonts w:ascii="Times New Roman" w:eastAsia="Times New Roman" w:hAnsi="Times New Roman" w:cs="Times New Roman"/>
          <w:sz w:val="20"/>
        </w:rPr>
        <w:t xml:space="preserve"> and </w:t>
      </w:r>
      <w:r>
        <w:rPr>
          <w:rFonts w:ascii="Times New Roman" w:eastAsia="Times New Roman" w:hAnsi="Times New Roman" w:cs="Times New Roman"/>
          <w:sz w:val="20"/>
        </w:rPr>
        <w:t>$412,159</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Amortization expense related to intangible assets acquired in the Ebyline, ZenContent, and TapInfluence acquisitions was </w:t>
      </w:r>
      <w:r>
        <w:rPr>
          <w:rFonts w:ascii="Times New Roman" w:eastAsia="Times New Roman" w:hAnsi="Times New Roman" w:cs="Times New Roman"/>
          <w:sz w:val="20"/>
        </w:rPr>
        <w:t>$239,990</w:t>
      </w:r>
      <w:r>
        <w:rPr>
          <w:rFonts w:ascii="Times New Roman" w:eastAsia="Times New Roman" w:hAnsi="Times New Roman" w:cs="Times New Roman"/>
          <w:sz w:val="20"/>
        </w:rPr>
        <w:t xml:space="preserve"> and </w:t>
      </w:r>
      <w:r>
        <w:rPr>
          <w:rFonts w:ascii="Times New Roman" w:eastAsia="Times New Roman" w:hAnsi="Times New Roman" w:cs="Times New Roman"/>
          <w:sz w:val="20"/>
        </w:rPr>
        <w:t>$322,907</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while amortization expense related to internal use software development costs was </w:t>
      </w:r>
      <w:r>
        <w:rPr>
          <w:rFonts w:ascii="Times New Roman" w:eastAsia="Times New Roman" w:hAnsi="Times New Roman" w:cs="Times New Roman"/>
          <w:sz w:val="20"/>
        </w:rPr>
        <w:t>$102,539</w:t>
      </w:r>
      <w:r>
        <w:rPr>
          <w:rFonts w:ascii="Times New Roman" w:eastAsia="Times New Roman" w:hAnsi="Times New Roman" w:cs="Times New Roman"/>
          <w:sz w:val="20"/>
        </w:rPr>
        <w:t xml:space="preserve"> and </w:t>
      </w:r>
      <w:r>
        <w:rPr>
          <w:rFonts w:ascii="Times New Roman" w:eastAsia="Times New Roman" w:hAnsi="Times New Roman" w:cs="Times New Roman"/>
          <w:sz w:val="20"/>
        </w:rPr>
        <w:t>$89,252</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Amortization on our intangible acquisition assets </w:t>
      </w:r>
      <w:r>
        <w:rPr>
          <w:rFonts w:ascii="Times New Roman" w:eastAsia="Times New Roman" w:hAnsi="Times New Roman" w:cs="Times New Roman"/>
          <w:sz w:val="20"/>
        </w:rPr>
        <w:t>de</w:t>
      </w:r>
      <w:r>
        <w:rPr>
          <w:rFonts w:ascii="Times New Roman" w:eastAsia="Times New Roman" w:hAnsi="Times New Roman" w:cs="Times New Roman"/>
          <w:sz w:val="20"/>
        </w:rPr>
        <w:t xml:space="preserve">creased in </w:t>
      </w:r>
      <w:r>
        <w:rPr>
          <w:rFonts w:ascii="Times New Roman" w:eastAsia="Times New Roman" w:hAnsi="Times New Roman" w:cs="Times New Roman"/>
          <w:sz w:val="20"/>
        </w:rPr>
        <w:t xml:space="preserve">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due to </w:t>
      </w:r>
      <w:r>
        <w:rPr>
          <w:rFonts w:ascii="Times New Roman" w:eastAsia="Times New Roman" w:hAnsi="Times New Roman" w:cs="Times New Roman"/>
          <w:sz w:val="20"/>
        </w:rPr>
        <w:t>completion of</w:t>
      </w:r>
      <w:r>
        <w:rPr>
          <w:rFonts w:ascii="Times New Roman" w:eastAsia="Times New Roman" w:hAnsi="Times New Roman" w:cs="Times New Roman"/>
          <w:sz w:val="20"/>
        </w:rPr>
        <w:t xml:space="preserve"> amortization </w:t>
      </w:r>
      <w:r>
        <w:rPr>
          <w:rFonts w:ascii="Times New Roman" w:eastAsia="Times New Roman" w:hAnsi="Times New Roman" w:cs="Times New Roman"/>
          <w:sz w:val="20"/>
        </w:rPr>
        <w:t>on certain</w:t>
      </w:r>
      <w:r>
        <w:rPr>
          <w:rFonts w:ascii="Times New Roman" w:eastAsia="Times New Roman" w:hAnsi="Times New Roman" w:cs="Times New Roman"/>
          <w:sz w:val="20"/>
        </w:rPr>
        <w:t xml:space="preserve"> </w:t>
      </w:r>
      <w:r>
        <w:rPr>
          <w:rFonts w:ascii="Times New Roman" w:eastAsia="Times New Roman" w:hAnsi="Times New Roman" w:cs="Times New Roman"/>
          <w:sz w:val="20"/>
        </w:rPr>
        <w:t>intangible assets acquired</w:t>
      </w:r>
      <w:r>
        <w:rPr>
          <w:rFonts w:ascii="Times New Roman" w:eastAsia="Times New Roman" w:hAnsi="Times New Roman" w:cs="Times New Roman"/>
          <w:sz w:val="20"/>
        </w:rPr>
        <w:t xml:space="preserve"> in p</w:t>
      </w:r>
      <w:r>
        <w:rPr>
          <w:rFonts w:ascii="Times New Roman" w:eastAsia="Times New Roman" w:hAnsi="Times New Roman" w:cs="Times New Roman"/>
          <w:sz w:val="20"/>
        </w:rPr>
        <w:t>rior years</w:t>
      </w:r>
      <w:r>
        <w:rPr>
          <w:rFonts w:ascii="Times New Roman" w:eastAsia="Times New Roman" w:hAnsi="Times New Roman" w:cs="Times New Roman"/>
          <w:sz w:val="20"/>
        </w:rPr>
        <w:t xml:space="preserve">. </w:t>
      </w:r>
      <w:r>
        <w:rPr>
          <w:rFonts w:ascii="Times New Roman" w:eastAsia="Times New Roman" w:hAnsi="Times New Roman" w:cs="Times New Roman"/>
          <w:sz w:val="20"/>
        </w:rPr>
        <w:t>Amortization on our internal use software</w:t>
      </w:r>
      <w:r>
        <w:rPr>
          <w:rFonts w:ascii="Times New Roman" w:eastAsia="Times New Roman" w:hAnsi="Times New Roman" w:cs="Times New Roman"/>
          <w:sz w:val="20"/>
        </w:rPr>
        <w:t xml:space="preserve"> </w:t>
      </w:r>
      <w:r>
        <w:rPr>
          <w:rFonts w:ascii="Times New Roman" w:eastAsia="Times New Roman" w:hAnsi="Times New Roman" w:cs="Times New Roman"/>
          <w:sz w:val="20"/>
        </w:rPr>
        <w:t>increas</w:t>
      </w:r>
      <w:r>
        <w:rPr>
          <w:rFonts w:ascii="Times New Roman" w:eastAsia="Times New Roman" w:hAnsi="Times New Roman" w:cs="Times New Roman"/>
          <w:sz w:val="20"/>
        </w:rPr>
        <w:t>ed</w:t>
      </w:r>
      <w:r>
        <w:rPr>
          <w:rFonts w:ascii="Times New Roman" w:eastAsia="Times New Roman" w:hAnsi="Times New Roman" w:cs="Times New Roman"/>
          <w:sz w:val="20"/>
        </w:rPr>
        <w:t xml:space="preserve"> </w:t>
      </w:r>
      <w:r>
        <w:rPr>
          <w:rFonts w:ascii="Times New Roman" w:eastAsia="Times New Roman" w:hAnsi="Times New Roman" w:cs="Times New Roman"/>
          <w:sz w:val="20"/>
        </w:rPr>
        <w:t>due to the release of</w:t>
      </w:r>
      <w:r>
        <w:rPr>
          <w:rFonts w:ascii="Times New Roman" w:eastAsia="Times New Roman" w:hAnsi="Times New Roman" w:cs="Times New Roman"/>
          <w:i/>
          <w:sz w:val="20"/>
        </w:rPr>
        <w:t xml:space="preserve"> IZEAx 3.0</w:t>
      </w:r>
      <w:r>
        <w:rPr>
          <w:rFonts w:ascii="Times New Roman" w:eastAsia="Times New Roman" w:hAnsi="Times New Roman" w:cs="Times New Roman"/>
          <w:sz w:val="20"/>
        </w:rPr>
        <w:t xml:space="preserve"> in April 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Income (Expense)</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w:t>
      </w:r>
      <w:r>
        <w:rPr>
          <w:rFonts w:ascii="Times New Roman" w:eastAsia="Times New Roman" w:hAnsi="Times New Roman" w:cs="Times New Roman"/>
          <w:sz w:val="20"/>
        </w:rPr>
        <w:tab/>
      </w:r>
      <w:r>
        <w:rPr>
          <w:rFonts w:ascii="Times New Roman" w:eastAsia="Times New Roman" w:hAnsi="Times New Roman" w:cs="Times New Roman"/>
          <w:sz w:val="20"/>
        </w:rPr>
        <w:t xml:space="preserve">Interest expense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$67,261</w:t>
      </w:r>
      <w:r>
        <w:rPr>
          <w:rFonts w:ascii="Times New Roman" w:eastAsia="Times New Roman" w:hAnsi="Times New Roman" w:cs="Times New Roman"/>
          <w:sz w:val="20"/>
        </w:rPr>
        <w:t xml:space="preserve"> to </w:t>
      </w:r>
      <w:r>
        <w:rPr>
          <w:rFonts w:ascii="Times New Roman" w:eastAsia="Times New Roman" w:hAnsi="Times New Roman" w:cs="Times New Roman"/>
          <w:sz w:val="20"/>
        </w:rPr>
        <w:t>$19,476</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due primarily to</w:t>
      </w:r>
      <w:r>
        <w:rPr>
          <w:rFonts w:ascii="Times New Roman" w:eastAsia="Times New Roman" w:hAnsi="Times New Roman" w:cs="Times New Roman"/>
          <w:sz w:val="20"/>
        </w:rPr>
        <w:t xml:space="preserve"> </w:t>
      </w:r>
      <w:r>
        <w:rPr>
          <w:rFonts w:ascii="Times New Roman" w:eastAsia="Times New Roman" w:hAnsi="Times New Roman" w:cs="Times New Roman"/>
          <w:sz w:val="20"/>
        </w:rPr>
        <w:t>the</w:t>
      </w:r>
      <w:r>
        <w:rPr>
          <w:rFonts w:ascii="Times New Roman" w:eastAsia="Times New Roman" w:hAnsi="Times New Roman" w:cs="Times New Roman"/>
          <w:sz w:val="20"/>
        </w:rPr>
        <w:t xml:space="preserve"> </w:t>
      </w:r>
      <w:r>
        <w:rPr>
          <w:rFonts w:ascii="Times New Roman" w:eastAsia="Times New Roman" w:hAnsi="Times New Roman" w:cs="Times New Roman"/>
          <w:sz w:val="20"/>
        </w:rPr>
        <w:t>eliminat</w:t>
      </w:r>
      <w:r>
        <w:rPr>
          <w:rFonts w:ascii="Times New Roman" w:eastAsia="Times New Roman" w:hAnsi="Times New Roman" w:cs="Times New Roman"/>
          <w:sz w:val="20"/>
        </w:rPr>
        <w:t>ion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w:t>
      </w:r>
      <w:r>
        <w:rPr>
          <w:rFonts w:ascii="Times New Roman" w:eastAsia="Times New Roman" w:hAnsi="Times New Roman" w:cs="Times New Roman"/>
          <w:sz w:val="20"/>
        </w:rPr>
        <w:t>amounts owed on our acquisition costs payable</w:t>
      </w:r>
      <w:r>
        <w:rPr>
          <w:rFonts w:ascii="Times New Roman" w:eastAsia="Times New Roman" w:hAnsi="Times New Roman" w:cs="Times New Roman"/>
          <w:sz w:val="20"/>
        </w:rPr>
        <w:t xml:space="preserve"> </w:t>
      </w:r>
      <w:r>
        <w:rPr>
          <w:rFonts w:ascii="Times New Roman" w:eastAsia="Times New Roman" w:hAnsi="Times New Roman" w:cs="Times New Roman"/>
          <w:sz w:val="20"/>
        </w:rPr>
        <w:t>and amortization thereon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after </w:t>
      </w:r>
      <w:r>
        <w:rPr>
          <w:rFonts w:ascii="Times New Roman" w:eastAsia="Times New Roman" w:hAnsi="Times New Roman" w:cs="Times New Roman"/>
          <w:sz w:val="20"/>
        </w:rPr>
        <w:t>July</w:t>
      </w:r>
      <w:r>
        <w:rPr>
          <w:rFonts w:ascii="Times New Roman" w:eastAsia="Times New Roman" w:hAnsi="Times New Roman" w:cs="Times New Roman"/>
          <w:sz w:val="20"/>
        </w:rPr>
        <w:t xml:space="preserve"> 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w:t>
      </w:r>
      <w:r>
        <w:rPr>
          <w:rFonts w:ascii="Times New Roman" w:eastAsia="Times New Roman" w:hAnsi="Times New Roman" w:cs="Times New Roman"/>
          <w:sz w:val="20"/>
        </w:rPr>
        <w:t>$3,036</w:t>
      </w:r>
      <w:r>
        <w:rPr>
          <w:rFonts w:ascii="Times New Roman" w:eastAsia="Times New Roman" w:hAnsi="Times New Roman" w:cs="Times New Roman"/>
          <w:sz w:val="20"/>
        </w:rPr>
        <w:t xml:space="preserve"> </w:t>
      </w:r>
      <w:r>
        <w:rPr>
          <w:rFonts w:ascii="Times New Roman" w:eastAsia="Times New Roman" w:hAnsi="Times New Roman" w:cs="Times New Roman"/>
          <w:sz w:val="20"/>
        </w:rPr>
        <w:t>in</w:t>
      </w:r>
      <w:r>
        <w:rPr>
          <w:rFonts w:ascii="Times New Roman" w:eastAsia="Times New Roman" w:hAnsi="Times New Roman" w:cs="Times New Roman"/>
          <w:sz w:val="20"/>
        </w:rPr>
        <w:t xml:space="preserve">crease in other income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when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resulted primarily from net currency exchange </w:t>
      </w:r>
      <w:r>
        <w:rPr>
          <w:rFonts w:ascii="Times New Roman" w:eastAsia="Times New Roman" w:hAnsi="Times New Roman" w:cs="Times New Roman"/>
          <w:sz w:val="20"/>
        </w:rPr>
        <w:t>gains</w:t>
      </w:r>
      <w:r>
        <w:rPr>
          <w:rFonts w:ascii="Times New Roman" w:eastAsia="Times New Roman" w:hAnsi="Times New Roman" w:cs="Times New Roman"/>
          <w:sz w:val="20"/>
        </w:rPr>
        <w:t xml:space="preserve"> related to our Canadian transactions</w:t>
      </w:r>
      <w:r>
        <w:rPr>
          <w:rFonts w:ascii="Times New Roman" w:eastAsia="Times New Roman" w:hAnsi="Times New Roman" w:cs="Times New Roman"/>
          <w:sz w:val="20"/>
        </w:rPr>
        <w:t xml:space="preserve"> c</w:t>
      </w:r>
      <w:r>
        <w:rPr>
          <w:rFonts w:ascii="Times New Roman" w:eastAsia="Times New Roman" w:hAnsi="Times New Roman" w:cs="Times New Roman"/>
          <w:color w:val="1A1A1A"/>
          <w:sz w:val="20"/>
          <w:shd w:val="clear" w:color="auto" w:fill="FFFFFF"/>
        </w:rPr>
        <w:t xml:space="preserve">ompared to net currency exchange gains on </w:t>
      </w:r>
      <w:r>
        <w:rPr>
          <w:rFonts w:ascii="Times New Roman" w:eastAsia="Times New Roman" w:hAnsi="Times New Roman" w:cs="Times New Roman"/>
          <w:sz w:val="20"/>
        </w:rPr>
        <w:t xml:space="preserve">our Canadian transactions </w:t>
      </w:r>
      <w:r>
        <w:rPr>
          <w:rFonts w:ascii="Times New Roman" w:eastAsia="Times New Roman" w:hAnsi="Times New Roman" w:cs="Times New Roman"/>
          <w:color w:val="1A1A1A"/>
          <w:sz w:val="20"/>
          <w:shd w:val="clear" w:color="auto" w:fill="FFFFFF"/>
        </w:rPr>
        <w:t xml:space="preserve">in </w:t>
      </w:r>
      <w:r>
        <w:rPr>
          <w:rFonts w:ascii="Times New Roman" w:eastAsia="Times New Roman" w:hAnsi="Times New Roman" w:cs="Times New Roman"/>
          <w:sz w:val="20"/>
        </w:rPr>
        <w:t>2019</w:t>
      </w:r>
      <w:r>
        <w:rPr>
          <w:rFonts w:ascii="Times New Roman" w:eastAsia="Times New Roman" w:hAnsi="Times New Roman" w:cs="Times New Roman"/>
          <w:color w:val="1A1A1A"/>
          <w:sz w:val="20"/>
          <w:shd w:val="clear" w:color="auto" w:fill="FFFFFF"/>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Net Loss</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 </w:t>
      </w:r>
      <w:r>
        <w:rPr>
          <w:rFonts w:ascii="Times New Roman" w:eastAsia="Times New Roman" w:hAnsi="Times New Roman" w:cs="Times New Roman"/>
          <w:sz w:val="20"/>
        </w:rPr>
        <w:tab/>
      </w:r>
      <w:r>
        <w:rPr>
          <w:rFonts w:ascii="Times New Roman" w:eastAsia="Times New Roman" w:hAnsi="Times New Roman" w:cs="Times New Roman"/>
          <w:sz w:val="20"/>
        </w:rPr>
        <w:t xml:space="preserve">Net loss for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$1,791,142</w:t>
      </w:r>
      <w:r>
        <w:rPr>
          <w:rFonts w:ascii="Times New Roman" w:eastAsia="Times New Roman" w:hAnsi="Times New Roman" w:cs="Times New Roman"/>
          <w:sz w:val="20"/>
        </w:rPr>
        <w:t xml:space="preserve">, a </w:t>
      </w:r>
      <w:r>
        <w:rPr>
          <w:rFonts w:ascii="Times New Roman" w:eastAsia="Times New Roman" w:hAnsi="Times New Roman" w:cs="Times New Roman"/>
          <w:sz w:val="20"/>
        </w:rPr>
        <w:t>$201,244</w:t>
      </w:r>
      <w:r>
        <w:rPr>
          <w:rFonts w:ascii="Times New Roman" w:eastAsia="Times New Roman" w:hAnsi="Times New Roman" w:cs="Times New Roman"/>
          <w:sz w:val="20"/>
        </w:rPr>
        <w:t xml:space="preserve"> </w:t>
      </w:r>
      <w:r>
        <w:rPr>
          <w:rFonts w:ascii="Times New Roman" w:eastAsia="Times New Roman" w:hAnsi="Times New Roman" w:cs="Times New Roman"/>
          <w:sz w:val="20"/>
        </w:rPr>
        <w:t>de</w:t>
      </w:r>
      <w:r>
        <w:rPr>
          <w:rFonts w:ascii="Times New Roman" w:eastAsia="Times New Roman" w:hAnsi="Times New Roman" w:cs="Times New Roman"/>
          <w:sz w:val="20"/>
        </w:rPr>
        <w:t>crease</w:t>
      </w:r>
      <w:r>
        <w:rPr>
          <w:rFonts w:ascii="Times New Roman" w:eastAsia="Times New Roman" w:hAnsi="Times New Roman" w:cs="Times New Roman"/>
          <w:sz w:val="20"/>
        </w:rPr>
        <w:t xml:space="preserve"> compa</w:t>
      </w:r>
      <w:r>
        <w:rPr>
          <w:rFonts w:ascii="Times New Roman" w:eastAsia="Times New Roman" w:hAnsi="Times New Roman" w:cs="Times New Roman"/>
          <w:sz w:val="20"/>
        </w:rPr>
        <w:t>red to</w:t>
      </w:r>
      <w:r>
        <w:rPr>
          <w:rFonts w:ascii="Times New Roman" w:eastAsia="Times New Roman" w:hAnsi="Times New Roman" w:cs="Times New Roman"/>
          <w:sz w:val="20"/>
        </w:rPr>
        <w:t xml:space="preserve"> the net loss of </w:t>
      </w:r>
      <w:r>
        <w:rPr>
          <w:rFonts w:ascii="Times New Roman" w:eastAsia="Times New Roman" w:hAnsi="Times New Roman" w:cs="Times New Roman"/>
          <w:sz w:val="20"/>
        </w:rPr>
        <w:t>$1,992,386</w:t>
      </w:r>
      <w:r>
        <w:rPr>
          <w:rFonts w:ascii="Times New Roman" w:eastAsia="Times New Roman" w:hAnsi="Times New Roman" w:cs="Times New Roman"/>
          <w:sz w:val="20"/>
        </w:rPr>
        <w:t xml:space="preserve"> for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w:t>
      </w:r>
      <w:r>
        <w:rPr>
          <w:rFonts w:ascii="Times New Roman" w:eastAsia="Times New Roman" w:hAnsi="Times New Roman" w:cs="Times New Roman"/>
          <w:sz w:val="20"/>
        </w:rPr>
        <w:t>de</w:t>
      </w:r>
      <w:r>
        <w:rPr>
          <w:rFonts w:ascii="Times New Roman" w:eastAsia="Times New Roman" w:hAnsi="Times New Roman" w:cs="Times New Roman"/>
          <w:sz w:val="20"/>
        </w:rPr>
        <w:t>crease in net loss was primarily the result of the</w:t>
      </w:r>
      <w:r>
        <w:rPr>
          <w:rFonts w:ascii="Times New Roman" w:eastAsia="Times New Roman" w:hAnsi="Times New Roman" w:cs="Times New Roman"/>
          <w:sz w:val="20"/>
        </w:rPr>
        <w:t xml:space="preserve"> cost reductions</w:t>
      </w:r>
      <w:r>
        <w:rPr>
          <w:rFonts w:ascii="Times New Roman" w:eastAsia="Times New Roman" w:hAnsi="Times New Roman" w:cs="Times New Roman"/>
          <w:sz w:val="20"/>
        </w:rPr>
        <w:t xml:space="preserve"> </w:t>
      </w:r>
      <w:r>
        <w:rPr>
          <w:rFonts w:ascii="Times New Roman" w:eastAsia="Times New Roman" w:hAnsi="Times New Roman" w:cs="Times New Roman"/>
          <w:sz w:val="20"/>
        </w:rPr>
        <w:t>imple</w:t>
      </w:r>
      <w:r>
        <w:rPr>
          <w:rFonts w:ascii="Times New Roman" w:eastAsia="Times New Roman" w:hAnsi="Times New Roman" w:cs="Times New Roman"/>
          <w:sz w:val="20"/>
        </w:rPr>
        <w:t xml:space="preserve">mented as a result of </w:t>
      </w:r>
      <w:r>
        <w:rPr>
          <w:rFonts w:ascii="Times New Roman" w:eastAsia="Times New Roman" w:hAnsi="Times New Roman" w:cs="Times New Roman"/>
          <w:sz w:val="20"/>
        </w:rPr>
        <w:t>t</w:t>
      </w:r>
      <w:r>
        <w:rPr>
          <w:rFonts w:ascii="Times New Roman" w:eastAsia="Times New Roman" w:hAnsi="Times New Roman" w:cs="Times New Roman"/>
          <w:sz w:val="20"/>
        </w:rPr>
        <w:t>he revenue declines</w:t>
      </w:r>
      <w:r>
        <w:rPr>
          <w:rFonts w:ascii="Times New Roman" w:eastAsia="Times New Roman" w:hAnsi="Times New Roman" w:cs="Times New Roman"/>
          <w:sz w:val="20"/>
        </w:rPr>
        <w:t xml:space="preserve"> experienced as a result of </w:t>
      </w:r>
      <w:r>
        <w:rPr>
          <w:rFonts w:ascii="Times New Roman" w:eastAsia="Times New Roman" w:hAnsi="Times New Roman" w:cs="Times New Roman"/>
          <w:sz w:val="20"/>
        </w:rPr>
        <w:t>C</w:t>
      </w:r>
      <w:r>
        <w:rPr>
          <w:rFonts w:ascii="Times New Roman" w:eastAsia="Times New Roman" w:hAnsi="Times New Roman" w:cs="Times New Roman"/>
          <w:sz w:val="20"/>
        </w:rPr>
        <w:t>OVID-19</w:t>
      </w:r>
      <w:r>
        <w:rPr>
          <w:rFonts w:ascii="Times New Roman" w:eastAsia="Times New Roman" w:hAnsi="Times New Roman" w:cs="Times New Roman"/>
          <w:sz w:val="20"/>
        </w:rPr>
        <w:t xml:space="preserve"> </w:t>
      </w:r>
      <w:r>
        <w:rPr>
          <w:rFonts w:ascii="Times New Roman" w:eastAsia="Times New Roman" w:hAnsi="Times New Roman" w:cs="Times New Roman"/>
          <w:sz w:val="20"/>
        </w:rPr>
        <w:t>d</w:t>
      </w:r>
      <w:r>
        <w:rPr>
          <w:rFonts w:ascii="Times New Roman" w:eastAsia="Times New Roman" w:hAnsi="Times New Roman" w:cs="Times New Roman"/>
          <w:sz w:val="20"/>
        </w:rPr>
        <w:t xml:space="preserve">iscussed above.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bookmarkStart w:id="25" w:name="Section26"/>
      <w:bookmarkEnd w:id="25"/>
      <w:r>
        <w:rPr>
          <w:rFonts w:ascii="Times New Roman" w:eastAsia="Times New Roman" w:hAnsi="Times New Roman" w:cs="Times New Roman"/>
          <w:b/>
          <w:sz w:val="20"/>
        </w:rPr>
        <w:t xml:space="preserve">Results of Operations for the </w:t>
      </w:r>
      <w:r>
        <w:rPr>
          <w:rFonts w:ascii="Times New Roman" w:eastAsia="Times New Roman" w:hAnsi="Times New Roman" w:cs="Times New Roman"/>
          <w:b/>
          <w:sz w:val="20"/>
        </w:rPr>
        <w:t>Six Months Ended</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June 30, 2020</w:t>
      </w:r>
      <w:r>
        <w:rPr>
          <w:rFonts w:ascii="Times New Roman" w:eastAsia="Times New Roman" w:hAnsi="Times New Roman" w:cs="Times New Roman"/>
          <w:b/>
          <w:sz w:val="20"/>
        </w:rPr>
        <w:t xml:space="preserve"> and </w:t>
      </w:r>
      <w:r>
        <w:rPr>
          <w:rFonts w:ascii="Times New Roman" w:eastAsia="Times New Roman" w:hAnsi="Times New Roman" w:cs="Times New Roman"/>
          <w:b/>
          <w:sz w:val="20"/>
        </w:rPr>
        <w:t>2019</w:t>
      </w:r>
      <w:r>
        <w:rPr>
          <w:rFonts w:ascii="Times New Roman" w:eastAsia="Times New Roman" w:hAnsi="Times New Roman" w:cs="Times New Roman"/>
          <w:b/>
          <w:sz w:val="20"/>
        </w:rPr>
        <w:t xml:space="preser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The following table sets forth a summary of our consolidated statements of operations and the change between the periods:</w:t>
      </w:r>
    </w:p>
    <w:tbl>
      <w:tblPr>
        <w:tblW w:w="102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80"/>
        <w:gridCol w:w="160"/>
        <w:gridCol w:w="1045"/>
        <w:gridCol w:w="100"/>
        <w:gridCol w:w="75"/>
        <w:gridCol w:w="160"/>
        <w:gridCol w:w="1045"/>
        <w:gridCol w:w="100"/>
        <w:gridCol w:w="75"/>
        <w:gridCol w:w="160"/>
        <w:gridCol w:w="940"/>
        <w:gridCol w:w="100"/>
        <w:gridCol w:w="905"/>
        <w:gridCol w:w="100"/>
      </w:tblGrid>
      <w:tr>
        <w:tblPrEx>
          <w:tblW w:w="102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95"/>
        </w:trPr>
        <w:tc>
          <w:tcPr>
            <w:tcW w:w="52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68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Six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05" w:type="dxa"/>
            <w:gridSpan w:val="5"/>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45" w:type="dxa"/>
          <w:tblInd w:w="0" w:type="dxa"/>
          <w:tblCellMar>
            <w:left w:w="108" w:type="dxa"/>
            <w:right w:w="108" w:type="dxa"/>
          </w:tblCellMar>
        </w:tblPrEx>
        <w:trPr>
          <w:cantSplit/>
          <w:trHeight w:hRule="exact" w:val="300"/>
        </w:trPr>
        <w:tc>
          <w:tcPr>
            <w:tcW w:w="528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0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 Change</w:t>
            </w:r>
          </w:p>
        </w:tc>
      </w:tr>
      <w:tr>
        <w:tblPrEx>
          <w:tblW w:w="10245" w:type="dxa"/>
          <w:tblInd w:w="0" w:type="dxa"/>
          <w:tblCellMar>
            <w:left w:w="108" w:type="dxa"/>
            <w:right w:w="108" w:type="dxa"/>
          </w:tblCellMar>
        </w:tblPrEx>
        <w:trPr>
          <w:cantSplit/>
          <w:trHeight w:hRule="exact" w:val="285"/>
        </w:trPr>
        <w:tc>
          <w:tcPr>
            <w:tcW w:w="528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Revenue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7,898,707 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04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8,717,620 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(818,913)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180"/>
        </w:trPr>
        <w:tc>
          <w:tcPr>
            <w:tcW w:w="528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Costs and expenses:</w:t>
            </w:r>
          </w:p>
        </w:tc>
        <w:tc>
          <w:tcPr>
            <w:tcW w:w="130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45" w:type="dxa"/>
          <w:tblInd w:w="0" w:type="dxa"/>
          <w:tblCellMar>
            <w:left w:w="108" w:type="dxa"/>
            <w:right w:w="108" w:type="dxa"/>
          </w:tblCellMar>
        </w:tblPrEx>
        <w:trPr>
          <w:cantSplit/>
          <w:trHeight w:hRule="exact" w:val="300"/>
        </w:trPr>
        <w:tc>
          <w:tcPr>
            <w:tcW w:w="528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 xml:space="preserve">Cost of revenue (exclusive of amortization) </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3,554,766 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3,916,950 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(362,184)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Sales and marketing</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2,751,834 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2,719,909 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31,925 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General and administrative</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4,338,330 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4,844,359 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(506,029)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Impairment of goodwill</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Depreciation and amortization</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878,376 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884,329 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(5,953)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720"/>
              <w:jc w:val="left"/>
            </w:pPr>
            <w:r>
              <w:rPr>
                <w:rFonts w:ascii="Times New Roman" w:eastAsia="Times New Roman" w:hAnsi="Times New Roman" w:cs="Times New Roman"/>
                <w:color w:val="000000"/>
                <w:sz w:val="20"/>
              </w:rPr>
              <w:t>Total costs and expenses</w:t>
            </w: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15,823,306 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12,365,547 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3,457,759 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28 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Loss from operations</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(7,924,599)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(3,647,927)</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(4,276,672)</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117 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Other income (expense):</w:t>
            </w:r>
          </w:p>
        </w:tc>
        <w:tc>
          <w:tcPr>
            <w:tcW w:w="130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05" w:type="dxa"/>
            <w:gridSpan w:val="3"/>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0"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Interest expense</w:t>
            </w: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(26,094)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(215,201)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189,107 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Other income (expense), net</w:t>
            </w: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(3,910)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40,162 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(44,072)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(110)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285"/>
        </w:trPr>
        <w:tc>
          <w:tcPr>
            <w:tcW w:w="5280" w:type="dxa"/>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00" w:lineRule="auto"/>
              <w:ind w:left="720"/>
              <w:jc w:val="left"/>
            </w:pPr>
            <w:r>
              <w:rPr>
                <w:rFonts w:ascii="Times New Roman" w:eastAsia="Times New Roman" w:hAnsi="Times New Roman" w:cs="Times New Roman"/>
                <w:color w:val="000000"/>
                <w:sz w:val="20"/>
              </w:rPr>
              <w:t>Total other income (expense), net</w:t>
            </w: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(30,004)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0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(175,039)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0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145,035 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(83)</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45" w:type="dxa"/>
          <w:tblInd w:w="0" w:type="dxa"/>
          <w:tblCellMar>
            <w:left w:w="108" w:type="dxa"/>
            <w:right w:w="108" w:type="dxa"/>
          </w:tblCellMar>
        </w:tblPrEx>
        <w:trPr>
          <w:cantSplit/>
          <w:trHeight w:hRule="exact" w:val="300"/>
        </w:trPr>
        <w:tc>
          <w:tcPr>
            <w:tcW w:w="5280"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Net loss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(7,954,603)</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0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(3,822,966)</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(4,131,637)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905"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right"/>
            </w:pPr>
            <w:r>
              <w:rPr>
                <w:rFonts w:ascii="Times New Roman" w:eastAsia="Times New Roman" w:hAnsi="Times New Roman" w:cs="Times New Roman"/>
                <w:color w:val="000000"/>
                <w:sz w:val="20"/>
              </w:rPr>
              <w:t>108 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w:t>
            </w:r>
          </w:p>
        </w:tc>
      </w:tr>
    </w:tbl>
    <w:p>
      <w:pPr>
        <w:keepNext/>
        <w:keepLines/>
        <w:pageBreakBefore w:val="0"/>
        <w:widowControl w:val="0"/>
        <w:numPr>
          <w:ilvl w:val="0"/>
          <w:numId w:val="0"/>
        </w:numPr>
        <w:spacing w:before="100" w:after="0" w:line="248" w:lineRule="auto"/>
        <w:ind w:left="0" w:right="0" w:firstLine="0"/>
        <w:jc w:val="both"/>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Revenue</w:t>
      </w:r>
    </w:p>
    <w:p>
      <w:pPr>
        <w:keepNext w:val="0"/>
        <w:keepLines w:val="0"/>
        <w:pageBreakBefore w:val="0"/>
        <w:widowControl/>
        <w:numPr>
          <w:ilvl w:val="0"/>
          <w:numId w:val="0"/>
        </w:numPr>
        <w:spacing w:before="120" w:after="10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The following table illustrates our revenue by type, the percentage of total revenue by type, and the change between the periods:</w:t>
      </w:r>
    </w:p>
    <w:tbl>
      <w:tblPr>
        <w:tblW w:w="102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0"/>
        <w:gridCol w:w="160"/>
        <w:gridCol w:w="1135"/>
        <w:gridCol w:w="100"/>
        <w:gridCol w:w="560"/>
        <w:gridCol w:w="100"/>
        <w:gridCol w:w="75"/>
        <w:gridCol w:w="160"/>
        <w:gridCol w:w="1135"/>
        <w:gridCol w:w="100"/>
        <w:gridCol w:w="500"/>
        <w:gridCol w:w="100"/>
        <w:gridCol w:w="75"/>
        <w:gridCol w:w="160"/>
        <w:gridCol w:w="1135"/>
        <w:gridCol w:w="100"/>
        <w:gridCol w:w="905"/>
        <w:gridCol w:w="100"/>
      </w:tblGrid>
      <w:tr>
        <w:tblPrEx>
          <w:tblW w:w="1020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36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125" w:type="dxa"/>
            <w:gridSpan w:val="11"/>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Six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00"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055" w:type="dxa"/>
            <w:gridSpan w:val="5"/>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995" w:type="dxa"/>
            <w:gridSpan w:val="5"/>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 Change</w:t>
            </w:r>
          </w:p>
        </w:tc>
        <w:tc>
          <w:tcPr>
            <w:tcW w:w="1005" w:type="dxa"/>
            <w:gridSpan w:val="2"/>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 Change</w:t>
            </w:r>
          </w:p>
        </w:tc>
      </w:tr>
      <w:tr>
        <w:tblPrEx>
          <w:tblW w:w="10200" w:type="dxa"/>
          <w:jc w:val="left"/>
          <w:tblInd w:w="0" w:type="dxa"/>
          <w:tblCellMar>
            <w:left w:w="108" w:type="dxa"/>
            <w:right w:w="108" w:type="dxa"/>
          </w:tblCellMar>
        </w:tblPrEx>
        <w:trPr>
          <w:cantSplit/>
          <w:trHeight w:hRule="exact" w:val="300"/>
          <w:jc w:val="left"/>
        </w:trPr>
        <w:tc>
          <w:tcPr>
            <w:tcW w:w="360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Managed Services Revenue</w:t>
            </w: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6,615,404 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84 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6,858,803 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79 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(243,399)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195"/>
          <w:jc w:val="left"/>
        </w:trPr>
        <w:tc>
          <w:tcPr>
            <w:tcW w:w="36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6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00"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Legacy Workflow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91,621 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(91,621)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Marketplace Spend Fees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362,187 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689,291 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(327,104)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License Fees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825,544 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1,039,588 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(214,044)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300"/>
          <w:jc w:val="left"/>
        </w:trPr>
        <w:tc>
          <w:tcPr>
            <w:tcW w:w="360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Other Fees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95,572 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6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right"/>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38,317 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500"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57,255 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905" w:type="dxa"/>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300"/>
          <w:jc w:val="left"/>
        </w:trPr>
        <w:tc>
          <w:tcPr>
            <w:tcW w:w="3600" w:type="dxa"/>
            <w:tcBorders>
              <w:top w:val="single" w:sz="8" w:space="0" w:color="000000"/>
              <w:left w:val="nil"/>
              <w:bottom w:val="nil"/>
              <w:right w:val="nil"/>
            </w:tcBorders>
            <w:shd w:val="clear" w:color="auto" w:fill="FFFF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b/>
                <w:color w:val="000000"/>
                <w:sz w:val="20"/>
              </w:rPr>
              <w:t>SaaS Services Revenue</w:t>
            </w: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1,283,303 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1,858,817 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5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21 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(575,514)</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905"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(31)</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w:t>
            </w:r>
          </w:p>
        </w:tc>
      </w:tr>
      <w:tr>
        <w:tblPrEx>
          <w:tblW w:w="10200" w:type="dxa"/>
          <w:jc w:val="left"/>
          <w:tblInd w:w="0" w:type="dxa"/>
          <w:tblCellMar>
            <w:left w:w="108" w:type="dxa"/>
            <w:right w:w="108" w:type="dxa"/>
          </w:tblCellMar>
        </w:tblPrEx>
        <w:trPr>
          <w:cantSplit/>
          <w:trHeight w:hRule="exact" w:val="195"/>
          <w:jc w:val="left"/>
        </w:trPr>
        <w:tc>
          <w:tcPr>
            <w:tcW w:w="36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6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60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0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00" w:type="dxa"/>
          <w:jc w:val="left"/>
          <w:tblInd w:w="0" w:type="dxa"/>
          <w:tblCellMar>
            <w:left w:w="108" w:type="dxa"/>
            <w:right w:w="108" w:type="dxa"/>
          </w:tblCellMar>
        </w:tblPrEx>
        <w:trPr>
          <w:cantSplit/>
          <w:trHeight w:hRule="exact" w:val="405"/>
          <w:jc w:val="left"/>
        </w:trPr>
        <w:tc>
          <w:tcPr>
            <w:tcW w:w="3600" w:type="dxa"/>
            <w:tcBorders>
              <w:top w:val="nil"/>
              <w:left w:val="nil"/>
              <w:bottom w:val="double" w:sz="8" w:space="0" w:color="000000"/>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b/>
                <w:color w:val="000000"/>
                <w:sz w:val="20"/>
              </w:rPr>
              <w:t>Total Revenue</w:t>
            </w: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7,898,707 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c>
          <w:tcPr>
            <w:tcW w:w="5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100 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8,717,620 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c>
          <w:tcPr>
            <w:tcW w:w="50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100 </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double" w:sz="8" w:space="0" w:color="000000"/>
              <w:right w:val="nil"/>
            </w:tcBorders>
            <w:shd w:val="clear" w:color="auto" w:fill="FFFF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(818,913)</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left"/>
            </w:pPr>
          </w:p>
        </w:tc>
        <w:tc>
          <w:tcPr>
            <w:tcW w:w="905" w:type="dxa"/>
            <w:tcBorders>
              <w:top w:val="nil"/>
              <w:left w:val="nil"/>
              <w:bottom w:val="double" w:sz="8" w:space="0" w:color="000000"/>
              <w:right w:val="nil"/>
            </w:tcBorders>
            <w:shd w:val="clear" w:color="auto" w:fill="FFFFFF"/>
            <w:tcMar>
              <w:top w:w="0" w:type="dxa"/>
              <w:left w:w="53" w:type="dxa"/>
              <w:bottom w:w="0" w:type="dxa"/>
              <w:right w:w="0"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(9)</w:t>
            </w:r>
          </w:p>
        </w:tc>
        <w:tc>
          <w:tcPr>
            <w:tcW w:w="1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r>
    </w:tbl>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i/>
          <w:sz w:val="20"/>
        </w:rPr>
        <w:t>Managed Services</w:t>
      </w:r>
      <w:r>
        <w:rPr>
          <w:rFonts w:ascii="Times New Roman" w:eastAsia="Times New Roman" w:hAnsi="Times New Roman" w:cs="Times New Roman"/>
          <w:sz w:val="20"/>
        </w:rPr>
        <w:t xml:space="preserve"> revenue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w:t>
      </w:r>
      <w:r>
        <w:rPr>
          <w:rFonts w:ascii="Times New Roman" w:eastAsia="Times New Roman" w:hAnsi="Times New Roman" w:cs="Times New Roman"/>
          <w:sz w:val="20"/>
        </w:rPr>
        <w:t xml:space="preserve">creased </w:t>
      </w:r>
      <w:r>
        <w:rPr>
          <w:rFonts w:ascii="Times New Roman" w:eastAsia="Times New Roman" w:hAnsi="Times New Roman" w:cs="Times New Roman"/>
          <w:sz w:val="20"/>
        </w:rPr>
        <w:t>4%</w:t>
      </w:r>
      <w:r>
        <w:rPr>
          <w:rFonts w:ascii="Times New Roman" w:eastAsia="Times New Roman" w:hAnsi="Times New Roman" w:cs="Times New Roman"/>
          <w:sz w:val="20"/>
        </w:rPr>
        <w:t xml:space="preserve"> from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due to marketers canceling or pausing planned advertising campaigns in </w:t>
      </w:r>
      <w:r>
        <w:rPr>
          <w:rFonts w:ascii="Times New Roman" w:eastAsia="Times New Roman" w:hAnsi="Times New Roman" w:cs="Times New Roman"/>
          <w:sz w:val="20"/>
        </w:rPr>
        <w:t xml:space="preserve">March 2020 and </w:t>
      </w:r>
      <w:r>
        <w:rPr>
          <w:rFonts w:ascii="Times New Roman" w:eastAsia="Times New Roman" w:hAnsi="Times New Roman" w:cs="Times New Roman"/>
          <w:sz w:val="20"/>
        </w:rPr>
        <w:t xml:space="preserve">throughout </w:t>
      </w:r>
      <w:r>
        <w:rPr>
          <w:rFonts w:ascii="Times New Roman" w:eastAsia="Times New Roman" w:hAnsi="Times New Roman" w:cs="Times New Roman"/>
          <w:sz w:val="20"/>
        </w:rPr>
        <w:t xml:space="preserve">the second quarter of 2020 as a result of uncertainty or inability to offer their products for sale as a result of business shutdowns due to COVID-19 or </w:t>
      </w:r>
      <w:r>
        <w:rPr>
          <w:rFonts w:ascii="Times New Roman" w:eastAsia="Times New Roman" w:hAnsi="Times New Roman" w:cs="Times New Roman"/>
          <w:sz w:val="20"/>
        </w:rPr>
        <w:t xml:space="preserve">in light of </w:t>
      </w:r>
      <w:r>
        <w:rPr>
          <w:rFonts w:ascii="Times New Roman" w:eastAsia="Times New Roman" w:hAnsi="Times New Roman" w:cs="Times New Roman"/>
          <w:sz w:val="20"/>
        </w:rPr>
        <w:t xml:space="preserve">civil unrest. </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ab/>
      </w:r>
      <w:r>
        <w:rPr>
          <w:rFonts w:ascii="Times New Roman" w:eastAsia="Times New Roman" w:hAnsi="Times New Roman" w:cs="Times New Roman"/>
          <w:i/>
          <w:sz w:val="20"/>
        </w:rPr>
        <w:t>SaaS Services</w:t>
      </w:r>
      <w:r>
        <w:rPr>
          <w:rFonts w:ascii="Times New Roman" w:eastAsia="Times New Roman" w:hAnsi="Times New Roman" w:cs="Times New Roman"/>
          <w:sz w:val="20"/>
        </w:rPr>
        <w:t xml:space="preserve"> revenue is generated by the self-service use of our technology platforms by marketers to manage their own content workflow and influencer marketing campaigns. It consists of fees earned on the marketer’s spend within the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Ebyline </w:t>
      </w:r>
      <w:r>
        <w:rPr>
          <w:rFonts w:ascii="Times New Roman" w:eastAsia="Times New Roman" w:hAnsi="Times New Roman" w:cs="Times New Roman"/>
          <w:sz w:val="20"/>
        </w:rPr>
        <w:t>platforms, along with the license and support fees to access the platform services.</w:t>
      </w:r>
      <w:r>
        <w:rPr>
          <w:rFonts w:ascii="Times New Roman" w:eastAsia="Times New Roman" w:hAnsi="Times New Roman" w:cs="Times New Roman"/>
          <w:sz w:val="20"/>
        </w:rPr>
        <w:tab/>
      </w:r>
    </w:p>
    <w:p>
      <w:pPr>
        <w:keepNext w:val="0"/>
        <w:keepLines w:val="0"/>
        <w:pageBreakBefore w:val="0"/>
        <w:widowControl/>
        <w:numPr>
          <w:ilvl w:val="0"/>
          <w:numId w:val="41"/>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Legacy Workflow Fees </w:t>
      </w:r>
      <w:r>
        <w:rPr>
          <w:rFonts w:ascii="Times New Roman" w:eastAsia="Times New Roman" w:hAnsi="Times New Roman" w:cs="Times New Roman"/>
          <w:sz w:val="20"/>
        </w:rPr>
        <w:t xml:space="preserve">are no longer </w:t>
      </w:r>
      <w:r>
        <w:rPr>
          <w:rFonts w:ascii="Times New Roman" w:eastAsia="Times New Roman" w:hAnsi="Times New Roman" w:cs="Times New Roman"/>
          <w:sz w:val="20"/>
        </w:rPr>
        <w:t xml:space="preserve">generated </w:t>
      </w:r>
      <w:r>
        <w:rPr>
          <w:rFonts w:ascii="Times New Roman" w:eastAsia="Times New Roman" w:hAnsi="Times New Roman" w:cs="Times New Roman"/>
          <w:sz w:val="20"/>
        </w:rPr>
        <w:t>a</w:t>
      </w:r>
      <w:r>
        <w:rPr>
          <w:rFonts w:ascii="Times New Roman" w:eastAsia="Times New Roman" w:hAnsi="Times New Roman" w:cs="Times New Roman"/>
          <w:sz w:val="20"/>
        </w:rPr>
        <w:t xml:space="preserve">fter the migration of the last customers from the </w:t>
      </w:r>
      <w:r>
        <w:rPr>
          <w:rFonts w:ascii="Times New Roman" w:eastAsia="Times New Roman" w:hAnsi="Times New Roman" w:cs="Times New Roman"/>
          <w:i/>
          <w:sz w:val="20"/>
        </w:rPr>
        <w:t>Ebyline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December 2019</w:t>
      </w:r>
      <w:r>
        <w:rPr>
          <w:rFonts w:ascii="Times New Roman" w:eastAsia="Times New Roman" w:hAnsi="Times New Roman" w:cs="Times New Roman"/>
          <w:sz w:val="20"/>
        </w:rPr>
        <w:t>. A</w:t>
      </w:r>
      <w:r>
        <w:rPr>
          <w:rFonts w:ascii="Times New Roman" w:eastAsia="Times New Roman" w:hAnsi="Times New Roman" w:cs="Times New Roman"/>
          <w:sz w:val="20"/>
        </w:rPr>
        <w:t>ny</w:t>
      </w:r>
      <w:r>
        <w:rPr>
          <w:rFonts w:ascii="Times New Roman" w:eastAsia="Times New Roman" w:hAnsi="Times New Roman" w:cs="Times New Roman"/>
          <w:sz w:val="20"/>
        </w:rPr>
        <w:t xml:space="preserve"> </w:t>
      </w:r>
      <w:r>
        <w:rPr>
          <w:rFonts w:ascii="Times New Roman" w:eastAsia="Times New Roman" w:hAnsi="Times New Roman" w:cs="Times New Roman"/>
          <w:sz w:val="20"/>
        </w:rPr>
        <w:t>activity from</w:t>
      </w:r>
      <w:r>
        <w:rPr>
          <w:rFonts w:ascii="Times New Roman" w:eastAsia="Times New Roman" w:hAnsi="Times New Roman" w:cs="Times New Roman"/>
          <w:sz w:val="20"/>
        </w:rPr>
        <w:t xml:space="preserve"> former legacy workflow customers is now genera</w:t>
      </w:r>
      <w:r>
        <w:rPr>
          <w:rFonts w:ascii="Times New Roman" w:eastAsia="Times New Roman" w:hAnsi="Times New Roman" w:cs="Times New Roman"/>
          <w:sz w:val="20"/>
        </w:rPr>
        <w:t>ted</w:t>
      </w:r>
      <w:r>
        <w:rPr>
          <w:rFonts w:ascii="Times New Roman" w:eastAsia="Times New Roman" w:hAnsi="Times New Roman" w:cs="Times New Roman"/>
          <w:sz w:val="20"/>
        </w:rPr>
        <w:t xml:space="preserve"> under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platform</w:t>
      </w:r>
      <w:r>
        <w:rPr>
          <w:rFonts w:ascii="Times New Roman" w:eastAsia="Times New Roman" w:hAnsi="Times New Roman" w:cs="Times New Roman"/>
          <w:sz w:val="20"/>
        </w:rPr>
        <w:t xml:space="preserve"> </w:t>
      </w:r>
      <w:r>
        <w:rPr>
          <w:rFonts w:ascii="Times New Roman" w:eastAsia="Times New Roman" w:hAnsi="Times New Roman" w:cs="Times New Roman"/>
          <w:sz w:val="20"/>
        </w:rPr>
        <w:t>and</w:t>
      </w:r>
      <w:r>
        <w:rPr>
          <w:rFonts w:ascii="Times New Roman" w:eastAsia="Times New Roman" w:hAnsi="Times New Roman" w:cs="Times New Roman"/>
          <w:sz w:val="20"/>
        </w:rPr>
        <w:t xml:space="preserve"> reported as Marketplace Spend Fees</w:t>
      </w:r>
      <w:r>
        <w:rPr>
          <w:rFonts w:ascii="Times New Roman" w:eastAsia="Times New Roman" w:hAnsi="Times New Roman" w:cs="Times New Roman"/>
          <w:sz w:val="20"/>
        </w:rPr>
        <w:t xml:space="preserve">. </w:t>
      </w:r>
    </w:p>
    <w:p>
      <w:pPr>
        <w:keepNext w:val="0"/>
        <w:keepLines w:val="0"/>
        <w:pageBreakBefore w:val="0"/>
        <w:widowControl/>
        <w:numPr>
          <w:ilvl w:val="0"/>
          <w:numId w:val="41"/>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Marketplace Spend Fees</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decreased by </w:t>
      </w:r>
      <w:r>
        <w:rPr>
          <w:rFonts w:ascii="Times New Roman" w:eastAsia="Times New Roman" w:hAnsi="Times New Roman" w:cs="Times New Roman"/>
          <w:sz w:val="20"/>
        </w:rPr>
        <w:t>$327,104</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when compared with the same period </w:t>
      </w:r>
      <w:r>
        <w:rPr>
          <w:rFonts w:ascii="Times New Roman" w:eastAsia="Times New Roman" w:hAnsi="Times New Roman" w:cs="Times New Roman"/>
          <w:sz w:val="20"/>
        </w:rPr>
        <w:t>in</w:t>
      </w:r>
      <w:r>
        <w:rPr>
          <w:rFonts w:ascii="Times New Roman" w:eastAsia="Times New Roman" w:hAnsi="Times New Roman" w:cs="Times New Roman"/>
          <w:sz w:val="20"/>
        </w:rPr>
        <w:t xml:space="preserve"> </w:t>
      </w:r>
      <w:r>
        <w:rPr>
          <w:rFonts w:ascii="Times New Roman" w:eastAsia="Times New Roman" w:hAnsi="Times New Roman" w:cs="Times New Roman"/>
          <w:sz w:val="20"/>
        </w:rPr>
        <w:t>2019</w:t>
      </w:r>
      <w:r>
        <w:rPr>
          <w:rFonts w:ascii="Times New Roman" w:eastAsia="Times New Roman" w:hAnsi="Times New Roman" w:cs="Times New Roman"/>
          <w:sz w:val="20"/>
        </w:rPr>
        <w:t xml:space="preserve">, primarily as a result of lower spend levels from our marketers </w:t>
      </w:r>
      <w:r>
        <w:rPr>
          <w:rFonts w:ascii="Times New Roman" w:eastAsia="Times New Roman" w:hAnsi="Times New Roman" w:cs="Times New Roman"/>
          <w:sz w:val="20"/>
        </w:rPr>
        <w:t>and lower fees charged assessed on those spends</w:t>
      </w:r>
      <w:r>
        <w:rPr>
          <w:rFonts w:ascii="Times New Roman" w:eastAsia="Times New Roman" w:hAnsi="Times New Roman" w:cs="Times New Roman"/>
          <w:sz w:val="20"/>
        </w:rPr>
        <w:t xml:space="preserve"> as a result of competitive pricing efforts </w:t>
      </w:r>
      <w:r>
        <w:rPr>
          <w:rFonts w:ascii="Times New Roman" w:eastAsia="Times New Roman" w:hAnsi="Times New Roman" w:cs="Times New Roman"/>
          <w:sz w:val="20"/>
        </w:rPr>
        <w:t xml:space="preserve">and the incorporation of lower margin legacy workflow customers into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Revenue from Marketplace Spend Fees represents our net margins received on this business. After the migration of the last customers from the </w:t>
      </w:r>
      <w:r>
        <w:rPr>
          <w:rFonts w:ascii="Times New Roman" w:eastAsia="Times New Roman" w:hAnsi="Times New Roman" w:cs="Times New Roman"/>
          <w:i/>
          <w:sz w:val="20"/>
        </w:rPr>
        <w:t>TapInfluence</w:t>
      </w:r>
      <w:r>
        <w:rPr>
          <w:rFonts w:ascii="Times New Roman" w:eastAsia="Times New Roman" w:hAnsi="Times New Roman" w:cs="Times New Roman"/>
          <w:sz w:val="20"/>
        </w:rPr>
        <w:t xml:space="preserve"> platform to</w:t>
      </w:r>
      <w:r>
        <w:rPr>
          <w:rFonts w:ascii="Times New Roman" w:eastAsia="Times New Roman" w:hAnsi="Times New Roman" w:cs="Times New Roman"/>
          <w:i/>
          <w:sz w:val="20"/>
        </w:rPr>
        <w:t xml:space="preserve"> IZEAx</w:t>
      </w:r>
      <w:r>
        <w:rPr>
          <w:rFonts w:ascii="Times New Roman" w:eastAsia="Times New Roman" w:hAnsi="Times New Roman" w:cs="Times New Roman"/>
          <w:sz w:val="20"/>
        </w:rPr>
        <w:t xml:space="preserve"> in February 2020, all revenue is solely generated from the </w:t>
      </w:r>
      <w:r>
        <w:rPr>
          <w:rFonts w:ascii="Times New Roman" w:eastAsia="Times New Roman" w:hAnsi="Times New Roman" w:cs="Times New Roman"/>
          <w:i/>
          <w:sz w:val="20"/>
        </w:rPr>
        <w:t xml:space="preserve">IZEAx </w:t>
      </w:r>
      <w:r>
        <w:rPr>
          <w:rFonts w:ascii="Times New Roman" w:eastAsia="Times New Roman" w:hAnsi="Times New Roman" w:cs="Times New Roman"/>
          <w:sz w:val="20"/>
        </w:rPr>
        <w:t xml:space="preserve">platform. </w:t>
      </w:r>
    </w:p>
    <w:p>
      <w:pPr>
        <w:keepNext w:val="0"/>
        <w:keepLines w:val="0"/>
        <w:pageBreakBefore w:val="0"/>
        <w:widowControl/>
        <w:numPr>
          <w:ilvl w:val="0"/>
          <w:numId w:val="41"/>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xml:space="preserve">License Fees </w:t>
      </w:r>
      <w:r>
        <w:rPr>
          <w:rFonts w:ascii="Times New Roman" w:eastAsia="Times New Roman" w:hAnsi="Times New Roman" w:cs="Times New Roman"/>
          <w:sz w:val="20"/>
        </w:rPr>
        <w:t xml:space="preserve">revenue </w:t>
      </w:r>
      <w:r>
        <w:rPr>
          <w:rFonts w:ascii="Times New Roman" w:eastAsia="Times New Roman" w:hAnsi="Times New Roman" w:cs="Times New Roman"/>
          <w:sz w:val="20"/>
        </w:rPr>
        <w:t xml:space="preserve">decreased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to </w:t>
      </w:r>
      <w:r>
        <w:rPr>
          <w:rFonts w:ascii="Times New Roman" w:eastAsia="Times New Roman" w:hAnsi="Times New Roman" w:cs="Times New Roman"/>
          <w:sz w:val="20"/>
        </w:rPr>
        <w:t>$825,544</w:t>
      </w:r>
      <w:r>
        <w:rPr>
          <w:rFonts w:ascii="Times New Roman" w:eastAsia="Times New Roman" w:hAnsi="Times New Roman" w:cs="Times New Roman"/>
          <w:sz w:val="20"/>
        </w:rPr>
        <w:t xml:space="preserve"> compared to </w:t>
      </w:r>
      <w:r>
        <w:rPr>
          <w:rFonts w:ascii="Times New Roman" w:eastAsia="Times New Roman" w:hAnsi="Times New Roman" w:cs="Times New Roman"/>
          <w:sz w:val="20"/>
        </w:rPr>
        <w:t>$1,039,588</w:t>
      </w:r>
      <w:r>
        <w:rPr>
          <w:rFonts w:ascii="Times New Roman" w:eastAsia="Times New Roman" w:hAnsi="Times New Roman" w:cs="Times New Roman"/>
          <w:sz w:val="20"/>
        </w:rPr>
        <w:t xml:space="preserve"> in the same period </w:t>
      </w:r>
      <w:r>
        <w:rPr>
          <w:rFonts w:ascii="Times New Roman" w:eastAsia="Times New Roman" w:hAnsi="Times New Roman" w:cs="Times New Roman"/>
          <w:sz w:val="20"/>
        </w:rPr>
        <w:t>of</w:t>
      </w:r>
      <w:r>
        <w:rPr>
          <w:rFonts w:ascii="Times New Roman" w:eastAsia="Times New Roman" w:hAnsi="Times New Roman" w:cs="Times New Roman"/>
          <w:sz w:val="20"/>
        </w:rPr>
        <w:t xml:space="preserve">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decrease was partly due to former TapInfluence customers who churned during </w:t>
      </w:r>
      <w:r>
        <w:rPr>
          <w:rFonts w:ascii="Times New Roman" w:eastAsia="Times New Roman" w:hAnsi="Times New Roman" w:cs="Times New Roman"/>
          <w:sz w:val="20"/>
        </w:rPr>
        <w:t>the second half of</w:t>
      </w:r>
      <w:r>
        <w:rPr>
          <w:rFonts w:ascii="Times New Roman" w:eastAsia="Times New Roman" w:hAnsi="Times New Roman" w:cs="Times New Roman"/>
          <w:sz w:val="20"/>
        </w:rPr>
        <w:t xml:space="preserve"> </w:t>
      </w:r>
      <w:r>
        <w:rPr>
          <w:rFonts w:ascii="Times New Roman" w:eastAsia="Times New Roman" w:hAnsi="Times New Roman" w:cs="Times New Roman"/>
          <w:sz w:val="20"/>
        </w:rPr>
        <w:t>2019</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Additionally</w:t>
      </w:r>
      <w:r>
        <w:rPr>
          <w:rFonts w:ascii="Times New Roman" w:eastAsia="Times New Roman" w:hAnsi="Times New Roman" w:cs="Times New Roman"/>
          <w:sz w:val="20"/>
        </w:rPr>
        <w:t xml:space="preserve">, we implemented a competitive standardized pricing system for all </w:t>
      </w:r>
      <w:r>
        <w:rPr>
          <w:rFonts w:ascii="Times New Roman" w:eastAsia="Times New Roman" w:hAnsi="Times New Roman" w:cs="Times New Roman"/>
          <w:i/>
          <w:sz w:val="20"/>
        </w:rPr>
        <w:t>IZEAx</w:t>
      </w:r>
      <w:r>
        <w:rPr>
          <w:rFonts w:ascii="Times New Roman" w:eastAsia="Times New Roman" w:hAnsi="Times New Roman" w:cs="Times New Roman"/>
          <w:sz w:val="20"/>
        </w:rPr>
        <w:t xml:space="preserve"> customers that was at a lower price point than the former TapInfluence licensing contracts. </w:t>
      </w:r>
    </w:p>
    <w:p>
      <w:pPr>
        <w:keepNext w:val="0"/>
        <w:keepLines w:val="0"/>
        <w:pageBreakBefore w:val="0"/>
        <w:widowControl/>
        <w:numPr>
          <w:ilvl w:val="0"/>
          <w:numId w:val="41"/>
        </w:numPr>
        <w:spacing w:before="120" w:after="0" w:line="248" w:lineRule="auto"/>
        <w:ind w:left="720" w:right="0" w:hanging="36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Other</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F</w:t>
      </w:r>
      <w:r>
        <w:rPr>
          <w:rFonts w:ascii="Times New Roman" w:eastAsia="Times New Roman" w:hAnsi="Times New Roman" w:cs="Times New Roman"/>
          <w:i/>
          <w:sz w:val="20"/>
        </w:rPr>
        <w:t>ees</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revenue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w:t>
      </w:r>
      <w:r>
        <w:rPr>
          <w:rFonts w:ascii="Times New Roman" w:eastAsia="Times New Roman" w:hAnsi="Times New Roman" w:cs="Times New Roman"/>
          <w:sz w:val="20"/>
        </w:rPr>
        <w:t>149%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compared to the same period in</w:t>
      </w:r>
      <w:r>
        <w:rPr>
          <w:rFonts w:ascii="Times New Roman" w:eastAsia="Times New Roman" w:hAnsi="Times New Roman" w:cs="Times New Roman"/>
          <w:sz w:val="20"/>
        </w:rPr>
        <w:t xml:space="preserve"> </w:t>
      </w:r>
      <w:r>
        <w:rPr>
          <w:rFonts w:ascii="Times New Roman" w:eastAsia="Times New Roman" w:hAnsi="Times New Roman" w:cs="Times New Roman"/>
          <w:sz w:val="20"/>
        </w:rPr>
        <w:t>2019</w:t>
      </w:r>
      <w:r>
        <w:rPr>
          <w:rFonts w:ascii="Times New Roman" w:eastAsia="Times New Roman" w:hAnsi="Times New Roman" w:cs="Times New Roman"/>
          <w:sz w:val="20"/>
        </w:rPr>
        <w:t xml:space="preserve"> due to increases in </w:t>
      </w:r>
      <w:r>
        <w:rPr>
          <w:rFonts w:ascii="Times New Roman" w:eastAsia="Times New Roman" w:hAnsi="Times New Roman" w:cs="Times New Roman"/>
          <w:sz w:val="20"/>
        </w:rPr>
        <w:t>plan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subscription fees on </w:t>
      </w:r>
      <w:r>
        <w:rPr>
          <w:rFonts w:ascii="Times New Roman" w:eastAsia="Times New Roman" w:hAnsi="Times New Roman" w:cs="Times New Roman"/>
          <w:sz w:val="20"/>
        </w:rPr>
        <w:t xml:space="preserve">certain </w:t>
      </w:r>
      <w:r>
        <w:rPr>
          <w:rFonts w:ascii="Times New Roman" w:eastAsia="Times New Roman" w:hAnsi="Times New Roman" w:cs="Times New Roman"/>
          <w:sz w:val="20"/>
        </w:rPr>
        <w:t xml:space="preserve">new </w:t>
      </w:r>
      <w:r>
        <w:rPr>
          <w:rFonts w:ascii="Times New Roman" w:eastAsia="Times New Roman" w:hAnsi="Times New Roman" w:cs="Times New Roman"/>
          <w:sz w:val="20"/>
        </w:rPr>
        <w:t>self-service</w:t>
      </w:r>
      <w:r>
        <w:rPr>
          <w:rFonts w:ascii="Times New Roman" w:eastAsia="Times New Roman" w:hAnsi="Times New Roman" w:cs="Times New Roman"/>
          <w:sz w:val="20"/>
        </w:rPr>
        <w:t xml:space="preserve"> offerings such as </w:t>
      </w:r>
      <w:r>
        <w:rPr>
          <w:rFonts w:ascii="Times New Roman" w:eastAsia="Times New Roman" w:hAnsi="Times New Roman" w:cs="Times New Roman"/>
          <w:i/>
          <w:sz w:val="20"/>
        </w:rPr>
        <w:t>IZEAx</w:t>
      </w:r>
      <w:r>
        <w:rPr>
          <w:rFonts w:ascii="Times New Roman" w:eastAsia="Times New Roman" w:hAnsi="Times New Roman" w:cs="Times New Roman"/>
          <w:i/>
          <w:sz w:val="20"/>
        </w:rPr>
        <w:t xml:space="preserve"> </w:t>
      </w:r>
      <w:r>
        <w:rPr>
          <w:rFonts w:ascii="Times New Roman" w:eastAsia="Times New Roman" w:hAnsi="Times New Roman" w:cs="Times New Roman"/>
          <w:sz w:val="20"/>
        </w:rPr>
        <w:t>Discovery</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Cost of Revenue</w:t>
      </w:r>
    </w:p>
    <w:p>
      <w:pPr>
        <w:keepNext w:val="0"/>
        <w:keepLines/>
        <w:pageBreakBefore w:val="0"/>
        <w:widowControl w:val="0"/>
        <w:numPr>
          <w:ilvl w:val="0"/>
          <w:numId w:val="0"/>
        </w:numPr>
        <w:spacing w:before="12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Cost of revenue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$362,184</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9%</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p</w:t>
      </w:r>
      <w:r>
        <w:rPr>
          <w:rFonts w:ascii="Times New Roman" w:eastAsia="Times New Roman" w:hAnsi="Times New Roman" w:cs="Times New Roman"/>
          <w:sz w:val="20"/>
        </w:rPr>
        <w:t>rimarily</w:t>
      </w:r>
      <w:r>
        <w:rPr>
          <w:rFonts w:ascii="Times New Roman" w:eastAsia="Times New Roman" w:hAnsi="Times New Roman" w:cs="Times New Roman"/>
          <w:sz w:val="20"/>
        </w:rPr>
        <w:t xml:space="preserve"> as a result of the decrease in </w:t>
      </w:r>
      <w:r>
        <w:rPr>
          <w:rFonts w:ascii="Times New Roman" w:eastAsia="Times New Roman" w:hAnsi="Times New Roman" w:cs="Times New Roman"/>
          <w:sz w:val="20"/>
        </w:rPr>
        <w:t xml:space="preserve">Managed Services </w:t>
      </w:r>
      <w:r>
        <w:rPr>
          <w:rFonts w:ascii="Times New Roman" w:eastAsia="Times New Roman" w:hAnsi="Times New Roman" w:cs="Times New Roman"/>
          <w:sz w:val="20"/>
        </w:rPr>
        <w:t>revenue</w:t>
      </w:r>
      <w:r>
        <w:rPr>
          <w:rFonts w:ascii="Times New Roman" w:eastAsia="Times New Roman" w:hAnsi="Times New Roman" w:cs="Times New Roman"/>
          <w:sz w:val="20"/>
        </w:rPr>
        <w:t>. Cost of revenue as a percentage of revenue remained</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consistent at </w:t>
      </w:r>
      <w:r>
        <w:rPr>
          <w:rFonts w:ascii="Times New Roman" w:eastAsia="Times New Roman" w:hAnsi="Times New Roman" w:cs="Times New Roman"/>
          <w:sz w:val="20"/>
        </w:rPr>
        <w:t>45%</w:t>
      </w:r>
      <w:r>
        <w:rPr>
          <w:rFonts w:ascii="Times New Roman" w:eastAsia="Times New Roman" w:hAnsi="Times New Roman" w:cs="Times New Roman"/>
          <w:sz w:val="20"/>
        </w:rPr>
        <w:t xml:space="preserve">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and </w:t>
      </w:r>
      <w:r>
        <w:rPr>
          <w:rFonts w:ascii="Times New Roman" w:eastAsia="Times New Roman" w:hAnsi="Times New Roman" w:cs="Times New Roman"/>
          <w:sz w:val="20"/>
        </w:rPr>
        <w:t>45%</w:t>
      </w:r>
      <w:r>
        <w:rPr>
          <w:rFonts w:ascii="Times New Roman" w:eastAsia="Times New Roman" w:hAnsi="Times New Roman" w:cs="Times New Roman"/>
          <w:sz w:val="20"/>
        </w:rPr>
        <w:t xml:space="preserve"> in </w:t>
      </w:r>
      <w:r>
        <w:rPr>
          <w:rFonts w:ascii="Times New Roman" w:eastAsia="Times New Roman" w:hAnsi="Times New Roman" w:cs="Times New Roman"/>
          <w:sz w:val="20"/>
        </w:rPr>
        <w:t>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Sales and Marketing</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Sales and marketing expense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increased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$31,925</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1%</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O</w:t>
      </w:r>
      <w:r>
        <w:rPr>
          <w:rFonts w:ascii="Times New Roman" w:eastAsia="Times New Roman" w:hAnsi="Times New Roman" w:cs="Times New Roman"/>
          <w:sz w:val="20"/>
        </w:rPr>
        <w:t xml:space="preserve">ur average number of sales and marketing personnel increased by </w:t>
      </w:r>
      <w:r>
        <w:rPr>
          <w:rFonts w:ascii="Times New Roman" w:eastAsia="Times New Roman" w:hAnsi="Times New Roman" w:cs="Times New Roman"/>
          <w:sz w:val="20"/>
        </w:rPr>
        <w:t>14</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which, along with the increase in variable compensation linked with sales performance and stock compensation, contributed to a $</w:t>
      </w:r>
      <w:r>
        <w:rPr>
          <w:rFonts w:ascii="Times New Roman" w:eastAsia="Times New Roman" w:hAnsi="Times New Roman" w:cs="Times New Roman"/>
          <w:sz w:val="20"/>
        </w:rPr>
        <w:t>6</w:t>
      </w:r>
      <w:r>
        <w:rPr>
          <w:rFonts w:ascii="Times New Roman" w:eastAsia="Times New Roman" w:hAnsi="Times New Roman" w:cs="Times New Roman"/>
          <w:sz w:val="20"/>
        </w:rPr>
        <w:t xml:space="preserve">7,000 increase in sales and marketing payroll and personnel related expenses. </w:t>
      </w:r>
      <w:r>
        <w:rPr>
          <w:rFonts w:ascii="Times New Roman" w:eastAsia="Times New Roman" w:hAnsi="Times New Roman" w:cs="Times New Roman"/>
          <w:sz w:val="20"/>
        </w:rPr>
        <w:t>P</w:t>
      </w:r>
      <w:r>
        <w:rPr>
          <w:rFonts w:ascii="Times New Roman" w:eastAsia="Times New Roman" w:hAnsi="Times New Roman" w:cs="Times New Roman"/>
          <w:sz w:val="20"/>
        </w:rPr>
        <w:t>rior to the cost reduction efforts as a result of COVID-19, w</w:t>
      </w:r>
      <w:r>
        <w:rPr>
          <w:rFonts w:ascii="Times New Roman" w:eastAsia="Times New Roman" w:hAnsi="Times New Roman" w:cs="Times New Roman"/>
          <w:sz w:val="20"/>
        </w:rPr>
        <w:t xml:space="preserve">e also increased our marketing expenses </w:t>
      </w:r>
      <w:r>
        <w:rPr>
          <w:rFonts w:ascii="Times New Roman" w:eastAsia="Times New Roman" w:hAnsi="Times New Roman" w:cs="Times New Roman"/>
          <w:sz w:val="20"/>
        </w:rPr>
        <w:t>to generate awareness and future revenue</w:t>
      </w:r>
      <w:r>
        <w:rPr>
          <w:rFonts w:ascii="Times New Roman" w:eastAsia="Times New Roman" w:hAnsi="Times New Roman" w:cs="Times New Roman"/>
          <w:sz w:val="20"/>
        </w:rPr>
        <w:t xml:space="preserve"> which resulted in an overall increase of $40,000 </w:t>
      </w:r>
      <w:r>
        <w:rPr>
          <w:rFonts w:ascii="Times New Roman" w:eastAsia="Times New Roman" w:hAnsi="Times New Roman" w:cs="Times New Roman"/>
          <w:sz w:val="20"/>
        </w:rPr>
        <w:t>f</w:t>
      </w:r>
      <w:r>
        <w:rPr>
          <w:rFonts w:ascii="Times New Roman" w:eastAsia="Times New Roman" w:hAnsi="Times New Roman" w:cs="Times New Roman"/>
          <w:sz w:val="20"/>
        </w:rPr>
        <w:t xml:space="preserve">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c</w:t>
      </w:r>
      <w:r>
        <w:rPr>
          <w:rFonts w:ascii="Times New Roman" w:eastAsia="Times New Roman" w:hAnsi="Times New Roman" w:cs="Times New Roman"/>
          <w:sz w:val="20"/>
        </w:rPr>
        <w:t xml:space="preserve">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These increases were offset by a reduction in travel related expenses of $</w:t>
      </w:r>
      <w:r>
        <w:rPr>
          <w:rFonts w:ascii="Times New Roman" w:eastAsia="Times New Roman" w:hAnsi="Times New Roman" w:cs="Times New Roman"/>
          <w:sz w:val="20"/>
        </w:rPr>
        <w:t>59</w:t>
      </w:r>
      <w:r>
        <w:rPr>
          <w:rFonts w:ascii="Times New Roman" w:eastAsia="Times New Roman" w:hAnsi="Times New Roman" w:cs="Times New Roman"/>
          <w:sz w:val="20"/>
        </w:rPr>
        <w:t>,000 due to the impact of COVID-19 restricting travel</w:t>
      </w:r>
      <w:r>
        <w:rPr>
          <w:rFonts w:ascii="Times New Roman" w:eastAsia="Times New Roman" w:hAnsi="Times New Roman" w:cs="Times New Roman"/>
          <w:sz w:val="20"/>
        </w:rPr>
        <w:t xml:space="preserve"> </w:t>
      </w:r>
      <w:r>
        <w:rPr>
          <w:rFonts w:ascii="Times New Roman" w:eastAsia="Times New Roman" w:hAnsi="Times New Roman" w:cs="Times New Roman"/>
          <w:sz w:val="20"/>
        </w:rPr>
        <w:t>beginning in</w:t>
      </w:r>
      <w:r>
        <w:rPr>
          <w:rFonts w:ascii="Times New Roman" w:eastAsia="Times New Roman" w:hAnsi="Times New Roman" w:cs="Times New Roman"/>
          <w:sz w:val="20"/>
        </w:rPr>
        <w:t xml:space="preserve"> March</w:t>
      </w:r>
      <w:r>
        <w:rPr>
          <w:rFonts w:ascii="Times New Roman" w:eastAsia="Times New Roman" w:hAnsi="Times New Roman" w:cs="Times New Roman"/>
          <w:sz w:val="20"/>
        </w:rPr>
        <w:t xml:space="preserve"> 2020</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General and Administrative</w:t>
      </w:r>
      <w:r>
        <w:rPr>
          <w:rFonts w:ascii="Times New Roman" w:eastAsia="Times New Roman" w:hAnsi="Times New Roman" w:cs="Times New Roman"/>
          <w:b/>
          <w:sz w:val="20"/>
        </w:rPr>
        <w:t xml:space="preserve"> </w:t>
      </w:r>
    </w:p>
    <w:p>
      <w:pPr>
        <w:keepNext w:val="0"/>
        <w:keepLines/>
        <w:pageBreakBefore w:val="0"/>
        <w:widowControl w:val="0"/>
        <w:numPr>
          <w:ilvl w:val="0"/>
          <w:numId w:val="0"/>
        </w:numPr>
        <w:spacing w:before="12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color w:val="EE2724"/>
          <w:sz w:val="20"/>
        </w:rPr>
        <w:tab/>
      </w:r>
      <w:r>
        <w:rPr>
          <w:rFonts w:ascii="Times New Roman" w:eastAsia="Times New Roman" w:hAnsi="Times New Roman" w:cs="Times New Roman"/>
          <w:sz w:val="20"/>
        </w:rPr>
        <w:t xml:space="preserve">General and administrative expense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$506,029</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10%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General and administrative expense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w:t>
      </w:r>
      <w:r>
        <w:rPr>
          <w:rFonts w:ascii="Times New Roman" w:eastAsia="Times New Roman" w:hAnsi="Times New Roman" w:cs="Times New Roman"/>
          <w:sz w:val="20"/>
        </w:rPr>
        <w:t>due to a</w:t>
      </w:r>
      <w:r>
        <w:rPr>
          <w:rFonts w:ascii="Times New Roman" w:eastAsia="Times New Roman" w:hAnsi="Times New Roman" w:cs="Times New Roman"/>
          <w:sz w:val="20"/>
        </w:rPr>
        <w:t xml:space="preserve"> $</w:t>
      </w:r>
      <w:r>
        <w:rPr>
          <w:rFonts w:ascii="Times New Roman" w:eastAsia="Times New Roman" w:hAnsi="Times New Roman" w:cs="Times New Roman"/>
          <w:sz w:val="20"/>
        </w:rPr>
        <w:t>55</w:t>
      </w:r>
      <w:r>
        <w:rPr>
          <w:rFonts w:ascii="Times New Roman" w:eastAsia="Times New Roman" w:hAnsi="Times New Roman" w:cs="Times New Roman"/>
          <w:sz w:val="20"/>
        </w:rPr>
        <w:t>0</w:t>
      </w:r>
      <w:r>
        <w:rPr>
          <w:rFonts w:ascii="Times New Roman" w:eastAsia="Times New Roman" w:hAnsi="Times New Roman" w:cs="Times New Roman"/>
          <w:sz w:val="20"/>
        </w:rPr>
        <w:t xml:space="preserve">,000 reduction in </w:t>
      </w:r>
      <w:r>
        <w:rPr>
          <w:rFonts w:ascii="Times New Roman" w:eastAsia="Times New Roman" w:hAnsi="Times New Roman" w:cs="Times New Roman"/>
          <w:sz w:val="20"/>
        </w:rPr>
        <w:t xml:space="preserve"> payroll and personnel related expenses as a result of a </w:t>
      </w:r>
      <w:r>
        <w:rPr>
          <w:rFonts w:ascii="Times New Roman" w:eastAsia="Times New Roman" w:hAnsi="Times New Roman" w:cs="Times New Roman"/>
          <w:sz w:val="20"/>
        </w:rPr>
        <w:t>9</w:t>
      </w:r>
      <w:r>
        <w:rPr>
          <w:rFonts w:ascii="Times New Roman" w:eastAsia="Times New Roman" w:hAnsi="Times New Roman" w:cs="Times New Roman"/>
          <w:sz w:val="20"/>
        </w:rPr>
        <w:t xml:space="preserve">% reduction in staff compared to the prior year quarter and the 20% average decrease in salaries that was implemented during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as a result of the COVID-19 cost reduction efforts.</w:t>
      </w:r>
      <w:r>
        <w:rPr>
          <w:rFonts w:ascii="Times New Roman" w:eastAsia="Times New Roman" w:hAnsi="Times New Roman" w:cs="Times New Roman"/>
          <w:sz w:val="20"/>
        </w:rPr>
        <w:t xml:space="preserve"> </w:t>
      </w:r>
      <w:r>
        <w:rPr>
          <w:rFonts w:ascii="Times New Roman" w:eastAsia="Times New Roman" w:hAnsi="Times New Roman" w:cs="Times New Roman"/>
          <w:sz w:val="20"/>
        </w:rPr>
        <w:t>Rent expense also decreased by $</w:t>
      </w:r>
      <w:r>
        <w:rPr>
          <w:rFonts w:ascii="Times New Roman" w:eastAsia="Times New Roman" w:hAnsi="Times New Roman" w:cs="Times New Roman"/>
          <w:sz w:val="20"/>
        </w:rPr>
        <w:t>88</w:t>
      </w:r>
      <w:r>
        <w:rPr>
          <w:rFonts w:ascii="Times New Roman" w:eastAsia="Times New Roman" w:hAnsi="Times New Roman" w:cs="Times New Roman"/>
          <w:sz w:val="20"/>
        </w:rPr>
        <w:t>,000 due to the non-renewal of expiring office facility leases and travel costs decreased by $</w:t>
      </w:r>
      <w:r>
        <w:rPr>
          <w:rFonts w:ascii="Times New Roman" w:eastAsia="Times New Roman" w:hAnsi="Times New Roman" w:cs="Times New Roman"/>
          <w:sz w:val="20"/>
        </w:rPr>
        <w:t>6</w:t>
      </w:r>
      <w:r>
        <w:rPr>
          <w:rFonts w:ascii="Times New Roman" w:eastAsia="Times New Roman" w:hAnsi="Times New Roman" w:cs="Times New Roman"/>
          <w:sz w:val="20"/>
        </w:rPr>
        <w:t xml:space="preserve">4,000 as our employees continue to work from home. </w:t>
      </w:r>
      <w:r>
        <w:rPr>
          <w:rFonts w:ascii="Times New Roman" w:eastAsia="Times New Roman" w:hAnsi="Times New Roman" w:cs="Times New Roman"/>
          <w:sz w:val="20"/>
        </w:rPr>
        <w:t>General and admin</w:t>
      </w:r>
      <w:r>
        <w:rPr>
          <w:rFonts w:ascii="Times New Roman" w:eastAsia="Times New Roman" w:hAnsi="Times New Roman" w:cs="Times New Roman"/>
          <w:sz w:val="20"/>
        </w:rPr>
        <w:t xml:space="preserve">istrative expense also declined </w:t>
      </w:r>
      <w:r>
        <w:rPr>
          <w:rFonts w:ascii="Times New Roman" w:eastAsia="Times New Roman" w:hAnsi="Times New Roman" w:cs="Times New Roman"/>
          <w:sz w:val="20"/>
        </w:rPr>
        <w:t>due to</w:t>
      </w:r>
      <w:r>
        <w:rPr>
          <w:rFonts w:ascii="Times New Roman" w:eastAsia="Times New Roman" w:hAnsi="Times New Roman" w:cs="Times New Roman"/>
          <w:sz w:val="20"/>
        </w:rPr>
        <w:t xml:space="preserve"> a</w:t>
      </w:r>
      <w:r>
        <w:rPr>
          <w:rFonts w:ascii="Times New Roman" w:eastAsia="Times New Roman" w:hAnsi="Times New Roman" w:cs="Times New Roman"/>
          <w:sz w:val="20"/>
        </w:rPr>
        <w:t>n</w:t>
      </w:r>
      <w:r>
        <w:rPr>
          <w:rFonts w:ascii="Times New Roman" w:eastAsia="Times New Roman" w:hAnsi="Times New Roman" w:cs="Times New Roman"/>
          <w:sz w:val="20"/>
        </w:rPr>
        <w:t xml:space="preserve"> expense of </w:t>
      </w:r>
      <w:r>
        <w:rPr>
          <w:rFonts w:ascii="Times New Roman" w:eastAsia="Times New Roman" w:hAnsi="Times New Roman" w:cs="Times New Roman"/>
          <w:sz w:val="20"/>
        </w:rPr>
        <w:t>$191,439</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related to the settlement of </w:t>
      </w:r>
      <w:r>
        <w:rPr>
          <w:rFonts w:ascii="Times New Roman" w:eastAsia="Times New Roman" w:hAnsi="Times New Roman" w:cs="Times New Roman"/>
          <w:sz w:val="20"/>
        </w:rPr>
        <w:t>our</w:t>
      </w:r>
      <w:r>
        <w:rPr>
          <w:rFonts w:ascii="Times New Roman" w:eastAsia="Times New Roman" w:hAnsi="Times New Roman" w:cs="Times New Roman"/>
          <w:sz w:val="20"/>
        </w:rPr>
        <w:t xml:space="preserve"> acquisition</w:t>
      </w:r>
      <w:r>
        <w:rPr>
          <w:rFonts w:ascii="Times New Roman" w:eastAsia="Times New Roman" w:hAnsi="Times New Roman" w:cs="Times New Roman"/>
          <w:sz w:val="20"/>
        </w:rPr>
        <w:t xml:space="preserve"> cost</w:t>
      </w:r>
      <w:r>
        <w:rPr>
          <w:rFonts w:ascii="Times New Roman" w:eastAsia="Times New Roman" w:hAnsi="Times New Roman" w:cs="Times New Roman"/>
          <w:sz w:val="20"/>
        </w:rPr>
        <w:t xml:space="preserve"> liabilities</w:t>
      </w:r>
      <w:r>
        <w:rPr>
          <w:rFonts w:ascii="Times New Roman" w:eastAsia="Times New Roman" w:hAnsi="Times New Roman" w:cs="Times New Roman"/>
          <w:sz w:val="20"/>
        </w:rPr>
        <w:t xml:space="preserve"> in 2019 that did not recur in 2020.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On January 26, 2019, pursuant to a Merger Agreement with TapInfluence, Inc., we issued </w:t>
      </w:r>
      <w:r>
        <w:rPr>
          <w:rFonts w:ascii="Times New Roman" w:eastAsia="Times New Roman" w:hAnsi="Times New Roman" w:cs="Times New Roman"/>
          <w:sz w:val="20"/>
        </w:rPr>
        <w:t>660,136</w:t>
      </w:r>
      <w:r>
        <w:rPr>
          <w:rFonts w:ascii="Times New Roman" w:eastAsia="Times New Roman" w:hAnsi="Times New Roman" w:cs="Times New Roman"/>
          <w:sz w:val="20"/>
        </w:rPr>
        <w:t xml:space="preserve"> shares of our common stock valued at </w:t>
      </w:r>
      <w:r>
        <w:rPr>
          <w:rFonts w:ascii="Times New Roman" w:eastAsia="Times New Roman" w:hAnsi="Times New Roman" w:cs="Times New Roman"/>
          <w:sz w:val="20"/>
        </w:rPr>
        <w:t>$884,583</w:t>
      </w:r>
      <w:r>
        <w:rPr>
          <w:rFonts w:ascii="Times New Roman" w:eastAsia="Times New Roman" w:hAnsi="Times New Roman" w:cs="Times New Roman"/>
          <w:sz w:val="20"/>
        </w:rPr>
        <w:t xml:space="preserve">, or </w:t>
      </w:r>
      <w:r>
        <w:rPr>
          <w:rFonts w:ascii="Times New Roman" w:eastAsia="Times New Roman" w:hAnsi="Times New Roman" w:cs="Times New Roman"/>
          <w:sz w:val="20"/>
        </w:rPr>
        <w:t>$1.34</w:t>
      </w:r>
      <w:r>
        <w:rPr>
          <w:rFonts w:ascii="Times New Roman" w:eastAsia="Times New Roman" w:hAnsi="Times New Roman" w:cs="Times New Roman"/>
          <w:sz w:val="20"/>
        </w:rPr>
        <w:t xml:space="preserve"> per share, using the 30-day VWAP as reported by the Nasdaq Capital Market prior to the issuance date to pay for our purchase obligation. Upon the issuance, we recorded a non-cash loss on the settlement of this acquisition cost payable of </w:t>
      </w:r>
      <w:r>
        <w:rPr>
          <w:rFonts w:ascii="Times New Roman" w:eastAsia="Times New Roman" w:hAnsi="Times New Roman" w:cs="Times New Roman"/>
          <w:sz w:val="20"/>
        </w:rPr>
        <w:t>$191,439</w:t>
      </w:r>
      <w:r>
        <w:rPr>
          <w:rFonts w:ascii="Times New Roman" w:eastAsia="Times New Roman" w:hAnsi="Times New Roman" w:cs="Times New Roman"/>
          <w:sz w:val="20"/>
        </w:rPr>
        <w:t xml:space="preserve"> as a result of the difference between the actual closing market price of the common stock of </w:t>
      </w:r>
      <w:r>
        <w:rPr>
          <w:rFonts w:ascii="Times New Roman" w:eastAsia="Times New Roman" w:hAnsi="Times New Roman" w:cs="Times New Roman"/>
          <w:sz w:val="20"/>
        </w:rPr>
        <w:t>$1.63</w:t>
      </w:r>
      <w:r>
        <w:rPr>
          <w:rFonts w:ascii="Times New Roman" w:eastAsia="Times New Roman" w:hAnsi="Times New Roman" w:cs="Times New Roman"/>
          <w:sz w:val="20"/>
        </w:rPr>
        <w:t xml:space="preserve"> on the settlement date and the 30-day VWAP of </w:t>
      </w:r>
      <w:r>
        <w:rPr>
          <w:rFonts w:ascii="Times New Roman" w:eastAsia="Times New Roman" w:hAnsi="Times New Roman" w:cs="Times New Roman"/>
          <w:sz w:val="20"/>
        </w:rPr>
        <w:t>$1.34</w:t>
      </w:r>
      <w:r>
        <w:rPr>
          <w:rFonts w:ascii="Times New Roman" w:eastAsia="Times New Roman" w:hAnsi="Times New Roman" w:cs="Times New Roman"/>
          <w:sz w:val="20"/>
        </w:rPr>
        <w:t xml:space="preserve"> required by the Merger Agreement. This non-cash expense was not recurring in the current year, thus resulting in a</w:t>
      </w:r>
      <w:r>
        <w:rPr>
          <w:rFonts w:ascii="Times New Roman" w:eastAsia="Times New Roman" w:hAnsi="Times New Roman" w:cs="Times New Roman"/>
          <w:sz w:val="20"/>
        </w:rPr>
        <w:t xml:space="preserve"> </w:t>
      </w:r>
      <w:r>
        <w:rPr>
          <w:rFonts w:ascii="Times New Roman" w:eastAsia="Times New Roman" w:hAnsi="Times New Roman" w:cs="Times New Roman"/>
          <w:sz w:val="20"/>
        </w:rPr>
        <w:t>reduction</w:t>
      </w:r>
      <w:r>
        <w:rPr>
          <w:rFonts w:ascii="Times New Roman" w:eastAsia="Times New Roman" w:hAnsi="Times New Roman" w:cs="Times New Roman"/>
          <w:sz w:val="20"/>
        </w:rPr>
        <w:t xml:space="preserve"> of general and administrative expense in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as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120" w:after="0" w:line="248" w:lineRule="auto"/>
        <w:ind w:left="0" w:right="0" w:firstLine="720"/>
        <w:jc w:val="left"/>
        <w:outlineLvl w:val="9"/>
        <w:rPr>
          <w:rFonts w:ascii="Times New Roman" w:eastAsia="Times New Roman" w:hAnsi="Times New Roman" w:cs="Times New Roman"/>
          <w:i/>
          <w:sz w:val="20"/>
        </w:rPr>
      </w:pPr>
      <w:r>
        <w:rPr>
          <w:rFonts w:ascii="Times New Roman" w:eastAsia="Times New Roman" w:hAnsi="Times New Roman" w:cs="Times New Roman"/>
          <w:sz w:val="20"/>
        </w:rPr>
        <w:t>These decreases were offset by a $</w:t>
      </w:r>
      <w:r>
        <w:rPr>
          <w:rFonts w:ascii="Times New Roman" w:eastAsia="Times New Roman" w:hAnsi="Times New Roman" w:cs="Times New Roman"/>
          <w:sz w:val="20"/>
        </w:rPr>
        <w:t>67</w:t>
      </w:r>
      <w:r>
        <w:rPr>
          <w:rFonts w:ascii="Times New Roman" w:eastAsia="Times New Roman" w:hAnsi="Times New Roman" w:cs="Times New Roman"/>
          <w:sz w:val="20"/>
        </w:rPr>
        <w:t>,000 increase in professional services for special projects, a $35,000 increase in moving costs to vacate our leasehold premises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nearly $300,000 less </w:t>
      </w:r>
      <w:r>
        <w:rPr>
          <w:rFonts w:ascii="Times New Roman" w:eastAsia="Times New Roman" w:hAnsi="Times New Roman" w:cs="Times New Roman"/>
          <w:sz w:val="20"/>
        </w:rPr>
        <w:t xml:space="preserve">in personnel </w:t>
      </w:r>
      <w:r>
        <w:rPr>
          <w:rFonts w:ascii="Times New Roman" w:eastAsia="Times New Roman" w:hAnsi="Times New Roman" w:cs="Times New Roman"/>
          <w:sz w:val="20"/>
        </w:rPr>
        <w:t xml:space="preserve">costs </w:t>
      </w:r>
      <w:r>
        <w:rPr>
          <w:rFonts w:ascii="Times New Roman" w:eastAsia="Times New Roman" w:hAnsi="Times New Roman" w:cs="Times New Roman"/>
          <w:sz w:val="20"/>
        </w:rPr>
        <w:t>capit</w:t>
      </w:r>
      <w:r>
        <w:rPr>
          <w:rFonts w:ascii="Times New Roman" w:eastAsia="Times New Roman" w:hAnsi="Times New Roman" w:cs="Times New Roman"/>
          <w:sz w:val="20"/>
        </w:rPr>
        <w:t>aliz</w:t>
      </w:r>
      <w:r>
        <w:rPr>
          <w:rFonts w:ascii="Times New Roman" w:eastAsia="Times New Roman" w:hAnsi="Times New Roman" w:cs="Times New Roman"/>
          <w:sz w:val="20"/>
        </w:rPr>
        <w:t xml:space="preserve">ed to </w:t>
      </w:r>
      <w:r>
        <w:rPr>
          <w:rFonts w:ascii="Times New Roman" w:eastAsia="Times New Roman" w:hAnsi="Times New Roman" w:cs="Times New Roman"/>
          <w:sz w:val="20"/>
        </w:rPr>
        <w:t xml:space="preserve">internal </w:t>
      </w:r>
      <w:r>
        <w:rPr>
          <w:rFonts w:ascii="Times New Roman" w:eastAsia="Times New Roman" w:hAnsi="Times New Roman" w:cs="Times New Roman"/>
          <w:sz w:val="20"/>
        </w:rPr>
        <w:t>software</w:t>
      </w:r>
      <w:r>
        <w:rPr>
          <w:rFonts w:ascii="Times New Roman" w:eastAsia="Times New Roman" w:hAnsi="Times New Roman" w:cs="Times New Roman"/>
          <w:sz w:val="20"/>
        </w:rPr>
        <w:t xml:space="preserve"> costs </w:t>
      </w:r>
      <w:r>
        <w:rPr>
          <w:rFonts w:ascii="Times New Roman" w:eastAsia="Times New Roman" w:hAnsi="Times New Roman" w:cs="Times New Roman"/>
          <w:sz w:val="20"/>
        </w:rPr>
        <w:t>after the release of</w:t>
      </w:r>
      <w:r>
        <w:rPr>
          <w:rFonts w:ascii="Times New Roman" w:eastAsia="Times New Roman" w:hAnsi="Times New Roman" w:cs="Times New Roman"/>
          <w:i/>
          <w:sz w:val="20"/>
        </w:rPr>
        <w:t xml:space="preserve"> IZEAx 3.0</w:t>
      </w:r>
      <w:r>
        <w:rPr>
          <w:rFonts w:ascii="Times New Roman" w:eastAsia="Times New Roman" w:hAnsi="Times New Roman" w:cs="Times New Roman"/>
          <w:sz w:val="20"/>
        </w:rPr>
        <w:t xml:space="preserve"> in April 2019</w:t>
      </w:r>
      <w:r>
        <w:rPr>
          <w:rFonts w:ascii="Times New Roman" w:eastAsia="Times New Roman" w:hAnsi="Times New Roman" w:cs="Times New Roman"/>
          <w:sz w:val="20"/>
        </w:rPr>
        <w:t xml:space="preserve"> </w:t>
      </w:r>
      <w:r>
        <w:rPr>
          <w:rFonts w:ascii="Times New Roman" w:eastAsia="Times New Roman" w:hAnsi="Times New Roman" w:cs="Times New Roman"/>
          <w:sz w:val="20"/>
        </w:rPr>
        <w:t>during the</w:t>
      </w:r>
      <w:r>
        <w:rPr>
          <w:rFonts w:ascii="Times New Roman" w:eastAsia="Times New Roman" w:hAnsi="Times New Roman" w:cs="Times New Roman"/>
          <w:sz w:val="20"/>
        </w:rPr>
        <w:t xml:space="preserv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as compared to </w:t>
      </w:r>
      <w:r>
        <w:rPr>
          <w:rFonts w:ascii="Times New Roman" w:eastAsia="Times New Roman" w:hAnsi="Times New Roman" w:cs="Times New Roman"/>
          <w:sz w:val="20"/>
        </w:rPr>
        <w:t xml:space="preserve">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0" w:line="248" w:lineRule="auto"/>
        <w:ind w:left="0" w:right="27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Impairment of Goodwill </w:t>
      </w:r>
    </w:p>
    <w:p>
      <w:pPr>
        <w:keepNext/>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In March 2020, we identified</w:t>
      </w:r>
      <w:r>
        <w:rPr>
          <w:rFonts w:ascii="Times New Roman" w:eastAsia="Times New Roman" w:hAnsi="Times New Roman" w:cs="Times New Roman"/>
          <w:sz w:val="20"/>
        </w:rPr>
        <w:t xml:space="preserve"> triggering event</w:t>
      </w:r>
      <w:r>
        <w:rPr>
          <w:rFonts w:ascii="Times New Roman" w:eastAsia="Times New Roman" w:hAnsi="Times New Roman" w:cs="Times New Roman"/>
          <w:sz w:val="20"/>
        </w:rPr>
        <w:t>s</w:t>
      </w:r>
      <w:r>
        <w:rPr>
          <w:rFonts w:ascii="Times New Roman" w:eastAsia="Times New Roman" w:hAnsi="Times New Roman" w:cs="Times New Roman"/>
          <w:sz w:val="20"/>
        </w:rPr>
        <w:t xml:space="preserve"> due to the reduction in our projected revenue </w:t>
      </w:r>
      <w:r>
        <w:rPr>
          <w:rFonts w:ascii="Times New Roman" w:eastAsia="Times New Roman" w:hAnsi="Times New Roman" w:cs="Times New Roman"/>
          <w:sz w:val="20"/>
        </w:rPr>
        <w:t>due to adverse economic conditions caused by the COVID-19 pandemic,</w:t>
      </w:r>
      <w:r>
        <w:rPr>
          <w:rFonts w:ascii="Times New Roman" w:eastAsia="Times New Roman" w:hAnsi="Times New Roman" w:cs="Times New Roman"/>
          <w:sz w:val="20"/>
        </w:rPr>
        <w:t xml:space="preserve"> the continuation of a market capitalization below our carrying value</w:t>
      </w:r>
      <w:r>
        <w:rPr>
          <w:rFonts w:ascii="Times New Roman" w:eastAsia="Times New Roman" w:hAnsi="Times New Roman" w:cs="Times New Roman"/>
          <w:sz w:val="20"/>
        </w:rPr>
        <w:t>,</w:t>
      </w:r>
      <w:r>
        <w:rPr>
          <w:rFonts w:ascii="Times New Roman" w:eastAsia="Times New Roman" w:hAnsi="Times New Roman" w:cs="Times New Roman"/>
          <w:sz w:val="20"/>
        </w:rPr>
        <w:t xml:space="preserve"> and uncertainty for recovery given the volatility of the capital markets surrounding COVID-19. We performed an interim assessment of goodwill using the income approach of the discounted cash flow method and the market approach of the guideline transaction method and determined that the carrying value of our Company as of March 31, 2020 exceeded the fair value. As a result of the valuation, we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 </w:t>
      </w:r>
      <w:r>
        <w:rPr>
          <w:rFonts w:ascii="Times New Roman" w:eastAsia="Times New Roman" w:hAnsi="Times New Roman" w:cs="Times New Roman"/>
          <w:sz w:val="20"/>
        </w:rPr>
        <w:t>resulting in a</w:t>
      </w:r>
      <w:r>
        <w:rPr>
          <w:rFonts w:ascii="Times New Roman" w:eastAsia="Times New Roman" w:hAnsi="Times New Roman" w:cs="Times New Roman"/>
          <w:sz w:val="20"/>
        </w:rPr>
        <w:t xml:space="preserve">n expense </w:t>
      </w:r>
      <w:r>
        <w:rPr>
          <w:rFonts w:ascii="Times New Roman" w:eastAsia="Times New Roman" w:hAnsi="Times New Roman" w:cs="Times New Roman"/>
          <w:sz w:val="20"/>
        </w:rPr>
        <w:t>for</w:t>
      </w:r>
      <w:r>
        <w:rPr>
          <w:rFonts w:ascii="Times New Roman" w:eastAsia="Times New Roman" w:hAnsi="Times New Roman" w:cs="Times New Roman"/>
          <w:sz w:val="20"/>
        </w:rPr>
        <w:t xml:space="preserve">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b/>
          <w:i/>
          <w:sz w:val="20"/>
        </w:rPr>
        <w:t xml:space="preserve">Depreciation and Amortization </w:t>
      </w:r>
    </w:p>
    <w:p>
      <w:pPr>
        <w:keepNext w:val="0"/>
        <w:keepLines w:val="0"/>
        <w:pageBreakBefore w:val="0"/>
        <w:widowControl w:val="0"/>
        <w:numPr>
          <w:ilvl w:val="0"/>
          <w:numId w:val="0"/>
        </w:numPr>
        <w:spacing w:before="120" w:after="0" w:line="248" w:lineRule="auto"/>
        <w:ind w:left="0" w:right="27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Depreciation and amortization expense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$5,953</w:t>
      </w:r>
      <w:r>
        <w:rPr>
          <w:rFonts w:ascii="Times New Roman" w:eastAsia="Times New Roman" w:hAnsi="Times New Roman" w:cs="Times New Roman"/>
          <w:sz w:val="20"/>
        </w:rPr>
        <w:t xml:space="preserve">, or approximately </w:t>
      </w:r>
      <w:r>
        <w:rPr>
          <w:rFonts w:ascii="Times New Roman" w:eastAsia="Times New Roman" w:hAnsi="Times New Roman" w:cs="Times New Roman"/>
          <w:sz w:val="20"/>
        </w:rPr>
        <w:t>1%</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Depreciation and amortization expense on property and equipment was </w:t>
      </w:r>
      <w:r>
        <w:rPr>
          <w:rFonts w:ascii="Times New Roman" w:eastAsia="Times New Roman" w:hAnsi="Times New Roman" w:cs="Times New Roman"/>
          <w:sz w:val="20"/>
        </w:rPr>
        <w:t>$70,207</w:t>
      </w:r>
      <w:r>
        <w:rPr>
          <w:rFonts w:ascii="Times New Roman" w:eastAsia="Times New Roman" w:hAnsi="Times New Roman" w:cs="Times New Roman"/>
          <w:sz w:val="20"/>
        </w:rPr>
        <w:t xml:space="preserve"> and </w:t>
      </w:r>
      <w:r>
        <w:rPr>
          <w:rFonts w:ascii="Times New Roman" w:eastAsia="Times New Roman" w:hAnsi="Times New Roman" w:cs="Times New Roman"/>
          <w:sz w:val="20"/>
        </w:rPr>
        <w:t>$74,422</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Depreciation expense has declined primarily due to certain assets becoming fully depreciated.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Amortization expense was </w:t>
      </w:r>
      <w:r>
        <w:rPr>
          <w:rFonts w:ascii="Times New Roman" w:eastAsia="Times New Roman" w:hAnsi="Times New Roman" w:cs="Times New Roman"/>
          <w:sz w:val="20"/>
        </w:rPr>
        <w:t>$808,169</w:t>
      </w:r>
      <w:r>
        <w:rPr>
          <w:rFonts w:ascii="Times New Roman" w:eastAsia="Times New Roman" w:hAnsi="Times New Roman" w:cs="Times New Roman"/>
          <w:sz w:val="20"/>
        </w:rPr>
        <w:t xml:space="preserve"> and </w:t>
      </w:r>
      <w:r>
        <w:rPr>
          <w:rFonts w:ascii="Times New Roman" w:eastAsia="Times New Roman" w:hAnsi="Times New Roman" w:cs="Times New Roman"/>
          <w:sz w:val="20"/>
        </w:rPr>
        <w:t>$809,907</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Amortization expense related to intangible assets acquired in the Ebyline, ZenContent, and TapInfluence acquisitions was </w:t>
      </w:r>
      <w:r>
        <w:rPr>
          <w:rFonts w:ascii="Times New Roman" w:eastAsia="Times New Roman" w:hAnsi="Times New Roman" w:cs="Times New Roman"/>
          <w:sz w:val="20"/>
        </w:rPr>
        <w:t>$604,980</w:t>
      </w:r>
      <w:r>
        <w:rPr>
          <w:rFonts w:ascii="Times New Roman" w:eastAsia="Times New Roman" w:hAnsi="Times New Roman" w:cs="Times New Roman"/>
          <w:sz w:val="20"/>
        </w:rPr>
        <w:t xml:space="preserve"> and </w:t>
      </w:r>
      <w:r>
        <w:rPr>
          <w:rFonts w:ascii="Times New Roman" w:eastAsia="Times New Roman" w:hAnsi="Times New Roman" w:cs="Times New Roman"/>
          <w:sz w:val="20"/>
        </w:rPr>
        <w:t>$645,814</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respectively, while amortization expense related to internal use software development costs was </w:t>
      </w:r>
      <w:r>
        <w:rPr>
          <w:rFonts w:ascii="Times New Roman" w:eastAsia="Times New Roman" w:hAnsi="Times New Roman" w:cs="Times New Roman"/>
          <w:sz w:val="20"/>
        </w:rPr>
        <w:t>$203,189</w:t>
      </w:r>
      <w:r>
        <w:rPr>
          <w:rFonts w:ascii="Times New Roman" w:eastAsia="Times New Roman" w:hAnsi="Times New Roman" w:cs="Times New Roman"/>
          <w:sz w:val="20"/>
        </w:rPr>
        <w:t xml:space="preserve"> and </w:t>
      </w:r>
      <w:r>
        <w:rPr>
          <w:rFonts w:ascii="Times New Roman" w:eastAsia="Times New Roman" w:hAnsi="Times New Roman" w:cs="Times New Roman"/>
          <w:sz w:val="20"/>
        </w:rPr>
        <w:t>$164,093</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 respectively. Amortization on our intangible acquisition assets increased in 2020 due to higher amortization of the TapInfluence intangible assets acquired in July 2018</w:t>
      </w:r>
      <w:r>
        <w:rPr>
          <w:rFonts w:ascii="Times New Roman" w:eastAsia="Times New Roman" w:hAnsi="Times New Roman" w:cs="Times New Roman"/>
          <w:sz w:val="20"/>
        </w:rPr>
        <w:t xml:space="preserve"> in the first quarter of 2020</w:t>
      </w:r>
      <w:r>
        <w:rPr>
          <w:rFonts w:ascii="Times New Roman" w:eastAsia="Times New Roman" w:hAnsi="Times New Roman" w:cs="Times New Roman"/>
          <w:sz w:val="20"/>
        </w:rPr>
        <w:t xml:space="preserve">. However, this expense will decrease in the future periods as these assets </w:t>
      </w:r>
      <w:r>
        <w:rPr>
          <w:rFonts w:ascii="Times New Roman" w:eastAsia="Times New Roman" w:hAnsi="Times New Roman" w:cs="Times New Roman"/>
          <w:sz w:val="20"/>
        </w:rPr>
        <w:t>were</w:t>
      </w:r>
      <w:r>
        <w:rPr>
          <w:rFonts w:ascii="Times New Roman" w:eastAsia="Times New Roman" w:hAnsi="Times New Roman" w:cs="Times New Roman"/>
          <w:sz w:val="20"/>
        </w:rPr>
        <w:t xml:space="preserve"> fully amortized</w:t>
      </w:r>
      <w:r>
        <w:rPr>
          <w:rFonts w:ascii="Times New Roman" w:eastAsia="Times New Roman" w:hAnsi="Times New Roman" w:cs="Times New Roman"/>
          <w:sz w:val="20"/>
        </w:rPr>
        <w:t xml:space="preserve"> by March</w:t>
      </w:r>
      <w:r>
        <w:rPr>
          <w:rFonts w:ascii="Times New Roman" w:eastAsia="Times New Roman" w:hAnsi="Times New Roman" w:cs="Times New Roman"/>
          <w:sz w:val="20"/>
        </w:rPr>
        <w:t xml:space="preserve"> 2020</w:t>
      </w:r>
      <w:r>
        <w:rPr>
          <w:rFonts w:ascii="Times New Roman" w:eastAsia="Times New Roman" w:hAnsi="Times New Roman" w:cs="Times New Roman"/>
          <w:sz w:val="20"/>
        </w:rPr>
        <w:t>. Amortization on our internal use software is expected to increase in future periods due to the release of</w:t>
      </w:r>
      <w:r>
        <w:rPr>
          <w:rFonts w:ascii="Times New Roman" w:eastAsia="Times New Roman" w:hAnsi="Times New Roman" w:cs="Times New Roman"/>
          <w:i/>
          <w:sz w:val="20"/>
        </w:rPr>
        <w:t xml:space="preserve"> IZEAx 3.0</w:t>
      </w:r>
      <w:r>
        <w:rPr>
          <w:rFonts w:ascii="Times New Roman" w:eastAsia="Times New Roman" w:hAnsi="Times New Roman" w:cs="Times New Roman"/>
          <w:sz w:val="20"/>
        </w:rPr>
        <w:t xml:space="preserve"> in April 2019.</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Other Income (Expense)</w:t>
      </w: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i/>
          <w:sz w:val="20"/>
        </w:rPr>
      </w:pPr>
      <w:r>
        <w:rPr>
          <w:rFonts w:ascii="Times New Roman" w:eastAsia="Times New Roman" w:hAnsi="Times New Roman" w:cs="Times New Roman"/>
          <w:i/>
          <w:sz w:val="20"/>
        </w:rPr>
        <w:t> </w:t>
      </w:r>
      <w:r>
        <w:rPr>
          <w:rFonts w:ascii="Times New Roman" w:eastAsia="Times New Roman" w:hAnsi="Times New Roman" w:cs="Times New Roman"/>
          <w:sz w:val="20"/>
        </w:rPr>
        <w:tab/>
      </w:r>
      <w:r>
        <w:rPr>
          <w:rFonts w:ascii="Times New Roman" w:eastAsia="Times New Roman" w:hAnsi="Times New Roman" w:cs="Times New Roman"/>
          <w:sz w:val="20"/>
        </w:rPr>
        <w:t xml:space="preserve">Interest expense </w:t>
      </w:r>
      <w:r>
        <w:rPr>
          <w:rFonts w:ascii="Times New Roman" w:eastAsia="Times New Roman" w:hAnsi="Times New Roman" w:cs="Times New Roman"/>
          <w:sz w:val="20"/>
        </w:rPr>
        <w:t>decreased</w:t>
      </w:r>
      <w:r>
        <w:rPr>
          <w:rFonts w:ascii="Times New Roman" w:eastAsia="Times New Roman" w:hAnsi="Times New Roman" w:cs="Times New Roman"/>
          <w:sz w:val="20"/>
        </w:rPr>
        <w:t xml:space="preserve"> by </w:t>
      </w:r>
      <w:r>
        <w:rPr>
          <w:rFonts w:ascii="Times New Roman" w:eastAsia="Times New Roman" w:hAnsi="Times New Roman" w:cs="Times New Roman"/>
          <w:sz w:val="20"/>
        </w:rPr>
        <w:t>$189,107</w:t>
      </w:r>
      <w:r>
        <w:rPr>
          <w:rFonts w:ascii="Times New Roman" w:eastAsia="Times New Roman" w:hAnsi="Times New Roman" w:cs="Times New Roman"/>
          <w:sz w:val="20"/>
        </w:rPr>
        <w:t xml:space="preserve"> to </w:t>
      </w:r>
      <w:r>
        <w:rPr>
          <w:rFonts w:ascii="Times New Roman" w:eastAsia="Times New Roman" w:hAnsi="Times New Roman" w:cs="Times New Roman"/>
          <w:sz w:val="20"/>
        </w:rPr>
        <w:t>$26,094</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w:t>
      </w:r>
      <w:r>
        <w:rPr>
          <w:rFonts w:ascii="Times New Roman" w:eastAsia="Times New Roman" w:hAnsi="Times New Roman" w:cs="Times New Roman"/>
          <w:sz w:val="20"/>
        </w:rPr>
        <w:t>due primarily to the elimination of amounts owed on our acquisition costs payable and amortization thereon</w:t>
      </w:r>
      <w:r>
        <w:rPr>
          <w:rFonts w:ascii="Times New Roman" w:eastAsia="Times New Roman" w:hAnsi="Times New Roman" w:cs="Times New Roman"/>
          <w:sz w:val="20"/>
        </w:rPr>
        <w:t xml:space="preserve"> after July 2019</w:t>
      </w:r>
      <w:r>
        <w:rPr>
          <w:rFonts w:ascii="Times New Roman" w:eastAsia="Times New Roman" w:hAnsi="Times New Roman" w:cs="Times New Roman"/>
          <w:sz w:val="20"/>
        </w:rPr>
        <w:t xml:space="preserve"> and partly</w:t>
      </w:r>
      <w:r>
        <w:rPr>
          <w:rFonts w:ascii="Times New Roman" w:eastAsia="Times New Roman" w:hAnsi="Times New Roman" w:cs="Times New Roman"/>
          <w:sz w:val="20"/>
        </w:rPr>
        <w:t xml:space="preserve"> to the </w:t>
      </w:r>
      <w:r>
        <w:rPr>
          <w:rFonts w:ascii="Times New Roman" w:eastAsia="Times New Roman" w:hAnsi="Times New Roman" w:cs="Times New Roman"/>
          <w:sz w:val="20"/>
        </w:rPr>
        <w:t>reduction in our average</w:t>
      </w:r>
      <w:r>
        <w:rPr>
          <w:rFonts w:ascii="Times New Roman" w:eastAsia="Times New Roman" w:hAnsi="Times New Roman" w:cs="Times New Roman"/>
          <w:sz w:val="20"/>
        </w:rPr>
        <w:t xml:space="preserve"> borrowings on our secured credit facility </w:t>
      </w:r>
      <w:r>
        <w:rPr>
          <w:rFonts w:ascii="Times New Roman" w:eastAsia="Times New Roman" w:hAnsi="Times New Roman" w:cs="Times New Roman"/>
          <w:sz w:val="20"/>
        </w:rPr>
        <w:t xml:space="preserve">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w:t>
      </w:r>
      <w:r>
        <w:rPr>
          <w:rFonts w:ascii="Times New Roman" w:eastAsia="Times New Roman" w:hAnsi="Times New Roman" w:cs="Times New Roman"/>
          <w:sz w:val="20"/>
        </w:rPr>
        <w:t>$44,072</w:t>
      </w:r>
      <w:r>
        <w:rPr>
          <w:rFonts w:ascii="Times New Roman" w:eastAsia="Times New Roman" w:hAnsi="Times New Roman" w:cs="Times New Roman"/>
          <w:sz w:val="20"/>
        </w:rPr>
        <w:t xml:space="preserve"> decrease in other income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when compared to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resulted primarily from net currency exchange losses related to our Canadian transactions after the sharp decline in rates in March 2020 c</w:t>
      </w:r>
      <w:r>
        <w:rPr>
          <w:rFonts w:ascii="Times New Roman" w:eastAsia="Times New Roman" w:hAnsi="Times New Roman" w:cs="Times New Roman"/>
          <w:color w:val="1A1A1A"/>
          <w:sz w:val="20"/>
          <w:shd w:val="clear" w:color="auto" w:fill="FFFFFF"/>
        </w:rPr>
        <w:t xml:space="preserve">ompared to net currency exchange gains on </w:t>
      </w:r>
      <w:r>
        <w:rPr>
          <w:rFonts w:ascii="Times New Roman" w:eastAsia="Times New Roman" w:hAnsi="Times New Roman" w:cs="Times New Roman"/>
          <w:sz w:val="20"/>
        </w:rPr>
        <w:t xml:space="preserve">our Canadian transactions </w:t>
      </w:r>
      <w:r>
        <w:rPr>
          <w:rFonts w:ascii="Times New Roman" w:eastAsia="Times New Roman" w:hAnsi="Times New Roman" w:cs="Times New Roman"/>
          <w:color w:val="1A1A1A"/>
          <w:sz w:val="20"/>
          <w:shd w:val="clear" w:color="auto" w:fill="FFFFFF"/>
        </w:rPr>
        <w:t xml:space="preserve">in </w:t>
      </w:r>
      <w:r>
        <w:rPr>
          <w:rFonts w:ascii="Times New Roman" w:eastAsia="Times New Roman" w:hAnsi="Times New Roman" w:cs="Times New Roman"/>
          <w:sz w:val="20"/>
        </w:rPr>
        <w:t>2019</w:t>
      </w:r>
      <w:r>
        <w:rPr>
          <w:rFonts w:ascii="Times New Roman" w:eastAsia="Times New Roman" w:hAnsi="Times New Roman" w:cs="Times New Roman"/>
          <w:color w:val="1A1A1A"/>
          <w:sz w:val="20"/>
          <w:shd w:val="clear" w:color="auto" w:fill="FFFFFF"/>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Net Loss</w:t>
      </w:r>
    </w:p>
    <w:p>
      <w:pPr>
        <w:keepNext w:val="0"/>
        <w:keepLines w:val="0"/>
        <w:pageBreakBefore w:val="0"/>
        <w:widowControl/>
        <w:numPr>
          <w:ilvl w:val="0"/>
          <w:numId w:val="0"/>
        </w:numPr>
        <w:spacing w:before="12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r>
        <w:rPr>
          <w:rFonts w:ascii="Times New Roman" w:eastAsia="Times New Roman" w:hAnsi="Times New Roman" w:cs="Times New Roman"/>
          <w:sz w:val="20"/>
        </w:rPr>
        <w:tab/>
      </w:r>
      <w:r>
        <w:rPr>
          <w:rFonts w:ascii="Times New Roman" w:eastAsia="Times New Roman" w:hAnsi="Times New Roman" w:cs="Times New Roman"/>
          <w:sz w:val="20"/>
        </w:rPr>
        <w:t xml:space="preserve">Net loss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$7,954,603</w:t>
      </w:r>
      <w:r>
        <w:rPr>
          <w:rFonts w:ascii="Times New Roman" w:eastAsia="Times New Roman" w:hAnsi="Times New Roman" w:cs="Times New Roman"/>
          <w:sz w:val="20"/>
        </w:rPr>
        <w:t xml:space="preserve">, a </w:t>
      </w:r>
      <w:r>
        <w:rPr>
          <w:rFonts w:ascii="Times New Roman" w:eastAsia="Times New Roman" w:hAnsi="Times New Roman" w:cs="Times New Roman"/>
          <w:sz w:val="20"/>
        </w:rPr>
        <w:t>$4,131,637</w:t>
      </w:r>
      <w:r>
        <w:rPr>
          <w:rFonts w:ascii="Times New Roman" w:eastAsia="Times New Roman" w:hAnsi="Times New Roman" w:cs="Times New Roman"/>
          <w:sz w:val="20"/>
        </w:rPr>
        <w:t xml:space="preserve"> increase in the net loss of </w:t>
      </w:r>
      <w:r>
        <w:rPr>
          <w:rFonts w:ascii="Times New Roman" w:eastAsia="Times New Roman" w:hAnsi="Times New Roman" w:cs="Times New Roman"/>
          <w:sz w:val="20"/>
        </w:rPr>
        <w:t>$3,822,966</w:t>
      </w:r>
      <w:r>
        <w:rPr>
          <w:rFonts w:ascii="Times New Roman" w:eastAsia="Times New Roman" w:hAnsi="Times New Roman" w:cs="Times New Roman"/>
          <w:sz w:val="20"/>
        </w:rPr>
        <w:t xml:space="preserve"> for the same period in </w:t>
      </w:r>
      <w:r>
        <w:rPr>
          <w:rFonts w:ascii="Times New Roman" w:eastAsia="Times New Roman" w:hAnsi="Times New Roman" w:cs="Times New Roman"/>
          <w:sz w:val="20"/>
        </w:rPr>
        <w:t>2019</w:t>
      </w:r>
      <w:r>
        <w:rPr>
          <w:rFonts w:ascii="Times New Roman" w:eastAsia="Times New Roman" w:hAnsi="Times New Roman" w:cs="Times New Roman"/>
          <w:sz w:val="20"/>
        </w:rPr>
        <w:t xml:space="preserve">. The increase in net loss was primarily the result of the goodwill impairment discussed above.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bookmarkStart w:id="26" w:name="Section27"/>
      <w:bookmarkEnd w:id="26"/>
      <w:r>
        <w:rPr>
          <w:rFonts w:ascii="Times New Roman" w:eastAsia="Times New Roman" w:hAnsi="Times New Roman" w:cs="Times New Roman"/>
          <w:b/>
          <w:sz w:val="20"/>
        </w:rPr>
        <w:t xml:space="preserve">Key Metrics and </w:t>
      </w:r>
      <w:r>
        <w:rPr>
          <w:rFonts w:ascii="Times New Roman" w:eastAsia="Times New Roman" w:hAnsi="Times New Roman" w:cs="Times New Roman"/>
          <w:b/>
          <w:sz w:val="20"/>
        </w:rPr>
        <w:t>Non-GAAP Financial Measures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Below are financial measures of our gross billings and Adjusted EBITDA. </w:t>
      </w:r>
      <w:r>
        <w:rPr>
          <w:rFonts w:ascii="Times New Roman" w:eastAsia="Times New Roman" w:hAnsi="Times New Roman" w:cs="Times New Roman"/>
          <w:sz w:val="20"/>
        </w:rPr>
        <w:t>We use th</w:t>
      </w:r>
      <w:r>
        <w:rPr>
          <w:rFonts w:ascii="Times New Roman" w:eastAsia="Times New Roman" w:hAnsi="Times New Roman" w:cs="Times New Roman"/>
          <w:sz w:val="20"/>
        </w:rPr>
        <w:t>is information</w:t>
      </w:r>
      <w:r>
        <w:rPr>
          <w:rFonts w:ascii="Times New Roman" w:eastAsia="Times New Roman" w:hAnsi="Times New Roman" w:cs="Times New Roman"/>
          <w:sz w:val="20"/>
        </w:rPr>
        <w:t xml:space="preserve"> to assess the progress of our business and make decisions on where to allocate our resources. As our business evolves, we may make changes in future periods to the key financial metrics that we consider to measure our business.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Gross Billings by Revenue </w:t>
      </w:r>
      <w:r>
        <w:rPr>
          <w:rFonts w:ascii="Times New Roman" w:eastAsia="Times New Roman" w:hAnsi="Times New Roman" w:cs="Times New Roman"/>
          <w:b/>
          <w:i/>
          <w:sz w:val="20"/>
        </w:rPr>
        <w:t>Type</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Company management evaluates </w:t>
      </w:r>
      <w:r>
        <w:rPr>
          <w:rFonts w:ascii="Times New Roman" w:eastAsia="Times New Roman" w:hAnsi="Times New Roman" w:cs="Times New Roman"/>
          <w:sz w:val="20"/>
        </w:rPr>
        <w:t>our</w:t>
      </w:r>
      <w:r>
        <w:rPr>
          <w:rFonts w:ascii="Times New Roman" w:eastAsia="Times New Roman" w:hAnsi="Times New Roman" w:cs="Times New Roman"/>
          <w:sz w:val="20"/>
        </w:rPr>
        <w:t xml:space="preserve"> operations and makes strategic decisions based, in part, on </w:t>
      </w:r>
      <w:r>
        <w:rPr>
          <w:rFonts w:ascii="Times New Roman" w:eastAsia="Times New Roman" w:hAnsi="Times New Roman" w:cs="Times New Roman"/>
          <w:sz w:val="20"/>
        </w:rPr>
        <w:t xml:space="preserve">our key metric of </w:t>
      </w:r>
      <w:r>
        <w:rPr>
          <w:rFonts w:ascii="Times New Roman" w:eastAsia="Times New Roman" w:hAnsi="Times New Roman" w:cs="Times New Roman"/>
          <w:sz w:val="20"/>
        </w:rPr>
        <w:t xml:space="preserve">gross billings from </w:t>
      </w:r>
      <w:r>
        <w:rPr>
          <w:rFonts w:ascii="Times New Roman" w:eastAsia="Times New Roman" w:hAnsi="Times New Roman" w:cs="Times New Roman"/>
          <w:sz w:val="20"/>
        </w:rPr>
        <w:t>our</w:t>
      </w:r>
      <w:r>
        <w:rPr>
          <w:rFonts w:ascii="Times New Roman" w:eastAsia="Times New Roman" w:hAnsi="Times New Roman" w:cs="Times New Roman"/>
          <w:sz w:val="20"/>
        </w:rPr>
        <w:t xml:space="preserve"> two primary types of revenue, Managed Services and SaaS Services. We define gross billings</w:t>
      </w:r>
      <w:r>
        <w:rPr>
          <w:rFonts w:ascii="Times New Roman" w:eastAsia="Times New Roman" w:hAnsi="Times New Roman" w:cs="Times New Roman"/>
          <w:sz w:val="20"/>
        </w:rPr>
        <w:t xml:space="preserve"> as the total dollar value of the amounts</w:t>
      </w:r>
      <w:r>
        <w:rPr>
          <w:rFonts w:ascii="Times New Roman" w:eastAsia="Times New Roman" w:hAnsi="Times New Roman" w:cs="Times New Roman"/>
          <w:sz w:val="20"/>
        </w:rPr>
        <w:t xml:space="preserve"> charged to</w:t>
      </w:r>
      <w:r>
        <w:rPr>
          <w:rFonts w:ascii="Times New Roman" w:eastAsia="Times New Roman" w:hAnsi="Times New Roman" w:cs="Times New Roman"/>
          <w:sz w:val="20"/>
        </w:rPr>
        <w:t xml:space="preserve"> our customers for the services we performed, or the amounts billed to our customers for their self-service purchase of goods and services on our platforms. Gross billings are the amounts of our reported revenue plus the cost of payments we made to third-party creators providing the content or sponsorship services, which are netted against revenue for generally accepted accounting principles in the United States (“GAAP”) reporting purposes.</w:t>
      </w:r>
    </w:p>
    <w:p>
      <w:pPr>
        <w:keepNext w:val="0"/>
        <w:keepLines w:val="0"/>
        <w:pageBreakBefore w:val="0"/>
        <w:widowControl w:val="0"/>
        <w:numPr>
          <w:ilvl w:val="0"/>
          <w:numId w:val="0"/>
        </w:numPr>
        <w:spacing w:before="0" w:after="0" w:line="248" w:lineRule="auto"/>
        <w:ind w:left="1080" w:right="180" w:hanging="27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Gross billings for Managed Services </w:t>
      </w:r>
      <w:r>
        <w:rPr>
          <w:rFonts w:ascii="Times New Roman" w:eastAsia="Times New Roman" w:hAnsi="Times New Roman" w:cs="Times New Roman"/>
          <w:sz w:val="20"/>
        </w:rPr>
        <w:t>are</w:t>
      </w:r>
      <w:r>
        <w:rPr>
          <w:rFonts w:ascii="Times New Roman" w:eastAsia="Times New Roman" w:hAnsi="Times New Roman" w:cs="Times New Roman"/>
          <w:sz w:val="20"/>
        </w:rPr>
        <w:t xml:space="preserve"> the same as revenue reported in our consolidated statements of operations on a GAAP basis, as there is no requirement to net the costs of revenue against the revenue. Gross billings for Marketplace Spend and Legacy Workflow Fees (which are included in SaaS Services) differ from revenue reported for these services in our consolidated statements of operations on a GAAP basis. These services are presented net of the amounts we pay to the third-party creators providing the content or sponsorship services. Gross billings for all other revenue types equal</w:t>
      </w:r>
      <w:r>
        <w:rPr>
          <w:rFonts w:ascii="Times New Roman" w:eastAsia="Times New Roman" w:hAnsi="Times New Roman" w:cs="Times New Roman"/>
          <w:sz w:val="20"/>
        </w:rPr>
        <w:t xml:space="preserve"> the revenue reported in our consolidated statements of operations.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We consider gross billings to be an important indicator of our potential performance as it measures the total dollar volume of transactions generated through our marketplaces. Tracking gross billings allows us to monitor the percentage of gross billings that we are able to retain after payments to our creators. Additionally, tracking gross billings is critical as it pertains to our credit risk and cash flow. We invoice our customers based on our services performed or based on their self-service transactions plus our fee. Then we remit the agreed-upon transaction price to the creators. If we do not collect the money from our customers prior to the time of payment to our creators, we could experience large swings in our cash flows. Finally, gross billings allow</w:t>
      </w:r>
      <w:r>
        <w:rPr>
          <w:rFonts w:ascii="Times New Roman" w:eastAsia="Times New Roman" w:hAnsi="Times New Roman" w:cs="Times New Roman"/>
          <w:sz w:val="20"/>
        </w:rPr>
        <w:t xml:space="preserve"> us to evaluate our transaction totals on an equal basis in order for us to see our contribution margins by revenue stream so that we can better understand where we should be allocating our resources.</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100" w:line="248" w:lineRule="auto"/>
        <w:ind w:left="0" w:right="18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The </w:t>
      </w:r>
      <w:r>
        <w:rPr>
          <w:rFonts w:ascii="Times New Roman" w:eastAsia="Times New Roman" w:hAnsi="Times New Roman" w:cs="Times New Roman"/>
          <w:sz w:val="20"/>
        </w:rPr>
        <w:t>following table sets forth our gross billings by revenue type, the percentage of total gross billings by type, and the change between the periods:</w:t>
      </w: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0"/>
        <w:gridCol w:w="160"/>
        <w:gridCol w:w="865"/>
        <w:gridCol w:w="100"/>
        <w:gridCol w:w="1125"/>
        <w:gridCol w:w="75"/>
        <w:gridCol w:w="160"/>
        <w:gridCol w:w="865"/>
        <w:gridCol w:w="100"/>
        <w:gridCol w:w="1125"/>
        <w:gridCol w:w="75"/>
        <w:gridCol w:w="160"/>
        <w:gridCol w:w="865"/>
        <w:gridCol w:w="100"/>
        <w:gridCol w:w="1125"/>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285"/>
          <w:jc w:val="left"/>
        </w:trPr>
        <w:tc>
          <w:tcPr>
            <w:tcW w:w="33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575" w:type="dxa"/>
            <w:gridSpan w:val="9"/>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Six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60"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250" w:type="dxa"/>
            <w:gridSpan w:val="4"/>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2250" w:type="dxa"/>
            <w:gridSpan w:val="4"/>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 Change</w:t>
            </w:r>
          </w:p>
        </w:tc>
        <w:tc>
          <w:tcPr>
            <w:tcW w:w="1125" w:type="dxa"/>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18"/>
              </w:rPr>
              <w:t>% Change</w:t>
            </w:r>
          </w:p>
        </w:tc>
      </w:tr>
      <w:tr>
        <w:tblPrEx>
          <w:tblW w:w="10260"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20"/>
              </w:rPr>
              <w:t>Managed Services Gross Billings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6,615,404 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62%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6,858,803 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(243,399)</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(4)%</w:t>
            </w:r>
          </w:p>
        </w:tc>
      </w:tr>
      <w:tr>
        <w:tblPrEx>
          <w:tblW w:w="10260" w:type="dxa"/>
          <w:jc w:val="left"/>
          <w:tblInd w:w="0" w:type="dxa"/>
          <w:tblCellMar>
            <w:left w:w="108" w:type="dxa"/>
            <w:right w:w="108" w:type="dxa"/>
          </w:tblCellMar>
        </w:tblPrEx>
        <w:trPr>
          <w:cantSplit/>
          <w:trHeight w:hRule="exact" w:val="105"/>
          <w:jc w:val="left"/>
        </w:trPr>
        <w:tc>
          <w:tcPr>
            <w:tcW w:w="33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Legacy Workflow Fees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1,261,681 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(1,261,681)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(100)%</w:t>
            </w:r>
          </w:p>
        </w:tc>
      </w:tr>
      <w:tr>
        <w:tblPrEx>
          <w:tblW w:w="10260"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Marketplace Spend Fees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3,096,654 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29%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5,256,146 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37%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(2,159,492)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(41)%</w:t>
            </w:r>
          </w:p>
        </w:tc>
      </w:tr>
      <w:tr>
        <w:tblPrEx>
          <w:tblW w:w="10260"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License Fees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825,544 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1,039,588 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(214,044)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CCEE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(21)%</w:t>
            </w:r>
          </w:p>
        </w:tc>
      </w:tr>
      <w:tr>
        <w:tblPrEx>
          <w:tblW w:w="10260"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40"/>
              <w:jc w:val="left"/>
            </w:pPr>
            <w:r>
              <w:rPr>
                <w:rFonts w:ascii="Times New Roman" w:eastAsia="Times New Roman" w:hAnsi="Times New Roman" w:cs="Times New Roman"/>
                <w:color w:val="000000"/>
                <w:sz w:val="20"/>
              </w:rPr>
              <w:t>Other Fees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95,572 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1%</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0"/>
              <w:jc w:val="lef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38,317 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57,255 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1125" w:type="dxa"/>
            <w:tcBorders>
              <w:top w:val="nil"/>
              <w:left w:val="nil"/>
              <w:bottom w:val="nil"/>
              <w:right w:val="nil"/>
            </w:tcBorders>
            <w:shd w:val="clear" w:color="auto" w:fill="FFFFFF"/>
            <w:tcMar>
              <w:top w:w="0" w:type="dxa"/>
              <w:left w:w="53" w:type="dxa"/>
              <w:bottom w:w="0" w:type="dxa"/>
              <w:right w:w="15"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149%</w:t>
            </w:r>
          </w:p>
        </w:tc>
      </w:tr>
      <w:tr>
        <w:tblPrEx>
          <w:tblW w:w="10260"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20"/>
              </w:rPr>
              <w:t>SaaS Services Gross Billings</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4,017,770 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38%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7,595,732 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53%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right"/>
            </w:pPr>
            <w:r>
              <w:rPr>
                <w:rFonts w:ascii="Times New Roman" w:eastAsia="Times New Roman" w:hAnsi="Times New Roman" w:cs="Times New Roman"/>
                <w:color w:val="000000"/>
                <w:sz w:val="20"/>
              </w:rPr>
              <w:t>(3,577,962)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1125"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(47)%</w:t>
            </w:r>
          </w:p>
        </w:tc>
      </w:tr>
      <w:tr>
        <w:tblPrEx>
          <w:tblW w:w="10260" w:type="dxa"/>
          <w:jc w:val="left"/>
          <w:tblInd w:w="0" w:type="dxa"/>
          <w:tblCellMar>
            <w:left w:w="108" w:type="dxa"/>
            <w:right w:w="108" w:type="dxa"/>
          </w:tblCellMar>
        </w:tblPrEx>
        <w:trPr>
          <w:cantSplit/>
          <w:trHeight w:hRule="exact" w:val="105"/>
          <w:jc w:val="left"/>
        </w:trPr>
        <w:tc>
          <w:tcPr>
            <w:tcW w:w="3360"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1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r>
      <w:tr>
        <w:tblPrEx>
          <w:tblW w:w="10260" w:type="dxa"/>
          <w:jc w:val="left"/>
          <w:tblInd w:w="0" w:type="dxa"/>
          <w:tblCellMar>
            <w:left w:w="108" w:type="dxa"/>
            <w:right w:w="108" w:type="dxa"/>
          </w:tblCellMar>
        </w:tblPrEx>
        <w:trPr>
          <w:cantSplit/>
          <w:trHeight w:hRule="exact" w:val="300"/>
          <w:jc w:val="left"/>
        </w:trPr>
        <w:tc>
          <w:tcPr>
            <w:tcW w:w="3360"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360"/>
              <w:jc w:val="left"/>
            </w:pPr>
            <w:r>
              <w:rPr>
                <w:rFonts w:ascii="Times New Roman" w:eastAsia="Times New Roman" w:hAnsi="Times New Roman" w:cs="Times New Roman"/>
                <w:b/>
                <w:color w:val="000000"/>
                <w:sz w:val="20"/>
              </w:rPr>
              <w:t>Total Gross Billings</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10,633,174 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jc w:val="lef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100%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14,454,535 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jc w:val="lef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100%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(3,821,361)</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75" w:after="30" w:line="200" w:lineRule="auto"/>
              <w:jc w:val="left"/>
            </w:pPr>
          </w:p>
        </w:tc>
        <w:tc>
          <w:tcPr>
            <w:tcW w:w="112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pPr>
              <w:pageBreakBefore w:val="0"/>
              <w:spacing w:before="75" w:after="30" w:line="200" w:lineRule="auto"/>
              <w:ind w:left="0"/>
              <w:jc w:val="center"/>
            </w:pPr>
            <w:r>
              <w:rPr>
                <w:rFonts w:ascii="Times New Roman" w:eastAsia="Times New Roman" w:hAnsi="Times New Roman" w:cs="Times New Roman"/>
                <w:color w:val="000000"/>
                <w:sz w:val="20"/>
              </w:rPr>
              <w:t>(26)%</w:t>
            </w:r>
          </w:p>
        </w:tc>
      </w:tr>
    </w:tbl>
    <w:p>
      <w:pPr>
        <w:keepNext w:val="0"/>
        <w:keepLines w:val="0"/>
        <w:pageBreakBefore w:val="0"/>
        <w:widowControl w:val="0"/>
        <w:numPr>
          <w:ilvl w:val="0"/>
          <w:numId w:val="0"/>
        </w:numPr>
        <w:spacing w:before="100" w:after="0" w:line="248" w:lineRule="auto"/>
        <w:ind w:left="0" w:right="18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180" w:firstLine="720"/>
        <w:jc w:val="left"/>
        <w:outlineLvl w:val="9"/>
        <w:rPr>
          <w:rFonts w:ascii="Times New Roman" w:eastAsia="Times New Roman" w:hAnsi="Times New Roman" w:cs="Times New Roman"/>
          <w:sz w:val="18"/>
          <w:vertAlign w:val="superscript"/>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Adjusted EBITDA</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Adjusted EBITDA is a</w:t>
      </w:r>
      <w:r>
        <w:rPr>
          <w:rFonts w:ascii="Times New Roman" w:eastAsia="Times New Roman" w:hAnsi="Times New Roman" w:cs="Times New Roman"/>
          <w:sz w:val="20"/>
        </w:rPr>
        <w:t xml:space="preserve"> “non-GAAP financial measure</w:t>
      </w:r>
      <w:r>
        <w:rPr>
          <w:rFonts w:ascii="Times New Roman" w:eastAsia="Times New Roman" w:hAnsi="Times New Roman" w:cs="Times New Roman"/>
          <w:sz w:val="20"/>
        </w:rPr>
        <w:t>” as defined under the rules of the Securities and Exchange Commission (the “SEC”).</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We define Adjusted EBITDA as earnings or loss before interest, taxes, depreciation and amortization, non-cash stock-based compensation, gain or loss on asset disposals or impairment, changes in acquisition cost estimates, and </w:t>
      </w:r>
      <w:r>
        <w:rPr>
          <w:rFonts w:ascii="Times New Roman" w:eastAsia="Times New Roman" w:hAnsi="Times New Roman" w:cs="Times New Roman"/>
          <w:sz w:val="20"/>
        </w:rPr>
        <w:t xml:space="preserve">certain </w:t>
      </w:r>
      <w:r>
        <w:rPr>
          <w:rFonts w:ascii="Times New Roman" w:eastAsia="Times New Roman" w:hAnsi="Times New Roman" w:cs="Times New Roman"/>
          <w:sz w:val="20"/>
        </w:rPr>
        <w:t xml:space="preserve">other unusual or non-cash income and expense items such as gains or losses on settlement of liabilities and exchanges, and changes in the fair value of derivatives, if applicable. </w:t>
      </w: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18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We use Adjusted EBITDA as a measure of operating performance, for planning purposes, to allocate resources to enhance the financial performance of our business, and in communications with our Board of Directors regarding our financial performance. We believe that Adjusted EBITDA also provides useful information to investors as it excludes transactions not related to our core cash-generating operating business activities, and it provides consistency </w:t>
      </w:r>
      <w:r>
        <w:rPr>
          <w:rFonts w:ascii="Times New Roman" w:eastAsia="Times New Roman" w:hAnsi="Times New Roman" w:cs="Times New Roman"/>
          <w:sz w:val="20"/>
        </w:rPr>
        <w:t>to</w:t>
      </w:r>
      <w:r>
        <w:rPr>
          <w:rFonts w:ascii="Times New Roman" w:eastAsia="Times New Roman" w:hAnsi="Times New Roman" w:cs="Times New Roman"/>
          <w:sz w:val="20"/>
        </w:rPr>
        <w:t xml:space="preserve"> facilitate</w:t>
      </w:r>
      <w:r>
        <w:rPr>
          <w:rFonts w:ascii="Times New Roman" w:eastAsia="Times New Roman" w:hAnsi="Times New Roman" w:cs="Times New Roman"/>
          <w:sz w:val="20"/>
        </w:rPr>
        <w:t xml:space="preserve"> period-to-period comparisons. We believe that excluding these transactions allows investors to meaningfully trend and analyze the performance of our core cash-generating operations. </w:t>
      </w:r>
    </w:p>
    <w:p>
      <w:pPr>
        <w:keepNext w:val="0"/>
        <w:keepLines w:val="0"/>
        <w:pageBreakBefore w:val="0"/>
        <w:widowControl w:val="0"/>
        <w:numPr>
          <w:ilvl w:val="0"/>
          <w:numId w:val="0"/>
        </w:numPr>
        <w:spacing w:before="0" w:after="0" w:line="248" w:lineRule="auto"/>
        <w:ind w:left="0" w:right="180" w:firstLine="0"/>
        <w:jc w:val="left"/>
        <w:outlineLvl w:val="9"/>
        <w:rPr>
          <w:rFonts w:ascii="Times New Roman" w:eastAsia="Times New Roman" w:hAnsi="Times New Roman" w:cs="Times New Roman"/>
          <w:sz w:val="20"/>
        </w:rPr>
      </w:pPr>
    </w:p>
    <w:p>
      <w:pPr>
        <w:keepNext w:val="0"/>
        <w:keepLines w:val="0"/>
        <w:pageBreakBefore w:val="0"/>
        <w:widowControl w:val="0"/>
        <w:numPr>
          <w:ilvl w:val="0"/>
          <w:numId w:val="0"/>
        </w:numPr>
        <w:spacing w:before="0" w:after="0" w:line="248" w:lineRule="auto"/>
        <w:ind w:left="0" w:right="18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All companies do not calculate Adjusted EBITDA in the same manner, and Adjusted EBITDA as presented by us may not be comparable to Adjusted EBITDA presented by other companies, which limits its usefulness as a comparative measure. Moreover, Adjusted EBITDA has limitations as an analytical tool, and you should not consider it in isolation or as a substitute for an analysis of our results of operations as under GAAP. These limitations are that Adjusted EBITDA: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42"/>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does not include stock-based compensation expense, which is a non-cash expense, but has been, and will continue to be for the foreseeable future, a significant recurring expense for our business and an important part of our compensation strategy; </w:t>
      </w:r>
    </w:p>
    <w:p>
      <w:pPr>
        <w:keepNext w:val="0"/>
        <w:keepLines w:val="0"/>
        <w:pageBreakBefore w:val="0"/>
        <w:widowControl/>
        <w:numPr>
          <w:ilvl w:val="0"/>
          <w:numId w:val="42"/>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does not include stock issued for payment of services, which is a non-cash expense, but has been, and is expected to be for the foreseeable future, an important means for us to compensate our directors, vendors and other parties who provide us with services; </w:t>
      </w:r>
    </w:p>
    <w:p>
      <w:pPr>
        <w:keepNext w:val="0"/>
        <w:keepLines w:val="0"/>
        <w:pageBreakBefore w:val="0"/>
        <w:widowControl/>
        <w:numPr>
          <w:ilvl w:val="0"/>
          <w:numId w:val="42"/>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does not include changes in acquisition cost estimates as a result of the allocation of acquisition costs payable to compensation expense which may be a significant recurring expense for our business if we continue to make business acquisitions;</w:t>
      </w:r>
    </w:p>
    <w:p>
      <w:pPr>
        <w:keepNext w:val="0"/>
        <w:keepLines w:val="0"/>
        <w:pageBreakBefore w:val="0"/>
        <w:widowControl/>
        <w:numPr>
          <w:ilvl w:val="0"/>
          <w:numId w:val="42"/>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does not include gains or losses on the settlement of acquisition costs payable or liabilities when the stock value, as agreed upon in the agreement, varies from the market price of our stock on the settlement date. This is a non-cash expense, but was a recurring expense for our business on certain business contracts where the amounts could vary; </w:t>
      </w:r>
    </w:p>
    <w:p>
      <w:pPr>
        <w:keepNext w:val="0"/>
        <w:keepLines w:val="0"/>
        <w:pageBreakBefore w:val="0"/>
        <w:widowControl/>
        <w:numPr>
          <w:ilvl w:val="0"/>
          <w:numId w:val="42"/>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does not include depreciation and intangible assets amortization expense, impairment charges and gains or losses on disposal of equipment, which is not always a current period cash expense, but the assets being depreciated and amortized may have to be replaced in the future; and</w:t>
      </w:r>
    </w:p>
    <w:p>
      <w:pPr>
        <w:keepNext w:val="0"/>
        <w:keepLines w:val="0"/>
        <w:pageBreakBefore w:val="0"/>
        <w:widowControl/>
        <w:numPr>
          <w:ilvl w:val="0"/>
          <w:numId w:val="42"/>
        </w:numPr>
        <w:spacing w:before="0" w:after="0" w:line="248" w:lineRule="auto"/>
        <w:ind w:left="1080" w:right="0" w:hanging="360"/>
        <w:jc w:val="left"/>
        <w:outlineLvl w:val="9"/>
        <w:rPr>
          <w:rFonts w:ascii="Times New Roman" w:eastAsia="Times New Roman" w:hAnsi="Times New Roman" w:cs="Times New Roman"/>
          <w:sz w:val="20"/>
        </w:rPr>
      </w:pPr>
      <w:r>
        <w:rPr>
          <w:rFonts w:ascii="Times New Roman" w:eastAsia="Times New Roman" w:hAnsi="Times New Roman" w:cs="Times New Roman"/>
          <w:sz w:val="20"/>
        </w:rPr>
        <w:t>does not include interest expense and other gains, losses, and expenses that we believe are not indicative of our ongoing core operating results, but these items may represent a reduction or increase in cash available to us.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Because of these limitations, Adjusted EBITDA should not be considered as a measure of discretionary cash available to us to invest in the operation and growth of our business or as a measure of cash that will be available to us to meet our obligations. You should compensate for these limitations by relying primarily on our GAAP results and using these non-GAAP financial measures as supplements. In evaluating these non-GAAP financial measures, you should be aware that in the future, we may incur expenses similar to those for which adjustments are made in calculating Adjusted EBITDA. Our presentation of these non-GAAP financial measures should also not be construed to infer that our future results will be unaffected by unusual or non-recurring items.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keepLines/>
        <w:pageBreakBefore w:val="0"/>
        <w:widowControl w:val="0"/>
        <w:numPr>
          <w:ilvl w:val="0"/>
          <w:numId w:val="0"/>
        </w:numPr>
        <w:spacing w:before="0" w:after="10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following table sets forth a reconciliation from the GAAP measurement of net loss to our non-GAAP financial measure of Adjusted EBITDA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w:t>
      </w:r>
      <w:r>
        <w:rPr>
          <w:rFonts w:ascii="Times New Roman" w:eastAsia="Times New Roman" w:hAnsi="Times New Roman" w:cs="Times New Roman"/>
          <w:sz w:val="20"/>
        </w:rPr>
        <w:t>2019</w:t>
      </w:r>
      <w:r>
        <w:rPr>
          <w:rFonts w:ascii="Times New Roman" w:eastAsia="Times New Roman" w:hAnsi="Times New Roman" w:cs="Times New Roman"/>
          <w:sz w:val="20"/>
        </w:rPr>
        <w:t>:</w:t>
      </w:r>
    </w:p>
    <w:tbl>
      <w:tblPr>
        <w:tblW w:w="102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55"/>
        <w:gridCol w:w="160"/>
        <w:gridCol w:w="1135"/>
        <w:gridCol w:w="100"/>
        <w:gridCol w:w="75"/>
        <w:gridCol w:w="160"/>
        <w:gridCol w:w="1135"/>
        <w:gridCol w:w="100"/>
        <w:gridCol w:w="75"/>
        <w:gridCol w:w="160"/>
        <w:gridCol w:w="1135"/>
        <w:gridCol w:w="100"/>
        <w:gridCol w:w="75"/>
        <w:gridCol w:w="160"/>
        <w:gridCol w:w="1135"/>
        <w:gridCol w:w="100"/>
      </w:tblGrid>
      <w:tr>
        <w:tblPrEx>
          <w:tblW w:w="102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center"/>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Three Months Ended June 30,</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286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Six Months Ended June 30,</w:t>
            </w:r>
          </w:p>
        </w:tc>
      </w:tr>
      <w:tr>
        <w:tblPrEx>
          <w:tblW w:w="10260" w:type="dxa"/>
          <w:jc w:val="center"/>
          <w:tblInd w:w="0" w:type="dxa"/>
          <w:tblCellMar>
            <w:left w:w="108" w:type="dxa"/>
            <w:right w:w="108" w:type="dxa"/>
          </w:tblCellMar>
        </w:tblPrEx>
        <w:trPr>
          <w:cantSplit/>
          <w:trHeight w:hRule="exact" w:val="300"/>
          <w:jc w:val="center"/>
        </w:trPr>
        <w:tc>
          <w:tcPr>
            <w:tcW w:w="445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2019</w:t>
            </w:r>
          </w:p>
        </w:tc>
        <w:tc>
          <w:tcPr>
            <w:tcW w:w="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39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2019</w:t>
            </w:r>
          </w:p>
        </w:tc>
      </w:tr>
      <w:tr>
        <w:tblPrEx>
          <w:tblW w:w="10260" w:type="dxa"/>
          <w:jc w:val="center"/>
          <w:tblInd w:w="0" w:type="dxa"/>
          <w:tblCellMar>
            <w:left w:w="108" w:type="dxa"/>
            <w:right w:w="108" w:type="dxa"/>
          </w:tblCellMar>
        </w:tblPrEx>
        <w:trPr>
          <w:cantSplit/>
          <w:trHeight w:hRule="exact" w:val="285"/>
          <w:jc w:val="center"/>
        </w:trPr>
        <w:tc>
          <w:tcPr>
            <w:tcW w:w="445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Net loss</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(1,791,142)</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(1,992,386)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(7,954,603)</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(3,822,966)</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pPr>
              <w:keepNext/>
              <w:pageBreakBefore w:val="0"/>
              <w:spacing w:before="55" w:after="30" w:line="200" w:lineRule="auto"/>
              <w:jc w:val="left"/>
            </w:pPr>
          </w:p>
        </w:tc>
      </w:tr>
      <w:tr>
        <w:tblPrEx>
          <w:tblW w:w="10260"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Non-cash stock-based compensation</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118,707 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157,328 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248,278 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318,205 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Non-cash stock issued for payment of services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31,249 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37,497 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62,499 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74,995 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Loss on settlement of acquisition costs payable</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191,439 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300"/>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Increase in value of acquisition costs payable</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2,669 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5,333 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Interest expense</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19,476 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86,737 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26,094 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215,201 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Depreciation and amortization</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377,107 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448,105 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878,376 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884,329 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Impairment on intangible assets</w:t>
            </w: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4,300,000 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Other non-cash items</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(23,706)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(7,580)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(23,706)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(8,095)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285"/>
          <w:jc w:val="center"/>
        </w:trPr>
        <w:tc>
          <w:tcPr>
            <w:tcW w:w="4455" w:type="dxa"/>
            <w:tcBorders>
              <w:top w:val="single" w:sz="8" w:space="0" w:color="000000"/>
              <w:left w:val="nil"/>
              <w:bottom w:val="nil"/>
              <w:right w:val="nil"/>
            </w:tcBorders>
            <w:shd w:val="clear" w:color="auto" w:fill="FFFFFF"/>
            <w:tcMar>
              <w:top w:w="0" w:type="dxa"/>
              <w:left w:w="53" w:type="dxa"/>
              <w:bottom w:w="0" w:type="dxa"/>
              <w:right w:w="15"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Adjusted EBITDA</w:t>
            </w: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(1,268,309)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(1,267,630)</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(2,463,062)</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c>
          <w:tcPr>
            <w:tcW w:w="7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pPr>
              <w:keepNext/>
              <w:pageBreakBefore w:val="0"/>
              <w:spacing w:before="55" w:after="30" w:line="200" w:lineRule="auto"/>
              <w:ind w:left="0"/>
              <w:jc w:val="left"/>
            </w:pPr>
            <w:r>
              <w:rPr>
                <w:rFonts w:ascii="Times New Roman" w:eastAsia="Times New Roman" w:hAnsi="Times New Roman" w:cs="Times New Roman"/>
                <w:color w:val="000000"/>
                <w:sz w:val="20"/>
              </w:rPr>
              <w:t>$</w:t>
            </w:r>
          </w:p>
        </w:tc>
        <w:tc>
          <w:tcPr>
            <w:tcW w:w="11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pPr>
              <w:keepNext/>
              <w:pageBreakBefore w:val="0"/>
              <w:spacing w:before="55" w:after="30" w:line="200" w:lineRule="auto"/>
              <w:jc w:val="right"/>
            </w:pPr>
            <w:r>
              <w:rPr>
                <w:rFonts w:ascii="Times New Roman" w:eastAsia="Times New Roman" w:hAnsi="Times New Roman" w:cs="Times New Roman"/>
                <w:color w:val="000000"/>
                <w:sz w:val="20"/>
              </w:rPr>
              <w:t>(2,141,559)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pPr>
              <w:keepNext/>
              <w:pageBreakBefore w:val="0"/>
              <w:spacing w:before="55" w:after="30" w:line="200" w:lineRule="auto"/>
              <w:jc w:val="left"/>
            </w:pPr>
          </w:p>
        </w:tc>
      </w:tr>
      <w:tr>
        <w:tblPrEx>
          <w:tblW w:w="10260" w:type="dxa"/>
          <w:jc w:val="center"/>
          <w:tblInd w:w="0" w:type="dxa"/>
          <w:tblCellMar>
            <w:left w:w="108" w:type="dxa"/>
            <w:right w:w="108" w:type="dxa"/>
          </w:tblCellMar>
        </w:tblPrEx>
        <w:trPr>
          <w:cantSplit/>
          <w:trHeight w:hRule="exact" w:val="180"/>
          <w:jc w:val="center"/>
        </w:trPr>
        <w:tc>
          <w:tcPr>
            <w:tcW w:w="44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39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135"/>
              <w:jc w:val="left"/>
            </w:pPr>
            <w:r>
              <w:rPr>
                <w:rFonts w:ascii="Times New Roman" w:eastAsia="Times New Roman" w:hAnsi="Times New Roman" w:cs="Times New Roman"/>
                <w:color w:val="000000"/>
                <w:sz w:val="20"/>
              </w:rPr>
              <w:t>Revenue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3,135,039 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3,923,864 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7,898,707 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13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8,717,620 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center"/>
          <w:tblInd w:w="0" w:type="dxa"/>
          <w:tblCellMar>
            <w:left w:w="108" w:type="dxa"/>
            <w:right w:w="108" w:type="dxa"/>
          </w:tblCellMar>
        </w:tblPrEx>
        <w:trPr>
          <w:cantSplit/>
          <w:trHeight w:hRule="exact" w:val="285"/>
          <w:jc w:val="center"/>
        </w:trPr>
        <w:tc>
          <w:tcPr>
            <w:tcW w:w="445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135"/>
              <w:jc w:val="left"/>
            </w:pPr>
            <w:r>
              <w:rPr>
                <w:rFonts w:ascii="Times New Roman" w:eastAsia="Times New Roman" w:hAnsi="Times New Roman" w:cs="Times New Roman"/>
                <w:color w:val="000000"/>
                <w:sz w:val="20"/>
              </w:rPr>
              <w:t>Adjusted EBITDA as a % of Revenue</w:t>
            </w: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(40)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(32)</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(31)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295" w:type="dxa"/>
            <w:gridSpan w:val="2"/>
            <w:tcBorders>
              <w:top w:val="nil"/>
              <w:left w:val="nil"/>
              <w:bottom w:val="nil"/>
              <w:right w:val="nil"/>
            </w:tcBorders>
            <w:shd w:val="clear" w:color="auto" w:fill="CCEEFF"/>
            <w:tcMar>
              <w:top w:w="0" w:type="dxa"/>
              <w:left w:w="53" w:type="dxa"/>
              <w:bottom w:w="0" w:type="dxa"/>
              <w:right w:w="0" w:type="dxa"/>
            </w:tcMar>
            <w:vAlign w:val="bottom"/>
          </w:tcPr>
          <w:p>
            <w:pPr>
              <w:pageBreakBefore w:val="0"/>
              <w:spacing w:before="75" w:after="30" w:line="200" w:lineRule="auto"/>
              <w:ind w:left="0"/>
              <w:jc w:val="right"/>
            </w:pPr>
            <w:r>
              <w:rPr>
                <w:rFonts w:ascii="Times New Roman" w:eastAsia="Times New Roman" w:hAnsi="Times New Roman" w:cs="Times New Roman"/>
                <w:color w:val="000000"/>
                <w:sz w:val="20"/>
              </w:rPr>
              <w:t>(25)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pageBreakBefore w:val="0"/>
              <w:spacing w:before="75" w:after="30" w:line="200" w:lineRule="auto"/>
              <w:jc w:val="right"/>
            </w:pPr>
            <w:r>
              <w:rPr>
                <w:rFonts w:ascii="Times New Roman" w:eastAsia="Times New Roman" w:hAnsi="Times New Roman" w:cs="Times New Roman"/>
                <w:color w:val="000000"/>
                <w:sz w:val="20"/>
              </w:rPr>
              <w:t>%</w:t>
            </w:r>
          </w:p>
        </w:tc>
      </w:tr>
    </w:tbl>
    <w:p>
      <w:pPr>
        <w:keepNext/>
        <w:keepLines/>
        <w:pageBreakBefore w:val="0"/>
        <w:widowControl w:val="0"/>
        <w:numPr>
          <w:ilvl w:val="0"/>
          <w:numId w:val="0"/>
        </w:numPr>
        <w:spacing w:before="0" w:after="100" w:line="248" w:lineRule="auto"/>
        <w:ind w:left="0" w:right="0" w:firstLine="0"/>
        <w:jc w:val="left"/>
        <w:outlineLvl w:val="9"/>
      </w:pPr>
    </w:p>
    <w:p>
      <w:pPr>
        <w:keepNext/>
        <w:keepLines/>
        <w:pageBreakBefore w:val="0"/>
        <w:widowControl w:val="0"/>
        <w:numPr>
          <w:ilvl w:val="0"/>
          <w:numId w:val="0"/>
        </w:numPr>
        <w:spacing w:before="0" w:after="100" w:line="24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100" w:after="0" w:line="248" w:lineRule="auto"/>
        <w:ind w:left="0" w:right="0" w:firstLine="0"/>
        <w:jc w:val="left"/>
        <w:outlineLvl w:val="9"/>
        <w:rPr>
          <w:rFonts w:ascii="Times New Roman" w:eastAsia="Times New Roman" w:hAnsi="Times New Roman" w:cs="Times New Roman"/>
          <w:b/>
          <w:sz w:val="20"/>
        </w:rPr>
      </w:pPr>
      <w:bookmarkStart w:id="27" w:name="Section28"/>
      <w:bookmarkEnd w:id="27"/>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r>
        <w:rPr>
          <w:rFonts w:ascii="Times New Roman" w:eastAsia="Times New Roman" w:hAnsi="Times New Roman" w:cs="Times New Roman"/>
          <w:b/>
          <w:sz w:val="20"/>
        </w:rPr>
        <w:t>Liquidity and Capital Resources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3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 We had cash and cash equivalents of </w:t>
      </w:r>
      <w:r>
        <w:rPr>
          <w:rFonts w:ascii="Times New Roman" w:eastAsia="Times New Roman" w:hAnsi="Times New Roman" w:cs="Times New Roman"/>
          <w:sz w:val="20"/>
        </w:rPr>
        <w:t>$20,820,273</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as compared to </w:t>
      </w:r>
      <w:r>
        <w:rPr>
          <w:rFonts w:ascii="Times New Roman" w:eastAsia="Times New Roman" w:hAnsi="Times New Roman" w:cs="Times New Roman"/>
          <w:sz w:val="20"/>
        </w:rPr>
        <w:t>$5,884,629</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December 31, 2019</w:t>
      </w:r>
      <w:r>
        <w:rPr>
          <w:rFonts w:ascii="Times New Roman" w:eastAsia="Times New Roman" w:hAnsi="Times New Roman" w:cs="Times New Roman"/>
          <w:sz w:val="20"/>
        </w:rPr>
        <w:t>, a</w:t>
      </w:r>
      <w:r>
        <w:rPr>
          <w:rFonts w:ascii="Times New Roman" w:eastAsia="Times New Roman" w:hAnsi="Times New Roman" w:cs="Times New Roman"/>
          <w:sz w:val="20"/>
        </w:rPr>
        <w:t>n in</w:t>
      </w:r>
      <w:r>
        <w:rPr>
          <w:rFonts w:ascii="Times New Roman" w:eastAsia="Times New Roman" w:hAnsi="Times New Roman" w:cs="Times New Roman"/>
          <w:sz w:val="20"/>
        </w:rPr>
        <w:t xml:space="preserve">crease of </w:t>
      </w:r>
      <w:r>
        <w:rPr>
          <w:rFonts w:ascii="Times New Roman" w:eastAsia="Times New Roman" w:hAnsi="Times New Roman" w:cs="Times New Roman"/>
          <w:sz w:val="20"/>
        </w:rPr>
        <w:t>$14,935,644</w:t>
      </w:r>
      <w:r>
        <w:rPr>
          <w:rFonts w:ascii="Times New Roman" w:eastAsia="Times New Roman" w:hAnsi="Times New Roman" w:cs="Times New Roman"/>
          <w:sz w:val="20"/>
        </w:rPr>
        <w:t xml:space="preserve"> primarily due to net proceeds received from </w:t>
      </w:r>
      <w:r>
        <w:rPr>
          <w:rFonts w:ascii="Times New Roman" w:eastAsia="Times New Roman" w:hAnsi="Times New Roman" w:cs="Times New Roman"/>
          <w:sz w:val="20"/>
        </w:rPr>
        <w:t xml:space="preserve">the sale of our </w:t>
      </w:r>
      <w:r>
        <w:rPr>
          <w:rFonts w:ascii="Times New Roman" w:eastAsia="Times New Roman" w:hAnsi="Times New Roman" w:cs="Times New Roman"/>
          <w:sz w:val="20"/>
        </w:rPr>
        <w:t>common stock in our at the market offering program</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offset by operating losses. We have incurred significant net losses and negative cash flow from operations for most periods since our inception, which has resulted in a total accumulated deficit of </w:t>
      </w:r>
      <w:r>
        <w:rPr>
          <w:rFonts w:ascii="Times New Roman" w:eastAsia="Times New Roman" w:hAnsi="Times New Roman" w:cs="Times New Roman"/>
          <w:sz w:val="20"/>
        </w:rPr>
        <w:t>$68,339,372</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To date, we have financed our operations through </w:t>
      </w:r>
      <w:r>
        <w:rPr>
          <w:rFonts w:ascii="Times New Roman" w:eastAsia="Times New Roman" w:hAnsi="Times New Roman" w:cs="Times New Roman"/>
          <w:sz w:val="20"/>
        </w:rPr>
        <w:t xml:space="preserve">revenue from operations, </w:t>
      </w:r>
      <w:r>
        <w:rPr>
          <w:rFonts w:ascii="Times New Roman" w:eastAsia="Times New Roman" w:hAnsi="Times New Roman" w:cs="Times New Roman"/>
          <w:sz w:val="20"/>
        </w:rPr>
        <w:t>borrowings under our secured credit facility</w:t>
      </w:r>
      <w:r>
        <w:rPr>
          <w:rFonts w:ascii="Times New Roman" w:eastAsia="Times New Roman" w:hAnsi="Times New Roman" w:cs="Times New Roman"/>
          <w:sz w:val="20"/>
        </w:rPr>
        <w:t xml:space="preserve">, the </w:t>
      </w:r>
      <w:r>
        <w:rPr>
          <w:rFonts w:ascii="Times New Roman" w:eastAsia="Times New Roman" w:hAnsi="Times New Roman" w:cs="Times New Roman"/>
          <w:sz w:val="20"/>
        </w:rPr>
        <w:t>PPP Loan (</w:t>
      </w:r>
      <w:r>
        <w:rPr>
          <w:rFonts w:ascii="Times New Roman" w:eastAsia="Times New Roman" w:hAnsi="Times New Roman" w:cs="Times New Roman"/>
          <w:sz w:val="20"/>
        </w:rPr>
        <w:t>described below) and</w:t>
      </w:r>
      <w:r>
        <w:rPr>
          <w:rFonts w:ascii="Times New Roman" w:eastAsia="Times New Roman" w:hAnsi="Times New Roman" w:cs="Times New Roman"/>
          <w:sz w:val="20"/>
        </w:rPr>
        <w:t xml:space="preserve"> </w:t>
      </w:r>
      <w:r>
        <w:rPr>
          <w:rFonts w:ascii="Times New Roman" w:eastAsia="Times New Roman" w:hAnsi="Times New Roman" w:cs="Times New Roman"/>
          <w:sz w:val="20"/>
        </w:rPr>
        <w:t>the sale of our equity securities</w:t>
      </w:r>
      <w:r>
        <w:rPr>
          <w:rFonts w:ascii="Times New Roman" w:eastAsia="Times New Roman" w:hAnsi="Times New Roman" w:cs="Times New Roman"/>
          <w:sz w:val="20"/>
        </w:rPr>
        <w:t xml:space="preserve">. </w:t>
      </w:r>
    </w:p>
    <w:tbl>
      <w:tblPr>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975"/>
        <w:gridCol w:w="160"/>
        <w:gridCol w:w="1345"/>
        <w:gridCol w:w="100"/>
        <w:gridCol w:w="75"/>
        <w:gridCol w:w="160"/>
        <w:gridCol w:w="1345"/>
        <w:gridCol w:w="100"/>
      </w:tblGrid>
      <w:tr>
        <w:tblPrEx>
          <w:tblW w:w="10260" w:type="dxa"/>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00"/>
          <w:jc w:val="left"/>
        </w:trPr>
        <w:tc>
          <w:tcPr>
            <w:tcW w:w="69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3285" w:type="dxa"/>
            <w:gridSpan w:val="7"/>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Six Months Ended June 30,</w:t>
            </w:r>
          </w:p>
        </w:tc>
      </w:tr>
      <w:tr>
        <w:tblPrEx>
          <w:tblW w:w="10260" w:type="dxa"/>
          <w:jc w:val="left"/>
          <w:tblInd w:w="0" w:type="dxa"/>
          <w:tblCellMar>
            <w:left w:w="108" w:type="dxa"/>
            <w:right w:w="108" w:type="dxa"/>
          </w:tblCellMar>
        </w:tblPrEx>
        <w:trPr>
          <w:cantSplit/>
          <w:trHeight w:hRule="exact" w:val="300"/>
          <w:jc w:val="left"/>
        </w:trPr>
        <w:tc>
          <w:tcPr>
            <w:tcW w:w="697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2020</w:t>
            </w:r>
          </w:p>
        </w:tc>
        <w:tc>
          <w:tcPr>
            <w:tcW w:w="75" w:type="dxa"/>
            <w:tcBorders>
              <w:top w:val="single" w:sz="8" w:space="0" w:color="000000"/>
              <w:left w:val="nil"/>
              <w:bottom w:val="nil"/>
              <w:right w:val="nil"/>
            </w:tcBorders>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tcMar>
              <w:top w:w="0" w:type="dxa"/>
              <w:left w:w="53" w:type="dxa"/>
              <w:bottom w:w="0" w:type="dxa"/>
              <w:right w:w="53" w:type="dxa"/>
            </w:tcMar>
            <w:vAlign w:val="bottom"/>
          </w:tcPr>
          <w:p>
            <w:pPr>
              <w:keepNext/>
              <w:pageBreakBefore w:val="0"/>
              <w:spacing w:before="55" w:after="30" w:line="200" w:lineRule="auto"/>
              <w:ind w:left="0"/>
              <w:jc w:val="center"/>
            </w:pPr>
            <w:r>
              <w:rPr>
                <w:rFonts w:ascii="Times New Roman" w:eastAsia="Times New Roman" w:hAnsi="Times New Roman" w:cs="Times New Roman"/>
                <w:color w:val="000000"/>
                <w:sz w:val="20"/>
              </w:rPr>
              <w:t>2019</w:t>
            </w:r>
          </w:p>
        </w:tc>
      </w:tr>
      <w:tr>
        <w:tblPrEx>
          <w:tblW w:w="10260" w:type="dxa"/>
          <w:jc w:val="left"/>
          <w:tblInd w:w="0" w:type="dxa"/>
          <w:tblCellMar>
            <w:left w:w="108" w:type="dxa"/>
            <w:right w:w="108" w:type="dxa"/>
          </w:tblCellMar>
        </w:tblPrEx>
        <w:trPr>
          <w:cantSplit/>
          <w:trHeight w:hRule="exact" w:val="300"/>
          <w:jc w:val="left"/>
        </w:trPr>
        <w:tc>
          <w:tcPr>
            <w:tcW w:w="69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Net cash (used for)/provided by:</w:t>
            </w:r>
          </w:p>
        </w:tc>
        <w:tc>
          <w:tcPr>
            <w:tcW w:w="16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60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r>
      <w:tr>
        <w:tblPrEx>
          <w:tblW w:w="10260" w:type="dxa"/>
          <w:jc w:val="left"/>
          <w:tblInd w:w="0" w:type="dxa"/>
          <w:tblCellMar>
            <w:left w:w="108" w:type="dxa"/>
            <w:right w:w="108" w:type="dxa"/>
          </w:tblCellMar>
        </w:tblPrEx>
        <w:trPr>
          <w:cantSplit/>
          <w:trHeight w:hRule="exact" w:val="300"/>
          <w:jc w:val="left"/>
        </w:trPr>
        <w:tc>
          <w:tcPr>
            <w:tcW w:w="69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Operating activities</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(1,932,159)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134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75" w:after="30" w:line="200" w:lineRule="auto"/>
              <w:jc w:val="right"/>
            </w:pPr>
            <w:r>
              <w:rPr>
                <w:rFonts w:ascii="Times New Roman" w:eastAsia="Times New Roman" w:hAnsi="Times New Roman" w:cs="Times New Roman"/>
                <w:color w:val="000000"/>
                <w:sz w:val="20"/>
              </w:rPr>
              <w:t>(161,146)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left"/>
          <w:tblInd w:w="0" w:type="dxa"/>
          <w:tblCellMar>
            <w:left w:w="108" w:type="dxa"/>
            <w:right w:w="108" w:type="dxa"/>
          </w:tblCellMar>
        </w:tblPrEx>
        <w:trPr>
          <w:cantSplit/>
          <w:trHeight w:hRule="exact" w:val="300"/>
          <w:jc w:val="left"/>
        </w:trPr>
        <w:tc>
          <w:tcPr>
            <w:tcW w:w="6975" w:type="dxa"/>
            <w:tcBorders>
              <w:top w:val="nil"/>
              <w:left w:val="nil"/>
              <w:bottom w:val="nil"/>
              <w:right w:val="nil"/>
            </w:tcBorders>
            <w:shd w:val="clear" w:color="auto" w:fill="CCEE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Investing activities</w:t>
            </w: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38,492 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CCEE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(464,261)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left"/>
          <w:tblInd w:w="0" w:type="dxa"/>
          <w:tblCellMar>
            <w:left w:w="108" w:type="dxa"/>
            <w:right w:w="108" w:type="dxa"/>
          </w:tblCellMar>
        </w:tblPrEx>
        <w:trPr>
          <w:cantSplit/>
          <w:trHeight w:hRule="exact" w:val="300"/>
          <w:jc w:val="left"/>
        </w:trPr>
        <w:tc>
          <w:tcPr>
            <w:tcW w:w="6975" w:type="dxa"/>
            <w:tcBorders>
              <w:top w:val="nil"/>
              <w:left w:val="nil"/>
              <w:bottom w:val="nil"/>
              <w:right w:val="nil"/>
            </w:tcBorders>
            <w:shd w:val="clear" w:color="auto" w:fill="FFFFFF"/>
            <w:tcMar>
              <w:top w:w="0" w:type="dxa"/>
              <w:left w:w="53" w:type="dxa"/>
              <w:bottom w:w="0" w:type="dxa"/>
              <w:right w:w="53" w:type="dxa"/>
            </w:tcMar>
            <w:vAlign w:val="bottom"/>
          </w:tcPr>
          <w:p>
            <w:pPr>
              <w:keepNext/>
              <w:pageBreakBefore w:val="0"/>
              <w:spacing w:before="75" w:after="30" w:line="200" w:lineRule="auto"/>
              <w:ind w:left="225"/>
              <w:jc w:val="left"/>
            </w:pPr>
            <w:r>
              <w:rPr>
                <w:rFonts w:ascii="Times New Roman" w:eastAsia="Times New Roman" w:hAnsi="Times New Roman" w:cs="Times New Roman"/>
                <w:color w:val="000000"/>
                <w:sz w:val="20"/>
              </w:rPr>
              <w:t>Financing activities</w:t>
            </w: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16,829,311 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1505" w:type="dxa"/>
            <w:gridSpan w:val="2"/>
            <w:tcBorders>
              <w:top w:val="nil"/>
              <w:left w:val="nil"/>
              <w:bottom w:val="nil"/>
              <w:right w:val="nil"/>
            </w:tcBorders>
            <w:shd w:val="clear" w:color="auto" w:fill="FFFFFF"/>
            <w:tcMar>
              <w:top w:w="0" w:type="dxa"/>
              <w:left w:w="53" w:type="dxa"/>
              <w:bottom w:w="0" w:type="dxa"/>
              <w:right w:w="0" w:type="dxa"/>
            </w:tcMar>
            <w:vAlign w:val="bottom"/>
          </w:tcPr>
          <w:p>
            <w:pPr>
              <w:keepNext/>
              <w:pageBreakBefore w:val="0"/>
              <w:spacing w:before="75" w:after="30" w:line="200" w:lineRule="auto"/>
              <w:ind w:left="0"/>
              <w:jc w:val="right"/>
            </w:pPr>
            <w:r>
              <w:rPr>
                <w:rFonts w:ascii="Times New Roman" w:eastAsia="Times New Roman" w:hAnsi="Times New Roman" w:cs="Times New Roman"/>
                <w:color w:val="000000"/>
                <w:sz w:val="20"/>
              </w:rPr>
              <w:t>7,982,196 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pPr>
              <w:keepNext/>
              <w:pageBreakBefore w:val="0"/>
              <w:spacing w:before="75" w:after="30" w:line="200" w:lineRule="auto"/>
              <w:jc w:val="left"/>
            </w:pPr>
          </w:p>
        </w:tc>
      </w:tr>
      <w:tr>
        <w:tblPrEx>
          <w:tblW w:w="10260" w:type="dxa"/>
          <w:jc w:val="left"/>
          <w:tblInd w:w="0" w:type="dxa"/>
          <w:tblCellMar>
            <w:left w:w="108" w:type="dxa"/>
            <w:right w:w="108" w:type="dxa"/>
          </w:tblCellMar>
        </w:tblPrEx>
        <w:trPr>
          <w:cantSplit/>
          <w:trHeight w:hRule="exact" w:val="300"/>
          <w:jc w:val="left"/>
        </w:trPr>
        <w:tc>
          <w:tcPr>
            <w:tcW w:w="6975" w:type="dxa"/>
            <w:tcBorders>
              <w:top w:val="nil"/>
              <w:left w:val="nil"/>
              <w:bottom w:val="nil"/>
              <w:right w:val="nil"/>
            </w:tcBorders>
            <w:shd w:val="clear" w:color="auto" w:fill="CCEE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Net increase/(decrease) in cash and cash equivalents</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14,935,644 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pPr>
              <w:pageBreakBefore w:val="0"/>
              <w:spacing w:before="0" w:after="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pPr>
              <w:pageBreakBefore w:val="0"/>
              <w:spacing w:before="55" w:after="30" w:line="200" w:lineRule="auto"/>
              <w:ind w:left="0"/>
              <w:jc w:val="left"/>
            </w:pPr>
            <w:r>
              <w:rPr>
                <w:rFonts w:ascii="Times New Roman" w:eastAsia="Times New Roman" w:hAnsi="Times New Roman" w:cs="Times New Roman"/>
                <w:color w:val="000000"/>
                <w:sz w:val="20"/>
              </w:rPr>
              <w:t>$</w:t>
            </w:r>
          </w:p>
        </w:tc>
        <w:tc>
          <w:tcPr>
            <w:tcW w:w="134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pPr>
              <w:pageBreakBefore w:val="0"/>
              <w:spacing w:before="55" w:after="30" w:line="200" w:lineRule="auto"/>
              <w:jc w:val="right"/>
            </w:pPr>
            <w:r>
              <w:rPr>
                <w:rFonts w:ascii="Times New Roman" w:eastAsia="Times New Roman" w:hAnsi="Times New Roman" w:cs="Times New Roman"/>
                <w:color w:val="000000"/>
                <w:sz w:val="20"/>
              </w:rPr>
              <w:t>7,356,789 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pPr>
              <w:pageBreakBefore w:val="0"/>
              <w:spacing w:before="55" w:after="30" w:line="200" w:lineRule="auto"/>
              <w:jc w:val="left"/>
            </w:pPr>
          </w:p>
        </w:tc>
      </w:tr>
    </w:tbl>
    <w:p>
      <w:pPr>
        <w:keepNext w:val="0"/>
        <w:keepLines w:val="0"/>
        <w:pageBreakBefore w:val="0"/>
        <w:widowControl/>
        <w:numPr>
          <w:ilvl w:val="0"/>
          <w:numId w:val="0"/>
        </w:numPr>
        <w:spacing w:before="340" w:after="0" w:line="23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Cash used for operating activities was </w:t>
      </w:r>
      <w:r>
        <w:rPr>
          <w:rFonts w:ascii="Times New Roman" w:eastAsia="Times New Roman" w:hAnsi="Times New Roman" w:cs="Times New Roman"/>
          <w:sz w:val="20"/>
        </w:rPr>
        <w:t>$1,932,159</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and is </w:t>
      </w:r>
      <w:r>
        <w:rPr>
          <w:rFonts w:ascii="Times New Roman" w:eastAsia="Times New Roman" w:hAnsi="Times New Roman" w:cs="Times New Roman"/>
          <w:sz w:val="20"/>
        </w:rPr>
        <w:t>prima</w:t>
      </w:r>
      <w:r>
        <w:rPr>
          <w:rFonts w:ascii="Times New Roman" w:eastAsia="Times New Roman" w:hAnsi="Times New Roman" w:cs="Times New Roman"/>
          <w:sz w:val="20"/>
        </w:rPr>
        <w:t>ri</w:t>
      </w:r>
      <w:r>
        <w:rPr>
          <w:rFonts w:ascii="Times New Roman" w:eastAsia="Times New Roman" w:hAnsi="Times New Roman" w:cs="Times New Roman"/>
          <w:sz w:val="20"/>
        </w:rPr>
        <w:t xml:space="preserve">ly </w:t>
      </w:r>
      <w:r>
        <w:rPr>
          <w:rFonts w:ascii="Times New Roman" w:eastAsia="Times New Roman" w:hAnsi="Times New Roman" w:cs="Times New Roman"/>
          <w:sz w:val="20"/>
        </w:rPr>
        <w:t xml:space="preserve">the result of our net loss </w:t>
      </w:r>
      <w:r>
        <w:rPr>
          <w:rFonts w:ascii="Times New Roman" w:eastAsia="Times New Roman" w:hAnsi="Times New Roman" w:cs="Times New Roman"/>
          <w:sz w:val="20"/>
        </w:rPr>
        <w:t>for the period</w:t>
      </w:r>
      <w:r>
        <w:rPr>
          <w:rFonts w:ascii="Times New Roman" w:eastAsia="Times New Roman" w:hAnsi="Times New Roman" w:cs="Times New Roman"/>
          <w:sz w:val="20"/>
        </w:rPr>
        <w:t>. Net cash</w:t>
      </w:r>
      <w:r>
        <w:rPr>
          <w:rFonts w:ascii="Times New Roman" w:eastAsia="Times New Roman" w:hAnsi="Times New Roman" w:cs="Times New Roman"/>
          <w:sz w:val="20"/>
        </w:rPr>
        <w:t xml:space="preserve"> </w:t>
      </w:r>
      <w:r>
        <w:rPr>
          <w:rFonts w:ascii="Times New Roman" w:eastAsia="Times New Roman" w:hAnsi="Times New Roman" w:cs="Times New Roman"/>
          <w:sz w:val="20"/>
        </w:rPr>
        <w:t>provided by</w:t>
      </w:r>
      <w:r>
        <w:rPr>
          <w:rFonts w:ascii="Times New Roman" w:eastAsia="Times New Roman" w:hAnsi="Times New Roman" w:cs="Times New Roman"/>
          <w:sz w:val="20"/>
        </w:rPr>
        <w:t xml:space="preserve"> investing activities was </w:t>
      </w:r>
      <w:r>
        <w:rPr>
          <w:rFonts w:ascii="Times New Roman" w:eastAsia="Times New Roman" w:hAnsi="Times New Roman" w:cs="Times New Roman"/>
          <w:sz w:val="20"/>
        </w:rPr>
        <w:t>$38,492</w:t>
      </w:r>
      <w:r>
        <w:rPr>
          <w:rFonts w:ascii="Times New Roman" w:eastAsia="Times New Roman" w:hAnsi="Times New Roman" w:cs="Times New Roman"/>
          <w:sz w:val="20"/>
        </w:rPr>
        <w:t xml:space="preserve">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due to</w:t>
      </w:r>
      <w:r>
        <w:rPr>
          <w:rFonts w:ascii="Times New Roman" w:eastAsia="Times New Roman" w:hAnsi="Times New Roman" w:cs="Times New Roman"/>
          <w:sz w:val="20"/>
        </w:rPr>
        <w:t xml:space="preserve"> a return of d</w:t>
      </w:r>
      <w:r>
        <w:rPr>
          <w:rFonts w:ascii="Times New Roman" w:eastAsia="Times New Roman" w:hAnsi="Times New Roman" w:cs="Times New Roman"/>
          <w:sz w:val="20"/>
        </w:rPr>
        <w:t xml:space="preserve">eposits on </w:t>
      </w:r>
      <w:r>
        <w:rPr>
          <w:rFonts w:ascii="Times New Roman" w:eastAsia="Times New Roman" w:hAnsi="Times New Roman" w:cs="Times New Roman"/>
          <w:sz w:val="20"/>
        </w:rPr>
        <w:t>our leasehold facilities and sales of fixed assets offset by</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payment of </w:t>
      </w:r>
      <w:r>
        <w:rPr>
          <w:rFonts w:ascii="Times New Roman" w:eastAsia="Times New Roman" w:hAnsi="Times New Roman" w:cs="Times New Roman"/>
          <w:sz w:val="20"/>
        </w:rPr>
        <w:t>$97,129</w:t>
      </w:r>
      <w:r>
        <w:rPr>
          <w:rFonts w:ascii="Times New Roman" w:eastAsia="Times New Roman" w:hAnsi="Times New Roman" w:cs="Times New Roman"/>
          <w:sz w:val="20"/>
        </w:rPr>
        <w:t xml:space="preserve"> </w:t>
      </w:r>
      <w:r>
        <w:rPr>
          <w:rFonts w:ascii="Times New Roman" w:eastAsia="Times New Roman" w:hAnsi="Times New Roman" w:cs="Times New Roman"/>
          <w:sz w:val="20"/>
        </w:rPr>
        <w:t>in</w:t>
      </w:r>
      <w:r>
        <w:rPr>
          <w:rFonts w:ascii="Times New Roman" w:eastAsia="Times New Roman" w:hAnsi="Times New Roman" w:cs="Times New Roman"/>
          <w:sz w:val="20"/>
        </w:rPr>
        <w:t xml:space="preserve"> the development of our proprietary software</w:t>
      </w:r>
      <w:r>
        <w:rPr>
          <w:rFonts w:ascii="Times New Roman" w:eastAsia="Times New Roman" w:hAnsi="Times New Roman" w:cs="Times New Roman"/>
          <w:sz w:val="20"/>
        </w:rPr>
        <w:t xml:space="preserve">. Net cash provided by financing activities during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was </w:t>
      </w:r>
      <w:r>
        <w:rPr>
          <w:rFonts w:ascii="Times New Roman" w:eastAsia="Times New Roman" w:hAnsi="Times New Roman" w:cs="Times New Roman"/>
          <w:sz w:val="20"/>
        </w:rPr>
        <w:t>$16,829,311</w:t>
      </w:r>
      <w:r>
        <w:rPr>
          <w:rFonts w:ascii="Times New Roman" w:eastAsia="Times New Roman" w:hAnsi="Times New Roman" w:cs="Times New Roman"/>
          <w:sz w:val="20"/>
        </w:rPr>
        <w:t>,</w:t>
      </w:r>
      <w:r>
        <w:rPr>
          <w:rFonts w:ascii="Times New Roman" w:eastAsia="Times New Roman" w:hAnsi="Times New Roman" w:cs="Times New Roman"/>
          <w:sz w:val="20"/>
        </w:rPr>
        <w:t xml:space="preserve"> which consisted primarily of </w:t>
      </w:r>
      <w:r>
        <w:rPr>
          <w:rFonts w:ascii="Times New Roman" w:eastAsia="Times New Roman" w:hAnsi="Times New Roman" w:cs="Times New Roman"/>
          <w:sz w:val="20"/>
        </w:rPr>
        <w:t>net</w:t>
      </w:r>
      <w:r>
        <w:rPr>
          <w:rFonts w:ascii="Times New Roman" w:eastAsia="Times New Roman" w:hAnsi="Times New Roman" w:cs="Times New Roman"/>
          <w:sz w:val="20"/>
        </w:rPr>
        <w:t xml:space="preserve"> proceeds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approximately </w:t>
      </w:r>
      <w:r>
        <w:rPr>
          <w:rFonts w:ascii="Times New Roman" w:eastAsia="Times New Roman" w:hAnsi="Times New Roman" w:cs="Times New Roman"/>
          <w:sz w:val="20"/>
        </w:rPr>
        <w:t>$15.1</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million </w:t>
      </w:r>
      <w:r>
        <w:rPr>
          <w:rFonts w:ascii="Times New Roman" w:eastAsia="Times New Roman" w:hAnsi="Times New Roman" w:cs="Times New Roman"/>
          <w:sz w:val="20"/>
        </w:rPr>
        <w:t xml:space="preserve">from </w:t>
      </w:r>
      <w:r>
        <w:rPr>
          <w:rFonts w:ascii="Times New Roman" w:eastAsia="Times New Roman" w:hAnsi="Times New Roman" w:cs="Times New Roman"/>
          <w:sz w:val="20"/>
        </w:rPr>
        <w:t xml:space="preserve">the sale of our </w:t>
      </w:r>
      <w:r>
        <w:rPr>
          <w:rFonts w:ascii="Times New Roman" w:eastAsia="Times New Roman" w:hAnsi="Times New Roman" w:cs="Times New Roman"/>
          <w:sz w:val="20"/>
        </w:rPr>
        <w:t>common stock in our at the market offering program</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approximately </w:t>
      </w:r>
      <w:r>
        <w:rPr>
          <w:rFonts w:ascii="Times New Roman" w:eastAsia="Times New Roman" w:hAnsi="Times New Roman" w:cs="Times New Roman"/>
          <w:sz w:val="20"/>
        </w:rPr>
        <w:t>$1.9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from the PPP Loan (</w:t>
      </w:r>
      <w:r>
        <w:rPr>
          <w:rFonts w:ascii="Times New Roman" w:eastAsia="Times New Roman" w:hAnsi="Times New Roman" w:cs="Times New Roman"/>
          <w:sz w:val="20"/>
        </w:rPr>
        <w:t>described below)</w:t>
      </w:r>
      <w:r>
        <w:rPr>
          <w:rFonts w:ascii="Times New Roman" w:eastAsia="Times New Roman" w:hAnsi="Times New Roman" w:cs="Times New Roman"/>
          <w:sz w:val="20"/>
        </w:rPr>
        <w: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Secured Credit Facility</w:t>
      </w:r>
    </w:p>
    <w:p>
      <w:pPr>
        <w:keepNext w:val="0"/>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We have a secured credit facility agreement with Western Alliance Bank, the parent company of Bridge Bank, National Association. Pursuant to this agreement, we may submit requests for funding up to 80% of our eligible accounts receivable up to a maximum credit limit of $5 million. Effective August 30, 2018, as a result of IZEA’s merger with TapInfluence, we entered into a Business Financing Modification Agreement and Consent with Western Alliance Bank to add TapInfluence as an additional borrower on the credit facility.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we had </w:t>
      </w:r>
      <w:r>
        <w:rPr>
          <w:rFonts w:ascii="Times New Roman" w:eastAsia="Times New Roman" w:hAnsi="Times New Roman" w:cs="Times New Roman"/>
          <w:sz w:val="20"/>
        </w:rPr>
        <w:t>no amounts</w:t>
      </w:r>
      <w:r>
        <w:rPr>
          <w:rFonts w:ascii="Times New Roman" w:eastAsia="Times New Roman" w:hAnsi="Times New Roman" w:cs="Times New Roman"/>
          <w:sz w:val="20"/>
        </w:rPr>
        <w:t xml:space="preserve"> outstanding under this agreement. Assuming that our unfunded remaining trade accounts receivable balance was eligible for funding, we had </w:t>
      </w:r>
      <w:r>
        <w:rPr>
          <w:rFonts w:ascii="Times New Roman" w:eastAsia="Times New Roman" w:hAnsi="Times New Roman" w:cs="Times New Roman"/>
          <w:sz w:val="20"/>
        </w:rPr>
        <w:t xml:space="preserve">approximately </w:t>
      </w:r>
      <w:r>
        <w:rPr>
          <w:rFonts w:ascii="Times New Roman" w:eastAsia="Times New Roman" w:hAnsi="Times New Roman" w:cs="Times New Roman"/>
          <w:sz w:val="20"/>
        </w:rPr>
        <w:t>$2.4 million</w:t>
      </w:r>
      <w:r>
        <w:rPr>
          <w:rFonts w:ascii="Times New Roman" w:eastAsia="Times New Roman" w:hAnsi="Times New Roman" w:cs="Times New Roman"/>
          <w:sz w:val="20"/>
        </w:rPr>
        <w:t xml:space="preserve"> </w:t>
      </w:r>
      <w:r>
        <w:rPr>
          <w:rFonts w:ascii="Times New Roman" w:eastAsia="Times New Roman" w:hAnsi="Times New Roman" w:cs="Times New Roman"/>
          <w:sz w:val="20"/>
        </w:rPr>
        <w:t>in</w:t>
      </w:r>
      <w:r>
        <w:rPr>
          <w:rFonts w:ascii="Times New Roman" w:eastAsia="Times New Roman" w:hAnsi="Times New Roman" w:cs="Times New Roman"/>
          <w:sz w:val="20"/>
        </w:rPr>
        <w:t xml:space="preserve"> available credit of </w:t>
      </w:r>
      <w:r>
        <w:rPr>
          <w:rFonts w:ascii="Times New Roman" w:eastAsia="Times New Roman" w:hAnsi="Times New Roman" w:cs="Times New Roman"/>
          <w:sz w:val="20"/>
        </w:rPr>
        <w:t xml:space="preserve">under the agreement as of </w:t>
      </w:r>
      <w:r>
        <w:rPr>
          <w:rFonts w:ascii="Times New Roman" w:eastAsia="Times New Roman" w:hAnsi="Times New Roman" w:cs="Times New Roman"/>
          <w:sz w:val="20"/>
        </w:rPr>
        <w:t>June 30, 2020</w:t>
      </w:r>
      <w:r>
        <w:rPr>
          <w:rFonts w:ascii="Times New Roman" w:eastAsia="Times New Roman" w:hAnsi="Times New Roman" w:cs="Times New Roman"/>
          <w:sz w:val="20"/>
        </w:rPr>
        <w:t>.</w:t>
      </w:r>
    </w:p>
    <w:p>
      <w:pPr>
        <w:keepNext w:val="0"/>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PPP</w:t>
      </w:r>
      <w:r>
        <w:rPr>
          <w:rFonts w:ascii="Times New Roman" w:eastAsia="Times New Roman" w:hAnsi="Times New Roman" w:cs="Times New Roman"/>
          <w:b/>
          <w:i/>
          <w:sz w:val="20"/>
        </w:rPr>
        <w:t xml:space="preserve"> Loan</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sz w:val="20"/>
        </w:rPr>
        <w:t xml:space="preserve">On April 23, 2020, we received a loan from Western Alliance Bank (the “Lender”) in the principal amount of $1,905,100 </w:t>
      </w:r>
      <w:r>
        <w:rPr>
          <w:rFonts w:ascii="Times New Roman" w:eastAsia="Times New Roman" w:hAnsi="Times New Roman" w:cs="Times New Roman"/>
          <w:sz w:val="20"/>
        </w:rPr>
        <w:t>(the “PPP Loan”)</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under the Paycheck Protection Program (“PPP”), which was established under the </w:t>
      </w:r>
      <w:r>
        <w:rPr>
          <w:rFonts w:ascii="Times New Roman" w:eastAsia="Times New Roman" w:hAnsi="Times New Roman" w:cs="Times New Roman"/>
          <w:sz w:val="20"/>
        </w:rPr>
        <w:t xml:space="preserve">Coronavirus Aid, Relief, and Economic Security Act (the “CARES Act”) administered by the U.S. Small Business Administration (the  “SBA”). The term of the promissory note </w:t>
      </w:r>
      <w:r>
        <w:rPr>
          <w:rFonts w:ascii="Times New Roman" w:eastAsia="Times New Roman" w:hAnsi="Times New Roman" w:cs="Times New Roman"/>
          <w:sz w:val="20"/>
        </w:rPr>
        <w:t xml:space="preserve"> (the “Note”) </w:t>
      </w:r>
      <w:r>
        <w:rPr>
          <w:rFonts w:ascii="Times New Roman" w:eastAsia="Times New Roman" w:hAnsi="Times New Roman" w:cs="Times New Roman"/>
          <w:sz w:val="20"/>
        </w:rPr>
        <w:t xml:space="preserve">issued in respect of the loan </w:t>
      </w:r>
      <w:r>
        <w:rPr>
          <w:rFonts w:ascii="Times New Roman" w:eastAsia="Times New Roman" w:hAnsi="Times New Roman" w:cs="Times New Roman"/>
          <w:sz w:val="20"/>
        </w:rPr>
        <w:t>is two years, though it may be payable sooner in connection with an event of default under the Note. The</w:t>
      </w:r>
      <w:r>
        <w:rPr>
          <w:rFonts w:ascii="Times New Roman" w:eastAsia="Times New Roman" w:hAnsi="Times New Roman" w:cs="Times New Roman"/>
          <w:sz w:val="20"/>
        </w:rPr>
        <w:t xml:space="preserve"> </w:t>
      </w:r>
      <w:r>
        <w:rPr>
          <w:rFonts w:ascii="Times New Roman" w:eastAsia="Times New Roman" w:hAnsi="Times New Roman" w:cs="Times New Roman"/>
          <w:sz w:val="20"/>
        </w:rPr>
        <w:t>PPP</w:t>
      </w:r>
      <w:r>
        <w:rPr>
          <w:rFonts w:ascii="Times New Roman" w:eastAsia="Times New Roman" w:hAnsi="Times New Roman" w:cs="Times New Roman"/>
          <w:sz w:val="20"/>
        </w:rPr>
        <w:t xml:space="preserve"> Loan carries a fixed interest rate of one percent per year, with the first payment due seven months from the date of initial cash receipt. Under the CARES Act and the PPP, certain amounts of loans made under the PPP may be forgiven if the recipients use the loan proceeds for eligible purposes, including payroll costs and certain rent or utility costs, and meet other requirements regarding, among other things, the maintenance of employment and compensation levels. We intend to use the </w:t>
      </w:r>
      <w:r>
        <w:rPr>
          <w:rFonts w:ascii="Times New Roman" w:eastAsia="Times New Roman" w:hAnsi="Times New Roman" w:cs="Times New Roman"/>
          <w:sz w:val="20"/>
        </w:rPr>
        <w:t>PPP</w:t>
      </w:r>
      <w:r>
        <w:rPr>
          <w:rFonts w:ascii="Times New Roman" w:eastAsia="Times New Roman" w:hAnsi="Times New Roman" w:cs="Times New Roman"/>
          <w:sz w:val="20"/>
        </w:rPr>
        <w:t xml:space="preserve"> Loan for qualifying expenses</w:t>
      </w:r>
      <w:r>
        <w:rPr>
          <w:rFonts w:ascii="Times New Roman" w:eastAsia="Times New Roman" w:hAnsi="Times New Roman" w:cs="Times New Roman"/>
          <w:sz w:val="20"/>
        </w:rPr>
        <w:t xml:space="preserve"> such that we are eligible</w:t>
      </w:r>
      <w:r>
        <w:rPr>
          <w:rFonts w:ascii="Times New Roman" w:eastAsia="Times New Roman" w:hAnsi="Times New Roman" w:cs="Times New Roman"/>
          <w:sz w:val="20"/>
        </w:rPr>
        <w:t xml:space="preserve"> to apply for forgiveness of the </w:t>
      </w:r>
      <w:r>
        <w:rPr>
          <w:rFonts w:ascii="Times New Roman" w:eastAsia="Times New Roman" w:hAnsi="Times New Roman" w:cs="Times New Roman"/>
          <w:sz w:val="20"/>
        </w:rPr>
        <w:t>PPP</w:t>
      </w:r>
      <w:r>
        <w:rPr>
          <w:rFonts w:ascii="Times New Roman" w:eastAsia="Times New Roman" w:hAnsi="Times New Roman" w:cs="Times New Roman"/>
          <w:sz w:val="20"/>
        </w:rPr>
        <w:t xml:space="preserve"> Loan in accordance with the terms of the CARES Act. However, no assurance is provided that we will obtain forgiveness of the PPP Loan in whole or in part.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38" w:lineRule="auto"/>
        <w:ind w:left="0" w:right="0" w:firstLine="0"/>
        <w:jc w:val="both"/>
        <w:outlineLvl w:val="9"/>
        <w:rPr>
          <w:rFonts w:ascii="Times New Roman" w:eastAsia="Times New Roman" w:hAnsi="Times New Roman" w:cs="Times New Roman"/>
          <w:b/>
          <w:i/>
          <w:color w:val="1A1A1A"/>
          <w:sz w:val="20"/>
          <w:shd w:val="clear" w:color="auto" w:fill="FFFFFF"/>
        </w:rPr>
      </w:pPr>
      <w:r>
        <w:rPr>
          <w:rFonts w:ascii="Times New Roman" w:eastAsia="Times New Roman" w:hAnsi="Times New Roman" w:cs="Times New Roman"/>
          <w:b/>
          <w:i/>
          <w:sz w:val="20"/>
        </w:rPr>
        <w:t>At the Market (ATM) Offering</w:t>
      </w: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3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On June 4, 2020, </w:t>
      </w:r>
      <w:r>
        <w:rPr>
          <w:rFonts w:ascii="Times New Roman" w:eastAsia="Times New Roman" w:hAnsi="Times New Roman" w:cs="Times New Roman"/>
          <w:sz w:val="20"/>
        </w:rPr>
        <w:t>we</w:t>
      </w:r>
      <w:r>
        <w:rPr>
          <w:rFonts w:ascii="Times New Roman" w:eastAsia="Times New Roman" w:hAnsi="Times New Roman" w:cs="Times New Roman"/>
          <w:sz w:val="20"/>
        </w:rPr>
        <w:t xml:space="preserve"> entered into an ATM Sales Agreement (the “Sales Agreement”) with National Securities Corporation, as sales agent (“National Securities”), pursuant to which </w:t>
      </w:r>
      <w:r>
        <w:rPr>
          <w:rFonts w:ascii="Times New Roman" w:eastAsia="Times New Roman" w:hAnsi="Times New Roman" w:cs="Times New Roman"/>
          <w:sz w:val="20"/>
        </w:rPr>
        <w:t>we</w:t>
      </w:r>
      <w:r>
        <w:rPr>
          <w:rFonts w:ascii="Times New Roman" w:eastAsia="Times New Roman" w:hAnsi="Times New Roman" w:cs="Times New Roman"/>
          <w:sz w:val="20"/>
        </w:rPr>
        <w:t xml:space="preserve"> may offer and sell, from time to time, through National Securities, shares of </w:t>
      </w:r>
      <w:r>
        <w:rPr>
          <w:rFonts w:ascii="Times New Roman" w:eastAsia="Times New Roman" w:hAnsi="Times New Roman" w:cs="Times New Roman"/>
          <w:sz w:val="20"/>
        </w:rPr>
        <w:t>our</w:t>
      </w:r>
      <w:r>
        <w:rPr>
          <w:rFonts w:ascii="Times New Roman" w:eastAsia="Times New Roman" w:hAnsi="Times New Roman" w:cs="Times New Roman"/>
          <w:sz w:val="20"/>
        </w:rPr>
        <w:t xml:space="preserve"> common stock,</w:t>
      </w:r>
      <w:r>
        <w:rPr>
          <w:rFonts w:ascii="Times New Roman" w:eastAsia="Times New Roman" w:hAnsi="Times New Roman" w:cs="Times New Roman"/>
          <w:sz w:val="20"/>
        </w:rPr>
        <w:t xml:space="preserve"> by any method deemed to be an “at the market offering” as defined in Rule 415 under the Securities Act of 1933, as amended (the “ATM Offering”). </w:t>
      </w: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we</w:t>
      </w:r>
      <w:r>
        <w:rPr>
          <w:rFonts w:ascii="Times New Roman" w:eastAsia="Times New Roman" w:hAnsi="Times New Roman" w:cs="Times New Roman"/>
          <w:sz w:val="20"/>
        </w:rPr>
        <w:t xml:space="preserve"> had sold </w:t>
      </w:r>
      <w:r>
        <w:rPr>
          <w:rFonts w:ascii="Times New Roman" w:eastAsia="Times New Roman" w:hAnsi="Times New Roman" w:cs="Times New Roman"/>
          <w:sz w:val="20"/>
        </w:rPr>
        <w:t>6,856,241</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$2.24</w:t>
      </w:r>
      <w:r>
        <w:rPr>
          <w:rFonts w:ascii="Times New Roman" w:eastAsia="Times New Roman" w:hAnsi="Times New Roman" w:cs="Times New Roman"/>
          <w:sz w:val="20"/>
        </w:rPr>
        <w:t xml:space="preserve"> per share for total gross proceeds of </w:t>
      </w:r>
      <w:r>
        <w:rPr>
          <w:rFonts w:ascii="Times New Roman" w:eastAsia="Times New Roman" w:hAnsi="Times New Roman" w:cs="Times New Roman"/>
          <w:sz w:val="20"/>
        </w:rPr>
        <w:t>$15,361,853</w:t>
      </w:r>
      <w:r>
        <w:rPr>
          <w:rFonts w:ascii="Times New Roman" w:eastAsia="Times New Roman" w:hAnsi="Times New Roman" w:cs="Times New Roman"/>
          <w:sz w:val="20"/>
        </w:rPr>
        <w:t xml:space="preserve">. </w:t>
      </w:r>
      <w:r>
        <w:rPr>
          <w:rFonts w:ascii="Times New Roman" w:eastAsia="Times New Roman" w:hAnsi="Times New Roman" w:cs="Times New Roman"/>
          <w:sz w:val="20"/>
        </w:rPr>
        <w:t>By</w:t>
      </w:r>
      <w:r>
        <w:rPr>
          <w:rFonts w:ascii="Times New Roman" w:eastAsia="Times New Roman" w:hAnsi="Times New Roman" w:cs="Times New Roman"/>
          <w:sz w:val="20"/>
        </w:rPr>
        <w:t xml:space="preserve"> </w:t>
      </w:r>
      <w:r>
        <w:rPr>
          <w:rFonts w:ascii="Times New Roman" w:eastAsia="Times New Roman" w:hAnsi="Times New Roman" w:cs="Times New Roman"/>
          <w:sz w:val="20"/>
        </w:rPr>
        <w:t>August 10, 2020</w:t>
      </w:r>
      <w:r>
        <w:rPr>
          <w:rFonts w:ascii="Times New Roman" w:eastAsia="Times New Roman" w:hAnsi="Times New Roman" w:cs="Times New Roman"/>
          <w:sz w:val="20"/>
        </w:rPr>
        <w:t xml:space="preserve">, we </w:t>
      </w:r>
      <w:r>
        <w:rPr>
          <w:rFonts w:ascii="Times New Roman" w:eastAsia="Times New Roman" w:hAnsi="Times New Roman" w:cs="Times New Roman"/>
          <w:sz w:val="20"/>
        </w:rPr>
        <w:t>had</w:t>
      </w:r>
      <w:r>
        <w:rPr>
          <w:rFonts w:ascii="Times New Roman" w:eastAsia="Times New Roman" w:hAnsi="Times New Roman" w:cs="Times New Roman"/>
          <w:sz w:val="20"/>
        </w:rPr>
        <w:t xml:space="preserve"> sold a total of </w:t>
      </w:r>
      <w:r>
        <w:rPr>
          <w:rFonts w:ascii="Times New Roman" w:eastAsia="Times New Roman" w:hAnsi="Times New Roman" w:cs="Times New Roman"/>
          <w:sz w:val="20"/>
        </w:rPr>
        <w:t>13,258,172</w:t>
      </w:r>
      <w:r>
        <w:rPr>
          <w:rFonts w:ascii="Times New Roman" w:eastAsia="Times New Roman" w:hAnsi="Times New Roman" w:cs="Times New Roman"/>
          <w:sz w:val="20"/>
        </w:rPr>
        <w:t xml:space="preserve"> shares at an average price of </w:t>
      </w:r>
      <w:r>
        <w:rPr>
          <w:rFonts w:ascii="Times New Roman" w:eastAsia="Times New Roman" w:hAnsi="Times New Roman" w:cs="Times New Roman"/>
          <w:sz w:val="20"/>
        </w:rPr>
        <w:t>$1.94</w:t>
      </w:r>
      <w:r>
        <w:rPr>
          <w:rFonts w:ascii="Times New Roman" w:eastAsia="Times New Roman" w:hAnsi="Times New Roman" w:cs="Times New Roman"/>
          <w:sz w:val="20"/>
        </w:rPr>
        <w:t xml:space="preserve"> per share for total gross proceeds of </w:t>
      </w:r>
      <w:r>
        <w:rPr>
          <w:rFonts w:ascii="Times New Roman" w:eastAsia="Times New Roman" w:hAnsi="Times New Roman" w:cs="Times New Roman"/>
          <w:sz w:val="20"/>
        </w:rPr>
        <w:t>$25,740,293</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 the ATM Offering under </w:t>
      </w:r>
      <w:r>
        <w:rPr>
          <w:rFonts w:ascii="Times New Roman" w:eastAsia="Times New Roman" w:hAnsi="Times New Roman" w:cs="Times New Roman"/>
          <w:sz w:val="20"/>
        </w:rPr>
        <w:t>our</w:t>
      </w:r>
      <w:r>
        <w:rPr>
          <w:rFonts w:ascii="Times New Roman" w:eastAsia="Times New Roman" w:hAnsi="Times New Roman" w:cs="Times New Roman"/>
          <w:sz w:val="20"/>
        </w:rPr>
        <w:t xml:space="preserve"> shelf registration statement on Form S-3 (File No. 333-238619)</w:t>
      </w:r>
      <w:r>
        <w:rPr>
          <w:rFonts w:ascii="Times New Roman" w:eastAsia="Times New Roman" w:hAnsi="Times New Roman" w:cs="Times New Roman"/>
          <w:sz w:val="20"/>
        </w:rPr>
        <w:t xml:space="preserve">. </w:t>
      </w:r>
    </w:p>
    <w:p>
      <w:pPr>
        <w:keepNext w:val="0"/>
        <w:keepLines w:val="0"/>
        <w:pageBreakBefore w:val="0"/>
        <w:widowControl/>
        <w:numPr>
          <w:ilvl w:val="0"/>
          <w:numId w:val="0"/>
        </w:numPr>
        <w:spacing w:before="0" w:after="0" w:line="238" w:lineRule="auto"/>
        <w:ind w:left="0" w:right="0" w:firstLine="72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Financial Condition</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W</w:t>
      </w:r>
      <w:r>
        <w:rPr>
          <w:rFonts w:ascii="Times New Roman" w:eastAsia="Times New Roman" w:hAnsi="Times New Roman" w:cs="Times New Roman"/>
          <w:color w:val="1A1A1A"/>
          <w:sz w:val="20"/>
          <w:shd w:val="clear" w:color="auto" w:fill="FFFFFF"/>
        </w:rPr>
        <w:t xml:space="preserve">e have </w:t>
      </w:r>
      <w:r>
        <w:rPr>
          <w:rFonts w:ascii="Times New Roman" w:eastAsia="Times New Roman" w:hAnsi="Times New Roman" w:cs="Times New Roman"/>
          <w:color w:val="1A1A1A"/>
          <w:sz w:val="20"/>
          <w:shd w:val="clear" w:color="auto" w:fill="FFFFFF"/>
        </w:rPr>
        <w:t xml:space="preserve">seen </w:t>
      </w:r>
      <w:r>
        <w:rPr>
          <w:rFonts w:ascii="Times New Roman" w:eastAsia="Times New Roman" w:hAnsi="Times New Roman" w:cs="Times New Roman"/>
          <w:color w:val="1A1A1A"/>
          <w:sz w:val="20"/>
          <w:shd w:val="clear" w:color="auto" w:fill="FFFFFF"/>
        </w:rPr>
        <w:t>impact</w:t>
      </w:r>
      <w:r>
        <w:rPr>
          <w:rFonts w:ascii="Times New Roman" w:eastAsia="Times New Roman" w:hAnsi="Times New Roman" w:cs="Times New Roman"/>
          <w:color w:val="1A1A1A"/>
          <w:sz w:val="20"/>
          <w:shd w:val="clear" w:color="auto" w:fill="FFFFFF"/>
        </w:rPr>
        <w:t>s</w:t>
      </w:r>
      <w:r>
        <w:rPr>
          <w:rFonts w:ascii="Times New Roman" w:eastAsia="Times New Roman" w:hAnsi="Times New Roman" w:cs="Times New Roman"/>
          <w:color w:val="1A1A1A"/>
          <w:sz w:val="20"/>
          <w:shd w:val="clear" w:color="auto" w:fill="FFFFFF"/>
        </w:rPr>
        <w:t xml:space="preserve"> on our operations due to changes in advertising decisions, timing and spending priorities from our customers as a result of </w:t>
      </w:r>
      <w:r>
        <w:rPr>
          <w:rFonts w:ascii="Times New Roman" w:eastAsia="Times New Roman" w:hAnsi="Times New Roman" w:cs="Times New Roman"/>
          <w:color w:val="1A1A1A"/>
          <w:sz w:val="20"/>
          <w:shd w:val="clear" w:color="auto" w:fill="FFFFFF"/>
        </w:rPr>
        <w:t>COVID-19</w:t>
      </w:r>
      <w:r>
        <w:rPr>
          <w:rFonts w:ascii="Times New Roman" w:eastAsia="Times New Roman" w:hAnsi="Times New Roman" w:cs="Times New Roman"/>
          <w:color w:val="1A1A1A"/>
          <w:sz w:val="20"/>
          <w:shd w:val="clear" w:color="auto" w:fill="FFFFFF"/>
        </w:rPr>
        <w:t xml:space="preserve">, which </w:t>
      </w:r>
      <w:r>
        <w:rPr>
          <w:rFonts w:ascii="Times New Roman" w:eastAsia="Times New Roman" w:hAnsi="Times New Roman" w:cs="Times New Roman"/>
          <w:color w:val="1A1A1A"/>
          <w:sz w:val="20"/>
          <w:shd w:val="clear" w:color="auto" w:fill="FFFFFF"/>
        </w:rPr>
        <w:t>has had and m</w:t>
      </w:r>
      <w:r>
        <w:rPr>
          <w:rFonts w:ascii="Times New Roman" w:eastAsia="Times New Roman" w:hAnsi="Times New Roman" w:cs="Times New Roman"/>
          <w:color w:val="1A1A1A"/>
          <w:sz w:val="20"/>
          <w:shd w:val="clear" w:color="auto" w:fill="FFFFFF"/>
        </w:rPr>
        <w:t>a</w:t>
      </w:r>
      <w:r>
        <w:rPr>
          <w:rFonts w:ascii="Times New Roman" w:eastAsia="Times New Roman" w:hAnsi="Times New Roman" w:cs="Times New Roman"/>
          <w:color w:val="1A1A1A"/>
          <w:sz w:val="20"/>
          <w:shd w:val="clear" w:color="auto" w:fill="FFFFFF"/>
        </w:rPr>
        <w:t>y continue to have</w:t>
      </w:r>
      <w:r>
        <w:rPr>
          <w:rFonts w:ascii="Times New Roman" w:eastAsia="Times New Roman" w:hAnsi="Times New Roman" w:cs="Times New Roman"/>
          <w:color w:val="1A1A1A"/>
          <w:sz w:val="20"/>
          <w:shd w:val="clear" w:color="auto" w:fill="FFFFFF"/>
        </w:rPr>
        <w:t xml:space="preserve"> a negative impact to our expected future sales</w:t>
      </w:r>
      <w:r>
        <w:rPr>
          <w:rFonts w:ascii="Times New Roman" w:eastAsia="Times New Roman" w:hAnsi="Times New Roman" w:cs="Times New Roman"/>
          <w:color w:val="1A1A1A"/>
          <w:sz w:val="20"/>
          <w:shd w:val="clear" w:color="auto" w:fill="FFFFFF"/>
        </w:rPr>
        <w:t xml:space="preserve"> and valuation estimates</w:t>
      </w:r>
      <w:r>
        <w:rPr>
          <w:rFonts w:ascii="Times New Roman" w:eastAsia="Times New Roman" w:hAnsi="Times New Roman" w:cs="Times New Roman"/>
          <w:color w:val="1A1A1A"/>
          <w:sz w:val="20"/>
          <w:shd w:val="clear" w:color="auto" w:fill="FFFFFF"/>
        </w:rPr>
        <w:t xml:space="preserve">. </w:t>
      </w:r>
      <w:r>
        <w:rPr>
          <w:rFonts w:ascii="Times New Roman" w:eastAsia="Times New Roman" w:hAnsi="Times New Roman" w:cs="Times New Roman"/>
          <w:sz w:val="20"/>
        </w:rPr>
        <w:t xml:space="preserve">With </w:t>
      </w:r>
      <w:r>
        <w:rPr>
          <w:rFonts w:ascii="Times New Roman" w:eastAsia="Times New Roman" w:hAnsi="Times New Roman" w:cs="Times New Roman"/>
          <w:sz w:val="20"/>
        </w:rPr>
        <w:t>our</w:t>
      </w:r>
      <w:r>
        <w:rPr>
          <w:rFonts w:ascii="Times New Roman" w:eastAsia="Times New Roman" w:hAnsi="Times New Roman" w:cs="Times New Roman"/>
          <w:sz w:val="20"/>
        </w:rPr>
        <w:t xml:space="preserve"> cash on hand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t>
      </w:r>
      <w:r>
        <w:rPr>
          <w:rFonts w:ascii="Times New Roman" w:eastAsia="Times New Roman" w:hAnsi="Times New Roman" w:cs="Times New Roman"/>
          <w:sz w:val="20"/>
        </w:rPr>
        <w:t>we expect to have sufficient cash reserves and financing sources available to cover expenses at least one year from the issuance of this Quarterly Report b</w:t>
      </w:r>
      <w:r>
        <w:rPr>
          <w:rFonts w:ascii="Times New Roman" w:eastAsia="Times New Roman" w:hAnsi="Times New Roman" w:cs="Times New Roman"/>
          <w:color w:val="1A1A1A"/>
          <w:sz w:val="20"/>
          <w:shd w:val="clear" w:color="auto" w:fill="FFFFFF"/>
        </w:rPr>
        <w:t xml:space="preserve">ased on our current estimates of revenue and expenses for </w:t>
      </w:r>
      <w:r>
        <w:rPr>
          <w:rFonts w:ascii="Times New Roman" w:eastAsia="Times New Roman" w:hAnsi="Times New Roman" w:cs="Times New Roman"/>
          <w:color w:val="1A1A1A"/>
          <w:sz w:val="20"/>
          <w:shd w:val="clear" w:color="auto" w:fill="FFFFFF"/>
        </w:rPr>
        <w:t>the next twelve months.</w:t>
      </w:r>
      <w:r>
        <w:rPr>
          <w:rFonts w:ascii="Times New Roman" w:eastAsia="Times New Roman" w:hAnsi="Times New Roman" w:cs="Times New Roman"/>
          <w:color w:val="1A1A1A"/>
          <w:sz w:val="20"/>
          <w:shd w:val="clear" w:color="auto" w:fill="FFFFFF"/>
        </w:rPr>
        <w:t xml:space="preserve"> While the disruption </w:t>
      </w:r>
      <w:r>
        <w:rPr>
          <w:rFonts w:ascii="Times New Roman" w:eastAsia="Times New Roman" w:hAnsi="Times New Roman" w:cs="Times New Roman"/>
          <w:color w:val="1A1A1A"/>
          <w:sz w:val="20"/>
          <w:shd w:val="clear" w:color="auto" w:fill="FFFFFF"/>
        </w:rPr>
        <w:t xml:space="preserve">caused by COVID-19 </w:t>
      </w:r>
      <w:r>
        <w:rPr>
          <w:rFonts w:ascii="Times New Roman" w:eastAsia="Times New Roman" w:hAnsi="Times New Roman" w:cs="Times New Roman"/>
          <w:color w:val="1A1A1A"/>
          <w:sz w:val="20"/>
          <w:shd w:val="clear" w:color="auto" w:fill="FFFFFF"/>
        </w:rPr>
        <w:t>is currently expected to be temporary, there is uncertainty around the duration and the total economic impact. Therefore, while we expect this matter to negatively impact our business, s</w:t>
      </w:r>
      <w:r>
        <w:rPr>
          <w:rFonts w:ascii="Times New Roman" w:eastAsia="Times New Roman" w:hAnsi="Times New Roman" w:cs="Times New Roman"/>
          <w:sz w:val="20"/>
        </w:rPr>
        <w:t xml:space="preserve">uch events are generally outside of our control and could have a </w:t>
      </w:r>
      <w:r>
        <w:rPr>
          <w:rFonts w:ascii="Times New Roman" w:eastAsia="Times New Roman" w:hAnsi="Times New Roman" w:cs="Times New Roman"/>
          <w:sz w:val="20"/>
        </w:rPr>
        <w:t xml:space="preserve">further </w:t>
      </w:r>
      <w:r>
        <w:rPr>
          <w:rFonts w:ascii="Times New Roman" w:eastAsia="Times New Roman" w:hAnsi="Times New Roman" w:cs="Times New Roman"/>
          <w:sz w:val="20"/>
        </w:rPr>
        <w:t xml:space="preserve">material adverse impact on our business, </w:t>
      </w:r>
      <w:r>
        <w:rPr>
          <w:rFonts w:ascii="Times New Roman" w:eastAsia="Times New Roman" w:hAnsi="Times New Roman" w:cs="Times New Roman"/>
          <w:color w:val="1A1A1A"/>
          <w:sz w:val="20"/>
          <w:shd w:val="clear" w:color="auto" w:fill="FFFFFF"/>
        </w:rPr>
        <w:t xml:space="preserve">results of operations, and financial position.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3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3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48" w:lineRule="auto"/>
        <w:ind w:left="0" w:right="0" w:firstLine="0"/>
        <w:jc w:val="both"/>
        <w:outlineLvl w:val="2"/>
        <w:rPr>
          <w:rFonts w:ascii="Times New Roman" w:eastAsia="Times New Roman" w:hAnsi="Times New Roman" w:cs="Times New Roman"/>
          <w:b/>
          <w:sz w:val="20"/>
        </w:rPr>
      </w:pPr>
      <w:bookmarkStart w:id="28" w:name="Section29"/>
      <w:bookmarkEnd w:id="28"/>
      <w:r>
        <w:rPr>
          <w:rFonts w:ascii="Times New Roman" w:eastAsia="Times New Roman" w:hAnsi="Times New Roman" w:cs="Times New Roman"/>
          <w:b/>
          <w:sz w:val="20"/>
        </w:rPr>
        <w:t>Off-Balance Sheet Arrangements</w:t>
      </w: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As of </w:t>
      </w:r>
      <w:r>
        <w:rPr>
          <w:rFonts w:ascii="Times New Roman" w:eastAsia="Times New Roman" w:hAnsi="Times New Roman" w:cs="Times New Roman"/>
          <w:sz w:val="20"/>
        </w:rPr>
        <w:t>June 30, 2020</w:t>
      </w:r>
      <w:r>
        <w:rPr>
          <w:rFonts w:ascii="Times New Roman" w:eastAsia="Times New Roman" w:hAnsi="Times New Roman" w:cs="Times New Roman"/>
          <w:sz w:val="20"/>
        </w:rPr>
        <w:t>, we did not engage in any activities involving variable interest entities or off-balance sheet arrangements.</w:t>
      </w: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both"/>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720"/>
        <w:jc w:val="both"/>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bookmarkStart w:id="29" w:name="Section30"/>
      <w:bookmarkEnd w:id="29"/>
      <w:r>
        <w:rPr>
          <w:rFonts w:ascii="Times New Roman" w:eastAsia="Times New Roman" w:hAnsi="Times New Roman" w:cs="Times New Roman"/>
          <w:b/>
          <w:sz w:val="20"/>
        </w:rPr>
        <w:t xml:space="preserve">Critical Accounting Policies and Use of Estimates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There have been no material changes to our critical accounting policies as set forth in Item 7, “Management’s Discussion and Analysis of Financial Condition and Results of Operations,” included in our Annual Report on Form 10-K for the year ended December 31, 2019. For a summary of our significant accounting policies, please refer to Note 1 — Company and Summary of Significant Accounting Policies included in Item 1 of this Quarterly Report.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2"/>
        <w:rPr>
          <w:rFonts w:ascii="Times New Roman" w:eastAsia="Times New Roman" w:hAnsi="Times New Roman" w:cs="Times New Roman"/>
          <w:b/>
          <w:sz w:val="20"/>
        </w:rPr>
      </w:pPr>
      <w:bookmarkStart w:id="30" w:name="Section31"/>
      <w:bookmarkEnd w:id="30"/>
      <w:r>
        <w:rPr>
          <w:rFonts w:ascii="Times New Roman" w:eastAsia="Times New Roman" w:hAnsi="Times New Roman" w:cs="Times New Roman"/>
          <w:b/>
          <w:sz w:val="20"/>
        </w:rPr>
        <w:t>Recent Accounting Pronouncements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r>
        <w:rPr>
          <w:rFonts w:ascii="Times New Roman" w:eastAsia="Times New Roman" w:hAnsi="Times New Roman" w:cs="Times New Roman"/>
          <w:sz w:val="20"/>
        </w:rPr>
        <w:tab/>
      </w:r>
      <w:r>
        <w:rPr>
          <w:rFonts w:ascii="Times New Roman" w:eastAsia="Times New Roman" w:hAnsi="Times New Roman" w:cs="Times New Roman"/>
          <w:sz w:val="20"/>
        </w:rPr>
        <w:t>See “Note 1. Company and Summary of Significant Accounting Policies,” under Part I, Item 1 of this Quarterly Report for information on additional recent pronouncements.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1" w:name="Section32"/>
      <w:bookmarkEnd w:id="31"/>
      <w:r>
        <w:rPr>
          <w:rFonts w:ascii="Times New Roman" w:eastAsia="Times New Roman" w:hAnsi="Times New Roman" w:cs="Times New Roman"/>
          <w:b/>
          <w:sz w:val="20"/>
        </w:rPr>
        <w:t>ITEM 3 – QUANTITATIVE AND QUALITATIVE DISCLOSURES ABOUT MARKET RISK</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Not applicable to smaller reporting companies.</w:t>
      </w: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2" w:name="Section33"/>
      <w:bookmarkEnd w:id="32"/>
      <w:r>
        <w:rPr>
          <w:rFonts w:ascii="Times New Roman" w:eastAsia="Times New Roman" w:hAnsi="Times New Roman" w:cs="Times New Roman"/>
          <w:b/>
          <w:sz w:val="20"/>
        </w:rPr>
        <w:t>ITEM 4 – CONTROLS AND PROCEDURES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Disclosure controls and procedures are controls and other procedures that are designed to ensure that information required to be disclosed by us in the reports that we file or submit under the Securities Exchange Act of 1934, as amended (the “Exchange Act”), is recorded, processed, summarized and reported within the time periods specified in the SEC’s rules and forms.  Disclosure controls and procedures include, without limitation, controls and procedures designed to ensure that information required to be disclosed by us in the reports that we file under the Exchange Act is accumulated and communicated to our management, including our principal executive and principal financial officers, as appropriate to allow timely decisions regarding required disclosures.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In designing and evaluating the disclosure controls and procedures, our management recognizes that any controls and procedures, no matter how well designed and operated, can provide only reasonable assurance of achieving the desired control objectives, and our management necessarily was required to apply its judgment in evaluating the cost-benefit relationship of possible controls and procedures. Furthermore, controls and procedures could be circumvented by the individual acts of some persons, by collusion or two or more people or by management override of the control. Misstatements due to error or fraud may occur and not be detected on a timely basis.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Evaluation of Disclosure Controls and Procedures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connection with the preparation of this Quarterly Report on Form 10-Q for the period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an evaluation was performed under the supervision and with the participation of our management including our principal executive officer and principal financial officer to determine the effectiveness of the design and operation of our disclosure controls and procedures (as defined in Rules 13a-15(e) and 15d-15(e) under the Exchange Act)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Based on this evaluation, our management concluded that our disclosure controls and procedures were effective as designed to ensure that information required to be disclosed in the reports we file or submit under the Exchange Act is recorded, processed, summarized, and reported within the time periods specified in the rules and forms of the SEC, and that such information is accumulated and communicated to our management, including our principal executive officer and principal financial officer, to allow timely decisions regarding required disclosures. </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b/>
          <w:sz w:val="20"/>
        </w:rPr>
        <w:t>Changes in Internal Control over Financial Reporting</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Our management is responsible for establishing and maintaining effective internal control over financial reporting (as defined in Rules 13a-15(f) and 15d-15(f) under the Exchange Act). Internal control over financial reporting is a process designed by, or under the supervision of, our principal executive officer and principal financial officer and effected by our Board of Directors, management and other personnel, to provide reasonable assurance regarding the reliability of our financial reporting and the preparation of financial statements for external purposes in accordance with GAAP. Internal control over financial reporting includes policies and procedures that: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120" w:line="24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 pertain to the maintenance of records that, in reasonable detail, accurately and fairly reflect the Company’s transactions; </w:t>
      </w:r>
    </w:p>
    <w:p>
      <w:pPr>
        <w:keepNext w:val="0"/>
        <w:keepLines w:val="0"/>
        <w:pageBreakBefore w:val="0"/>
        <w:widowControl/>
        <w:numPr>
          <w:ilvl w:val="0"/>
          <w:numId w:val="0"/>
        </w:numPr>
        <w:spacing w:before="0" w:after="120" w:line="24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(ii) provide reasonable assurance that transactions are recorded as necessary for the preparation of our financial statements in accordance with GAAP, and that receipts and expenditures are made only in accordance with authorizations of our management and directors; and </w:t>
      </w:r>
    </w:p>
    <w:p>
      <w:pPr>
        <w:keepNext w:val="0"/>
        <w:keepLines w:val="0"/>
        <w:pageBreakBefore w:val="0"/>
        <w:widowControl/>
        <w:numPr>
          <w:ilvl w:val="0"/>
          <w:numId w:val="0"/>
        </w:numPr>
        <w:spacing w:before="0" w:after="0" w:line="248" w:lineRule="auto"/>
        <w:ind w:left="72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(iii) provide reasonable assurance regarding prevention or timely detection of any unauthorized acquisition, use or disposition of our assets that could have a material effect on the financial statements.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Because of its inherent limitations, internal control over financial reporting may not prevent or detect financial statement misstatements. Also, projections of any evaluation of internal control effectiveness to future periods are subject to the risk that controls may become inadequate because of changes in conditions, or that the degree of compliance with the policies or procedures may deteriorate.</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There were no changes in our internal control over financial reporting (as defined in Exchange Act Rules 13a-15(f) and 15d-15(f)) during the fiscal quarter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that have materially affected, or are reasonably likely to materially affect, our internal control over financial reporting.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0"/>
        <w:rPr>
          <w:rFonts w:ascii="Times New Roman" w:eastAsia="Times New Roman" w:hAnsi="Times New Roman" w:cs="Times New Roman"/>
          <w:b/>
          <w:sz w:val="20"/>
        </w:rPr>
      </w:pPr>
      <w:bookmarkStart w:id="33" w:name="Section34"/>
      <w:bookmarkEnd w:id="33"/>
      <w:r>
        <w:rPr>
          <w:rFonts w:ascii="Times New Roman" w:eastAsia="Times New Roman" w:hAnsi="Times New Roman" w:cs="Times New Roman"/>
          <w:b/>
          <w:sz w:val="20"/>
        </w:rPr>
        <w:t>PART II – OTHER INFORMATION</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center"/>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both"/>
        <w:outlineLvl w:val="1"/>
        <w:rPr>
          <w:rFonts w:ascii="Times New Roman" w:eastAsia="Times New Roman" w:hAnsi="Times New Roman" w:cs="Times New Roman"/>
          <w:b/>
          <w:sz w:val="20"/>
        </w:rPr>
      </w:pPr>
      <w:bookmarkStart w:id="34" w:name="Section35"/>
      <w:bookmarkEnd w:id="34"/>
      <w:r>
        <w:rPr>
          <w:rFonts w:ascii="Times New Roman" w:eastAsia="Times New Roman" w:hAnsi="Times New Roman" w:cs="Times New Roman"/>
          <w:b/>
          <w:sz w:val="20"/>
        </w:rPr>
        <w:t>ITEM 1 – LEGAL PROCEEDINGS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From time to time, we may become involved in various other lawsuits and legal proceedings that arise in the ordinary course of our business. Litigation is, however, subject to inherent uncertainties, and an adverse result in these or other matters may arise from time to time that may harm our business. As of </w:t>
      </w:r>
      <w:r>
        <w:rPr>
          <w:rFonts w:ascii="Times New Roman" w:eastAsia="Times New Roman" w:hAnsi="Times New Roman" w:cs="Times New Roman"/>
          <w:sz w:val="20"/>
        </w:rPr>
        <w:t>August 10, 2020</w:t>
      </w:r>
      <w:r>
        <w:rPr>
          <w:rFonts w:ascii="Times New Roman" w:eastAsia="Times New Roman" w:hAnsi="Times New Roman" w:cs="Times New Roman"/>
          <w:sz w:val="20"/>
        </w:rPr>
        <w:t>, we are not aware of any</w:t>
      </w:r>
      <w:r>
        <w:rPr>
          <w:rFonts w:ascii="Times New Roman" w:eastAsia="Times New Roman" w:hAnsi="Times New Roman" w:cs="Times New Roman"/>
          <w:sz w:val="20"/>
        </w:rPr>
        <w:t xml:space="preserve"> legal proceedings or claims that we believe would or could have, individually or in the aggregate, a material adverse effect on us. Regardless of final outcomes, however, any such proceedings or claims may nonetheless impose a significant burden on management and employees and may come with costly defense costs or unfavorable preliminary interim rulings.</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48" w:lineRule="auto"/>
        <w:ind w:left="0" w:right="0" w:firstLine="0"/>
        <w:jc w:val="both"/>
        <w:outlineLvl w:val="1"/>
        <w:rPr>
          <w:rFonts w:ascii="Times New Roman" w:eastAsia="Times New Roman" w:hAnsi="Times New Roman" w:cs="Times New Roman"/>
          <w:b/>
          <w:sz w:val="20"/>
        </w:rPr>
      </w:pPr>
      <w:bookmarkStart w:id="35" w:name="Section36"/>
      <w:bookmarkEnd w:id="35"/>
      <w:r>
        <w:rPr>
          <w:rFonts w:ascii="Times New Roman" w:eastAsia="Times New Roman" w:hAnsi="Times New Roman" w:cs="Times New Roman"/>
          <w:b/>
          <w:sz w:val="20"/>
        </w:rPr>
        <w:t>ITEM 1A – RISK FACTORS</w:t>
      </w:r>
    </w:p>
    <w:p>
      <w:pPr>
        <w:keepNext/>
        <w:keepLines/>
        <w:pageBreakBefore w:val="0"/>
        <w:widowControl w:val="0"/>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In addition to the information set forth in this report, you should carefully consider the factors discussed under Item 1A of Part I to our Annual Report on Form 10-K for the year ended December 31, 2019 regarding the numerous and varied risks, known and unknown, that may prevent us from achieving our goals. If any of these risks actually occur, our business, financial condition or results of operation may be materially and adversely affected. In such case, the trading price of our common stock could decline, and investors could lose all or part of their investment. These risk factors may not identify all risks that we face, and our operations could also be affected by factors that are not presently known to us or that we currently consider to be immaterial to our operations. </w:t>
      </w:r>
    </w:p>
    <w:p>
      <w:pPr>
        <w:keepNext w:val="0"/>
        <w:keepLines/>
        <w:pageBreakBefore w:val="0"/>
        <w:widowControl w:val="0"/>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Risks Related to our Business and Industry</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xml:space="preserve">We have a history of annual net losses, expect future losses and cannot assure you that we will achieve profitability.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38" w:lineRule="auto"/>
        <w:ind w:left="0" w:right="0" w:firstLine="765"/>
        <w:jc w:val="left"/>
        <w:outlineLvl w:val="9"/>
        <w:rPr>
          <w:rFonts w:ascii="Times New Roman" w:eastAsia="Times New Roman" w:hAnsi="Times New Roman" w:cs="Times New Roman"/>
          <w:sz w:val="20"/>
        </w:rPr>
      </w:pPr>
      <w:r>
        <w:rPr>
          <w:rFonts w:ascii="Times New Roman" w:eastAsia="Times New Roman" w:hAnsi="Times New Roman" w:cs="Times New Roman"/>
          <w:sz w:val="20"/>
        </w:rPr>
        <w:t xml:space="preserve">We have incurred significant net losses and negative cash flow from operations for most periods since our inception, which has resulted in a total accumulated deficit of </w:t>
      </w:r>
      <w:r>
        <w:rPr>
          <w:rFonts w:ascii="Times New Roman" w:eastAsia="Times New Roman" w:hAnsi="Times New Roman" w:cs="Times New Roman"/>
          <w:sz w:val="20"/>
        </w:rPr>
        <w:t>$68,339,372</w:t>
      </w:r>
      <w:r>
        <w:rPr>
          <w:rFonts w:ascii="Times New Roman" w:eastAsia="Times New Roman" w:hAnsi="Times New Roman" w:cs="Times New Roman"/>
          <w:sz w:val="20"/>
        </w:rPr>
        <w:t xml:space="preserve"> as of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For the </w:t>
      </w:r>
      <w:r>
        <w:rPr>
          <w:rFonts w:ascii="Times New Roman" w:eastAsia="Times New Roman" w:hAnsi="Times New Roman" w:cs="Times New Roman"/>
          <w:sz w:val="20"/>
        </w:rPr>
        <w:t>six months</w:t>
      </w:r>
      <w:r>
        <w:rPr>
          <w:rFonts w:ascii="Times New Roman" w:eastAsia="Times New Roman" w:hAnsi="Times New Roman" w:cs="Times New Roman"/>
          <w:sz w:val="20"/>
        </w:rPr>
        <w:t xml:space="preserve"> ended </w:t>
      </w:r>
      <w:r>
        <w:rPr>
          <w:rFonts w:ascii="Times New Roman" w:eastAsia="Times New Roman" w:hAnsi="Times New Roman" w:cs="Times New Roman"/>
          <w:sz w:val="20"/>
        </w:rPr>
        <w:t>June 30, 2020</w:t>
      </w:r>
      <w:r>
        <w:rPr>
          <w:rFonts w:ascii="Times New Roman" w:eastAsia="Times New Roman" w:hAnsi="Times New Roman" w:cs="Times New Roman"/>
          <w:sz w:val="20"/>
        </w:rPr>
        <w:t xml:space="preserve">, we had a net loss of </w:t>
      </w:r>
      <w:r>
        <w:rPr>
          <w:rFonts w:ascii="Times New Roman" w:eastAsia="Times New Roman" w:hAnsi="Times New Roman" w:cs="Times New Roman"/>
          <w:sz w:val="20"/>
        </w:rPr>
        <w:t>$7,954,603</w:t>
      </w:r>
      <w:r>
        <w:rPr>
          <w:rFonts w:ascii="Times New Roman" w:eastAsia="Times New Roman" w:hAnsi="Times New Roman" w:cs="Times New Roman"/>
          <w:sz w:val="20"/>
        </w:rPr>
        <w:t xml:space="preserve">, including a </w:t>
      </w:r>
      <w:r>
        <w:rPr>
          <w:rFonts w:ascii="Times New Roman" w:eastAsia="Times New Roman" w:hAnsi="Times New Roman" w:cs="Times New Roman"/>
          <w:sz w:val="20"/>
        </w:rPr>
        <w:t>$7,924,599</w:t>
      </w:r>
      <w:r>
        <w:rPr>
          <w:rFonts w:ascii="Times New Roman" w:eastAsia="Times New Roman" w:hAnsi="Times New Roman" w:cs="Times New Roman"/>
          <w:sz w:val="20"/>
        </w:rPr>
        <w:t xml:space="preserve"> loss from operations.  We have not achieved profitability and cannot be certain that we will be able to realize sufficient revenue to achieve profitability. If we achieve profitability, we may not be able to sustain it. </w:t>
      </w:r>
      <w:r>
        <w:rPr>
          <w:rFonts w:ascii="Times New Roman" w:eastAsia="Times New Roman" w:hAnsi="Times New Roman" w:cs="Times New Roman"/>
          <w:sz w:val="20"/>
        </w:rPr>
        <w:t>Therefore,</w:t>
      </w:r>
      <w:r>
        <w:rPr>
          <w:rFonts w:ascii="Times New Roman" w:eastAsia="Times New Roman" w:hAnsi="Times New Roman" w:cs="Times New Roman"/>
          <w:sz w:val="20"/>
        </w:rPr>
        <w:t xml:space="preserve"> </w:t>
      </w:r>
      <w:r>
        <w:rPr>
          <w:rFonts w:ascii="Times New Roman" w:eastAsia="Times New Roman" w:hAnsi="Times New Roman" w:cs="Times New Roman"/>
          <w:sz w:val="20"/>
        </w:rPr>
        <w:t>we may need to raise capital through new financings, which could include equity financing, such as additional issuances of common stock under our at the market offering program, which may be dilutive to stockholders, or debt financing, which would likely restrict our ability to borrow from other sources. In addition, securities we issue may contain rights, preferences or privileges senior to those of the rights of our current stockholders. There can be no assurance that additional funds will be available on terms attractive to us, or at all. If adequate funds are not available, we may be required to curtail or reduce our operations or forced to sell or dispose of our rights or assets. An inability to raise adequate funds on commercially reasonable terms would have a material adverse effect on our business, results of operation and financial condition, including the possibility that a lack of funds could cause our business to fail and liquidate with little or no return to</w:t>
      </w:r>
      <w:r>
        <w:rPr>
          <w:rFonts w:ascii="Times New Roman" w:eastAsia="Times New Roman" w:hAnsi="Times New Roman" w:cs="Times New Roman"/>
          <w:sz w:val="20"/>
        </w:rPr>
        <w:t xml:space="preserve"> investors.</w:t>
      </w:r>
    </w:p>
    <w:p>
      <w:pPr>
        <w:keepNext w:val="0"/>
        <w:keepLines w:val="0"/>
        <w:pageBreakBefore w:val="0"/>
        <w:widowControl/>
        <w:numPr>
          <w:ilvl w:val="0"/>
          <w:numId w:val="0"/>
        </w:numPr>
        <w:spacing w:before="0" w:after="0" w:line="248" w:lineRule="auto"/>
        <w:ind w:left="0" w:right="0" w:firstLine="72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Unfavorable global economic conditions, including as a result of health and safety concerns, could adversely affect our business, financial condition or results of operations.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color w:val="1A1A1A"/>
          <w:sz w:val="20"/>
        </w:rPr>
        <w:tab/>
      </w:r>
      <w:r>
        <w:rPr>
          <w:rFonts w:ascii="Times New Roman" w:eastAsia="Times New Roman" w:hAnsi="Times New Roman" w:cs="Times New Roman"/>
          <w:color w:val="1A1A1A"/>
          <w:sz w:val="20"/>
        </w:rPr>
        <w:t xml:space="preserve">On March 11, 2020, the World Health Organization declared the outbreak of the novel coronavirus (COVID-19) as a global pandemic and recommended containment and mitigation measures worldwide. As the spread continues throughout the United States, we have directed all of our staff to work from home effective March 16, 2020. We believe our business operations and ability to support our customers are fully functional while our employees are working from remote locations; however, their productivity and efficiency may be negatively affected, and we may face increased risk of interruptions. While the disruption is currently expected to be temporary, there is uncertainty around the duration and the total economic impact.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Our business relies heavily on people, and adverse events such as health-related concerns experienced by our employees, the inability to travel and other matters affecting the general work environment will impact our business near term. </w:t>
      </w:r>
      <w:r>
        <w:rPr>
          <w:rFonts w:ascii="Times New Roman" w:eastAsia="Times New Roman" w:hAnsi="Times New Roman" w:cs="Times New Roman"/>
          <w:color w:val="1A1A1A"/>
          <w:sz w:val="20"/>
        </w:rPr>
        <w:t>W</w:t>
      </w:r>
      <w:r>
        <w:rPr>
          <w:rFonts w:ascii="Times New Roman" w:eastAsia="Times New Roman" w:hAnsi="Times New Roman" w:cs="Times New Roman"/>
          <w:sz w:val="20"/>
        </w:rPr>
        <w:t xml:space="preserve">e may lose the services of a number of our employees or experience system interruptions, which could lead to diminishment of our regular business operations, inefficiencies and reputational harm. Additionally, the economic conditions caused by COVID-19 have negatively impacted the business activity of our customers, and we have observed declining demand and changes in their advertising decisions, timing and spending priorities, which will result in </w:t>
      </w:r>
      <w:r>
        <w:rPr>
          <w:rFonts w:ascii="Times New Roman" w:eastAsia="Times New Roman" w:hAnsi="Times New Roman" w:cs="Times New Roman"/>
          <w:color w:val="1A1A1A"/>
          <w:sz w:val="20"/>
        </w:rPr>
        <w:t xml:space="preserve">a negative impact to our sales. </w:t>
      </w:r>
      <w:r>
        <w:rPr>
          <w:rFonts w:ascii="Times New Roman" w:eastAsia="Times New Roman" w:hAnsi="Times New Roman" w:cs="Times New Roman"/>
          <w:sz w:val="20"/>
        </w:rPr>
        <w:t xml:space="preserve">We cannot fully quantify the impact to our business operations as a result of </w:t>
      </w:r>
      <w:r>
        <w:rPr>
          <w:rFonts w:ascii="Times New Roman" w:eastAsia="Times New Roman" w:hAnsi="Times New Roman" w:cs="Times New Roman"/>
          <w:color w:val="1A1A1A"/>
          <w:sz w:val="20"/>
        </w:rPr>
        <w:t xml:space="preserve">COVID-19 at this time. </w:t>
      </w:r>
      <w:r>
        <w:rPr>
          <w:rFonts w:ascii="Times New Roman" w:eastAsia="Times New Roman" w:hAnsi="Times New Roman" w:cs="Times New Roman"/>
          <w:sz w:val="20"/>
        </w:rPr>
        <w:t>Any of the foregoing could harm our business and we cannot anticipate all the ways in which the current global health crisis and financial market conditions could adversely impact our business.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The outbreak and attempts to slow the spread of </w:t>
      </w:r>
      <w:r>
        <w:rPr>
          <w:rFonts w:ascii="Times New Roman" w:eastAsia="Times New Roman" w:hAnsi="Times New Roman" w:cs="Times New Roman"/>
          <w:color w:val="1A1A1A"/>
          <w:sz w:val="20"/>
        </w:rPr>
        <w:t>COVID-19</w:t>
      </w:r>
      <w:r>
        <w:rPr>
          <w:rFonts w:ascii="Times New Roman" w:eastAsia="Times New Roman" w:hAnsi="Times New Roman" w:cs="Times New Roman"/>
          <w:sz w:val="20"/>
        </w:rPr>
        <w:t> have resulted in extreme volatility and disruptions in the capital and credit markets. A severe or prolonged economic downturn could result in a variety of additional risks to our business, including weakened demand from our customers and delays in client payments. Given the current conditions, we may not have the ability to raise additional capital from the financial markets if additional capital is needed to sustain us for extended periods of lost revenue. If we are unable to obtain such additional financing on a timely basis or generate sufficient revenues from operations, we may have to curtail our activities, reduce expenses, and/or sell assets, perhaps on unfavorable terms, which would have a material adverse effect on our business, financial condition and results of operations, and ultimately we could be forced to discontinue our operations and liquidate.</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r>
        <w:rPr>
          <w:rFonts w:ascii="Times New Roman" w:eastAsia="Times New Roman" w:hAnsi="Times New Roman" w:cs="Times New Roman"/>
          <w:b/>
          <w:i/>
          <w:sz w:val="20"/>
        </w:rPr>
        <w:t>Impairment of our intangible assets has resulted in significant charges that adversely impact our operating results.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We assess the potential impairment of goodwill and our finite-lived intangible assets on an annual basis, as well as whenever events or changes in circumstances indicate that the carrying value may not be recoverable. In March 2020, we identified a triggering event due to the reduction in projected revenue related to COVID-19 and the continuation of a market capitalization below our carrying value and uncertainty for recovery given the volatility of the capital markets surrounding COVID-19. We performed an interim assessment of goodwill and determined that the carrying value of the Company as of March 31, 2020 exceeded the fair value. Therefore, we recorded a </w:t>
      </w:r>
      <w:r>
        <w:rPr>
          <w:rFonts w:ascii="Times New Roman" w:eastAsia="Times New Roman" w:hAnsi="Times New Roman" w:cs="Times New Roman"/>
          <w:sz w:val="20"/>
        </w:rPr>
        <w:t>$4.3 million</w:t>
      </w:r>
      <w:r>
        <w:rPr>
          <w:rFonts w:ascii="Times New Roman" w:eastAsia="Times New Roman" w:hAnsi="Times New Roman" w:cs="Times New Roman"/>
          <w:sz w:val="20"/>
        </w:rPr>
        <w:t xml:space="preserve"> impairment of goodwill in the </w:t>
      </w:r>
      <w:r>
        <w:rPr>
          <w:rFonts w:ascii="Times New Roman" w:eastAsia="Times New Roman" w:hAnsi="Times New Roman" w:cs="Times New Roman"/>
          <w:sz w:val="20"/>
        </w:rPr>
        <w:t>three months</w:t>
      </w:r>
      <w:r>
        <w:rPr>
          <w:rFonts w:ascii="Times New Roman" w:eastAsia="Times New Roman" w:hAnsi="Times New Roman" w:cs="Times New Roman"/>
          <w:sz w:val="20"/>
        </w:rPr>
        <w:t xml:space="preserve"> ended March 31, 2020. Future adverse changes in these or other unforeseeable factors could result in further impairment charges that would impact our results of operations and financial position in the reporting period identified.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We have not extended our monthly arrangements for flexible office space in our remote offices, nor signed a new lease for our headquarters, which could negatively impact our business.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In light of the uncertain and rapidly evolving situation relating to the spread of the COVID-19 - specifically stay-at-home orders imposed by certain states and localities - we did not enter into a new lease for our corporate headquarters in Winter Park, Florida and our Canadian headquarters in Toronto, Canada, for which both leases expired on April 30, 2020. Additionally, we plan to vacate and cancel the various co-working facilities our team members use around the country as their terms expire in the next three months. </w:t>
      </w:r>
      <w:r>
        <w:rPr>
          <w:rFonts w:ascii="Times New Roman" w:eastAsia="Times New Roman" w:hAnsi="Times New Roman" w:cs="Times New Roman"/>
          <w:sz w:val="20"/>
        </w:rPr>
        <w:t xml:space="preserve">As a result, our management team and all of our employees will </w:t>
      </w:r>
      <w:r>
        <w:rPr>
          <w:rFonts w:ascii="Times New Roman" w:eastAsia="Times New Roman" w:hAnsi="Times New Roman" w:cs="Times New Roman"/>
          <w:sz w:val="20"/>
        </w:rPr>
        <w:t>work remotely</w:t>
      </w:r>
      <w:r>
        <w:rPr>
          <w:rFonts w:ascii="Times New Roman" w:eastAsia="Times New Roman" w:hAnsi="Times New Roman" w:cs="Times New Roman"/>
          <w:sz w:val="20"/>
        </w:rPr>
        <w:t xml:space="preserve"> at least through the end of 2020</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While our employees are accustomed to working </w:t>
      </w:r>
      <w:r>
        <w:rPr>
          <w:rFonts w:ascii="Times New Roman" w:eastAsia="Times New Roman" w:hAnsi="Times New Roman" w:cs="Times New Roman"/>
          <w:sz w:val="20"/>
        </w:rPr>
        <w:t xml:space="preserve">with other remote employees and customers, </w:t>
      </w:r>
      <w:r>
        <w:rPr>
          <w:rFonts w:ascii="Times New Roman" w:eastAsia="Times New Roman" w:hAnsi="Times New Roman" w:cs="Times New Roman"/>
          <w:sz w:val="20"/>
        </w:rPr>
        <w:t>our workforce has not previously been fully remote</w:t>
      </w:r>
      <w:r>
        <w:rPr>
          <w:rFonts w:ascii="Times New Roman" w:eastAsia="Times New Roman" w:hAnsi="Times New Roman" w:cs="Times New Roman"/>
          <w:sz w:val="20"/>
        </w:rPr>
        <w:t xml:space="preserve"> </w:t>
      </w:r>
      <w:r>
        <w:rPr>
          <w:rFonts w:ascii="Times New Roman" w:eastAsia="Times New Roman" w:hAnsi="Times New Roman" w:cs="Times New Roman"/>
          <w:sz w:val="20"/>
        </w:rPr>
        <w:t>prior to</w:t>
      </w:r>
      <w:r>
        <w:rPr>
          <w:rFonts w:ascii="Times New Roman" w:eastAsia="Times New Roman" w:hAnsi="Times New Roman" w:cs="Times New Roman"/>
          <w:sz w:val="20"/>
        </w:rPr>
        <w:t xml:space="preserve"> March 16, 2020, </w:t>
      </w:r>
      <w:r>
        <w:rPr>
          <w:rFonts w:ascii="Times New Roman" w:eastAsia="Times New Roman" w:hAnsi="Times New Roman" w:cs="Times New Roman"/>
          <w:sz w:val="20"/>
        </w:rPr>
        <w:t xml:space="preserve">when </w:t>
      </w:r>
      <w:r>
        <w:rPr>
          <w:rFonts w:ascii="Times New Roman" w:eastAsia="Times New Roman" w:hAnsi="Times New Roman" w:cs="Times New Roman"/>
          <w:sz w:val="20"/>
        </w:rPr>
        <w:t>we proactively instituted a work-from-home policy in response to COVID-19 concerns</w:t>
      </w:r>
      <w:r>
        <w:rPr>
          <w:rFonts w:ascii="Times New Roman" w:eastAsia="Times New Roman" w:hAnsi="Times New Roman" w:cs="Times New Roman"/>
          <w:sz w:val="20"/>
        </w:rPr>
        <w:t>. Although we continue to monitor the situation and may adjust our current plans as more information and guidance become available, not doing business in-person could negatively impact our marketing efforts, challenge our ability to enter into customer contracts in a timely manner, slow down our recruiting efforts, or create operational or other challenges as we adjust to a fully-remote workforce, any of which could harm our business. Additionally, when we determine it prudent to end our work-from-home policy, we will need to enter into a new lease for office space and/or arrangements for the use of co-working facilities. Although we believe suitable office space will be readily available when this time comes, we may encounter difficulties or delays in finalizing the terms of such lease arrangements or in obtaining rent prices at acceptable rates.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r>
        <w:rPr>
          <w:rFonts w:ascii="Times New Roman" w:eastAsia="Times New Roman" w:hAnsi="Times New Roman" w:cs="Times New Roman"/>
          <w:b/>
          <w:i/>
          <w:sz w:val="20"/>
        </w:rPr>
        <w:t>O</w:t>
      </w:r>
      <w:r>
        <w:rPr>
          <w:rFonts w:ascii="Times New Roman" w:eastAsia="Times New Roman" w:hAnsi="Times New Roman" w:cs="Times New Roman"/>
          <w:b/>
          <w:i/>
          <w:sz w:val="20"/>
        </w:rPr>
        <w:t xml:space="preserve">ur common stock may be delisted </w:t>
      </w:r>
      <w:r>
        <w:rPr>
          <w:rFonts w:ascii="Times New Roman" w:eastAsia="Times New Roman" w:hAnsi="Times New Roman" w:cs="Times New Roman"/>
          <w:b/>
          <w:i/>
          <w:sz w:val="20"/>
        </w:rPr>
        <w:t>i</w:t>
      </w:r>
      <w:r>
        <w:rPr>
          <w:rFonts w:ascii="Times New Roman" w:eastAsia="Times New Roman" w:hAnsi="Times New Roman" w:cs="Times New Roman"/>
          <w:b/>
          <w:i/>
          <w:sz w:val="20"/>
        </w:rPr>
        <w:t xml:space="preserve">f we fail to </w:t>
      </w:r>
      <w:r>
        <w:rPr>
          <w:rFonts w:ascii="Times New Roman" w:eastAsia="Times New Roman" w:hAnsi="Times New Roman" w:cs="Times New Roman"/>
          <w:b/>
          <w:i/>
          <w:sz w:val="20"/>
        </w:rPr>
        <w:t>maintain</w:t>
      </w:r>
      <w:r>
        <w:rPr>
          <w:rFonts w:ascii="Times New Roman" w:eastAsia="Times New Roman" w:hAnsi="Times New Roman" w:cs="Times New Roman"/>
          <w:b/>
          <w:i/>
          <w:sz w:val="20"/>
        </w:rPr>
        <w:t xml:space="preserve"> compliance with </w:t>
      </w:r>
      <w:r>
        <w:rPr>
          <w:rFonts w:ascii="Times New Roman" w:eastAsia="Times New Roman" w:hAnsi="Times New Roman" w:cs="Times New Roman"/>
          <w:b/>
          <w:i/>
          <w:sz w:val="20"/>
        </w:rPr>
        <w:t xml:space="preserve">the </w:t>
      </w:r>
      <w:r>
        <w:rPr>
          <w:rFonts w:ascii="Times New Roman" w:eastAsia="Times New Roman" w:hAnsi="Times New Roman" w:cs="Times New Roman"/>
          <w:b/>
          <w:i/>
          <w:sz w:val="20"/>
        </w:rPr>
        <w:t>requirements for continued listing</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rPr>
        <w:t xml:space="preserve">on </w:t>
      </w:r>
      <w:r>
        <w:rPr>
          <w:rFonts w:ascii="Times New Roman" w:eastAsia="Times New Roman" w:hAnsi="Times New Roman" w:cs="Times New Roman"/>
          <w:b/>
          <w:i/>
          <w:sz w:val="20"/>
        </w:rPr>
        <w:t>the Nasdaq Capital Market</w:t>
      </w:r>
      <w:r>
        <w:rPr>
          <w:rFonts w:ascii="Times New Roman" w:eastAsia="Times New Roman" w:hAnsi="Times New Roman" w:cs="Times New Roman"/>
          <w:b/>
          <w:i/>
          <w:sz w:val="20"/>
        </w:rPr>
        <w:t xml:space="preserve">, </w:t>
      </w:r>
      <w:r>
        <w:rPr>
          <w:rFonts w:ascii="Times New Roman" w:eastAsia="Times New Roman" w:hAnsi="Times New Roman" w:cs="Times New Roman"/>
          <w:b/>
          <w:i/>
          <w:sz w:val="20"/>
        </w:rPr>
        <w:t>and the price of our common stock and our ability to access the capital markets could be negatively impacted.</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b/>
          <w:i/>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Our common stock is listed for trading on the Nasdaq Capital Market (“Nasdaq”). To maintain this listing, we must satisfy Nasdaq’s continued listing requirements, including, among other things, a minimum closing bid price requirement of $1.00 per share for continued inclusion on the Nasdaq Capital Market under Nasdaq Listing Rule 5550(a)(2) (the "Bid Price Rule").</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On June 13, 2019, we received a notification letter from Nasdaq informing us that for the prior 30 consecutive business days, the bid price of our common stock had closed below $1.00 per share. This notice had no immediate effect on our Nasdaq listing, and we had 180 calendar days, or until December 10, 2019, to regain compliance. Our common stock had not regained compliance with Bid Price Rule as of such date. Therefore, by letter dated December 10, 2019, we requested an additional 180 days in which to regain compliance, including by effecting a reverse stock split, if necessary.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On December 11, 2019, we received a notification letter from the Listing Qualifications Department of Nasdaq stating that we had been granted an additional 180-day period, or until June 8, 2020, to regain compliance with the Bid Price Rule. Then on April 17, 2020, we received a notification letter from Nasdaq stating that, in response to the COVID-19 pandemic and related market conditions, Nasdaq had filed a rule change with the Securities and Exchange Commission to suspend the compliance period for the Bid Price Rule through June 30, 2020.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r>
        <w:rPr>
          <w:rFonts w:ascii="Times New Roman" w:eastAsia="Times New Roman" w:hAnsi="Times New Roman" w:cs="Times New Roman"/>
          <w:sz w:val="20"/>
        </w:rPr>
        <w:t>On June 22, 2020</w:t>
      </w:r>
      <w:r>
        <w:rPr>
          <w:rFonts w:ascii="Times New Roman" w:eastAsia="Times New Roman" w:hAnsi="Times New Roman" w:cs="Times New Roman"/>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we</w:t>
      </w:r>
      <w:r>
        <w:rPr>
          <w:rFonts w:ascii="Times New Roman" w:eastAsia="Times New Roman" w:hAnsi="Times New Roman" w:cs="Times New Roman"/>
          <w:sz w:val="20"/>
        </w:rPr>
        <w:t xml:space="preserve"> </w:t>
      </w:r>
      <w:r>
        <w:rPr>
          <w:rFonts w:ascii="Times New Roman" w:eastAsia="Times New Roman" w:hAnsi="Times New Roman" w:cs="Times New Roman"/>
          <w:sz w:val="20"/>
        </w:rPr>
        <w:t>rec</w:t>
      </w:r>
      <w:r>
        <w:rPr>
          <w:rFonts w:ascii="Times New Roman" w:eastAsia="Times New Roman" w:hAnsi="Times New Roman" w:cs="Times New Roman"/>
          <w:sz w:val="20"/>
        </w:rPr>
        <w:t>eived notification from Nasdaq that</w:t>
      </w:r>
      <w:r>
        <w:rPr>
          <w:rFonts w:ascii="Times New Roman" w:eastAsia="Times New Roman" w:hAnsi="Times New Roman" w:cs="Times New Roman"/>
          <w:sz w:val="20"/>
        </w:rPr>
        <w:t xml:space="preserve"> we</w:t>
      </w:r>
      <w:r>
        <w:rPr>
          <w:rFonts w:ascii="Times New Roman" w:eastAsia="Times New Roman" w:hAnsi="Times New Roman" w:cs="Times New Roman"/>
          <w:sz w:val="20"/>
        </w:rPr>
        <w:t xml:space="preserve"> had </w:t>
      </w:r>
      <w:r>
        <w:rPr>
          <w:rFonts w:ascii="Times New Roman" w:eastAsia="Times New Roman" w:hAnsi="Times New Roman" w:cs="Times New Roman"/>
          <w:sz w:val="20"/>
        </w:rPr>
        <w:t>regained compliance with</w:t>
      </w:r>
      <w:r>
        <w:rPr>
          <w:rFonts w:ascii="Times New Roman" w:eastAsia="Times New Roman" w:hAnsi="Times New Roman" w:cs="Times New Roman"/>
          <w:sz w:val="20"/>
        </w:rPr>
        <w:t xml:space="preserve"> </w:t>
      </w:r>
      <w:r>
        <w:rPr>
          <w:rFonts w:ascii="Times New Roman" w:eastAsia="Times New Roman" w:hAnsi="Times New Roman" w:cs="Times New Roman"/>
          <w:sz w:val="20"/>
        </w:rPr>
        <w:t>the Bid Price R</w:t>
      </w:r>
      <w:r>
        <w:rPr>
          <w:rFonts w:ascii="Times New Roman" w:eastAsia="Times New Roman" w:hAnsi="Times New Roman" w:cs="Times New Roman"/>
          <w:sz w:val="20"/>
        </w:rPr>
        <w:t>ule</w:t>
      </w:r>
      <w:r>
        <w:rPr>
          <w:rFonts w:ascii="Times New Roman" w:eastAsia="Times New Roman" w:hAnsi="Times New Roman" w:cs="Times New Roman"/>
          <w:sz w:val="20"/>
        </w:rPr>
        <w:t xml:space="preserve"> after the closing bid price of </w:t>
      </w:r>
      <w:r>
        <w:rPr>
          <w:rFonts w:ascii="Times New Roman" w:eastAsia="Times New Roman" w:hAnsi="Times New Roman" w:cs="Times New Roman"/>
          <w:sz w:val="20"/>
        </w:rPr>
        <w:t>our</w:t>
      </w:r>
      <w:r>
        <w:rPr>
          <w:rFonts w:ascii="Times New Roman" w:eastAsia="Times New Roman" w:hAnsi="Times New Roman" w:cs="Times New Roman"/>
          <w:sz w:val="20"/>
        </w:rPr>
        <w:t xml:space="preserve"> common stock was at $1.00 per share or greater for the prior 10 consecutive business days.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 xml:space="preserve">Although we are now in </w:t>
      </w:r>
      <w:r>
        <w:rPr>
          <w:rFonts w:ascii="Times New Roman" w:eastAsia="Times New Roman" w:hAnsi="Times New Roman" w:cs="Times New Roman"/>
          <w:sz w:val="20"/>
        </w:rPr>
        <w:t>compliance with the Bid Price Rule</w:t>
      </w:r>
      <w:r>
        <w:rPr>
          <w:rFonts w:ascii="Times New Roman" w:eastAsia="Times New Roman" w:hAnsi="Times New Roman" w:cs="Times New Roman"/>
          <w:sz w:val="20"/>
        </w:rPr>
        <w:t>,</w:t>
      </w:r>
      <w:r>
        <w:rPr>
          <w:rFonts w:ascii="Times New Roman" w:eastAsia="Times New Roman" w:hAnsi="Times New Roman" w:cs="Times New Roman"/>
          <w:sz w:val="20"/>
        </w:rPr>
        <w:t xml:space="preserve"> if we fail to meet </w:t>
      </w:r>
      <w:r>
        <w:rPr>
          <w:rFonts w:ascii="Times New Roman" w:eastAsia="Times New Roman" w:hAnsi="Times New Roman" w:cs="Times New Roman"/>
          <w:sz w:val="20"/>
        </w:rPr>
        <w:t xml:space="preserve">this or </w:t>
      </w:r>
      <w:r>
        <w:rPr>
          <w:rFonts w:ascii="Times New Roman" w:eastAsia="Times New Roman" w:hAnsi="Times New Roman" w:cs="Times New Roman"/>
          <w:sz w:val="20"/>
        </w:rPr>
        <w:t>any of the other continued listing requirements</w:t>
      </w:r>
      <w:r>
        <w:rPr>
          <w:rFonts w:ascii="Times New Roman" w:eastAsia="Times New Roman" w:hAnsi="Times New Roman" w:cs="Times New Roman"/>
          <w:sz w:val="20"/>
        </w:rPr>
        <w:t xml:space="preserve"> in the future</w:t>
      </w:r>
      <w:r>
        <w:rPr>
          <w:rFonts w:ascii="Times New Roman" w:eastAsia="Times New Roman" w:hAnsi="Times New Roman" w:cs="Times New Roman"/>
          <w:sz w:val="20"/>
        </w:rPr>
        <w:t>, our common stock may be delisted from Nasdaq, which could reduce the liquidity of our common stock materially and result in a corresponding material reduction in the price of our common stock. In addition, delisting could harm our ability to raise capital through alternative financing sources on terms acceptable to us, or at all, and may result in the potential loss of confidence by investors, employees and business development opportunities. Such a delisting likely would impair your ability to sell or purchase our common stock when you wish to do so. Further, if we were to be delisted from Nasdaq, our common stock may no longer be recognized as a “covered security” and we would be subject to regulation in each state in which we offer our securities. Thus, delisting from Nasdaq could adversely affect our ability to raise additional financing through the public or private sale of equity securities, would significantly impact the ability of investors to trade our securities and would negatively impact the value and liquidity of our common stock.</w:t>
      </w: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72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both"/>
        <w:outlineLvl w:val="1"/>
        <w:rPr>
          <w:rFonts w:ascii="Times New Roman" w:eastAsia="Times New Roman" w:hAnsi="Times New Roman" w:cs="Times New Roman"/>
          <w:b/>
          <w:sz w:val="20"/>
        </w:rPr>
      </w:pPr>
      <w:bookmarkStart w:id="36" w:name="Section37"/>
      <w:bookmarkEnd w:id="36"/>
      <w:r>
        <w:rPr>
          <w:rFonts w:ascii="Times New Roman" w:eastAsia="Times New Roman" w:hAnsi="Times New Roman" w:cs="Times New Roman"/>
          <w:b/>
          <w:sz w:val="20"/>
        </w:rPr>
        <w:t>ITEM 2 – UNREGISTERED SALES OF EQUITY SECURITIES AND USE OF PROCEEDS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sz w:val="20"/>
        </w:rPr>
        <w:t>Other than as previously reported in any Current Reports on Form 8-K, the Company did not sell any unregistered securities during the period covered by this report.</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keepLines/>
        <w:pageBreakBefore w:val="0"/>
        <w:widowControl w:val="0"/>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7" w:name="Section38"/>
      <w:bookmarkEnd w:id="37"/>
      <w:r>
        <w:rPr>
          <w:rFonts w:ascii="Times New Roman" w:eastAsia="Times New Roman" w:hAnsi="Times New Roman" w:cs="Times New Roman"/>
          <w:b/>
          <w:sz w:val="20"/>
        </w:rPr>
        <w:t>ITEM 3 – DEFAULTS UPON SENIOR SECURITIES</w:t>
      </w:r>
    </w:p>
    <w:p>
      <w:pPr>
        <w:keepNext/>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None.</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8" w:name="Section39"/>
      <w:bookmarkEnd w:id="38"/>
      <w:r>
        <w:rPr>
          <w:rFonts w:ascii="Times New Roman" w:eastAsia="Times New Roman" w:hAnsi="Times New Roman" w:cs="Times New Roman"/>
          <w:b/>
          <w:sz w:val="20"/>
        </w:rPr>
        <w:t>ITEM 4 – MINE SAFETY DISCLOSURES</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Not applicable.</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39" w:name="Section40"/>
      <w:bookmarkEnd w:id="39"/>
      <w:r>
        <w:rPr>
          <w:rFonts w:ascii="Times New Roman" w:eastAsia="Times New Roman" w:hAnsi="Times New Roman" w:cs="Times New Roman"/>
          <w:b/>
          <w:sz w:val="20"/>
        </w:rPr>
        <w:t>ITEM 5 - OTHER INFORMATION</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None.</w:t>
      </w: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pageBreakBefore w:val="0"/>
        <w:widowControl w:val="0"/>
        <w:numPr>
          <w:ilvl w:val="0"/>
          <w:numId w:val="0"/>
        </w:numPr>
        <w:spacing w:before="0" w:after="0" w:line="248" w:lineRule="auto"/>
        <w:ind w:left="0" w:right="0" w:firstLine="0"/>
        <w:jc w:val="left"/>
        <w:outlineLvl w:val="9"/>
        <w:sectPr>
          <w:type w:val="continuous"/>
          <w:pgSz w:w="12240" w:h="15840"/>
          <w:pgMar w:top="855" w:right="990" w:bottom="855" w:left="990" w:header="270" w:footer="270"/>
          <w:cols w:space="708"/>
        </w:sectPr>
      </w:pPr>
    </w:p>
    <w:p>
      <w:pPr>
        <w:keepNext w:val="0"/>
        <w:keepLines/>
        <w:pageBreakBefore w:val="0"/>
        <w:widowControl w:val="0"/>
        <w:numPr>
          <w:ilvl w:val="0"/>
          <w:numId w:val="0"/>
        </w:numPr>
        <w:spacing w:before="0" w:after="0" w:line="248" w:lineRule="auto"/>
        <w:ind w:left="0" w:right="0" w:firstLine="0"/>
        <w:jc w:val="left"/>
        <w:outlineLvl w:val="1"/>
        <w:rPr>
          <w:rFonts w:ascii="Times New Roman" w:eastAsia="Times New Roman" w:hAnsi="Times New Roman" w:cs="Times New Roman"/>
          <w:b/>
          <w:sz w:val="20"/>
        </w:rPr>
      </w:pPr>
      <w:bookmarkStart w:id="40" w:name="Section41"/>
      <w:bookmarkEnd w:id="40"/>
      <w:r>
        <w:rPr>
          <w:rFonts w:ascii="Times New Roman" w:eastAsia="Times New Roman" w:hAnsi="Times New Roman" w:cs="Times New Roman"/>
          <w:b/>
          <w:sz w:val="20"/>
        </w:rPr>
        <w:t>ITEM 6 – EXHIBITS</w:t>
      </w:r>
    </w:p>
    <w:p>
      <w:pPr>
        <w:keepNext w:val="0"/>
        <w:keepLines w:val="0"/>
        <w:pageBreakBefore w:val="0"/>
        <w:widowControl/>
        <w:numPr>
          <w:ilvl w:val="0"/>
          <w:numId w:val="0"/>
        </w:numPr>
        <w:spacing w:before="0" w:after="100" w:line="248" w:lineRule="auto"/>
        <w:ind w:left="0" w:right="0" w:firstLine="0"/>
        <w:jc w:val="left"/>
        <w:outlineLvl w:val="9"/>
        <w:rPr>
          <w:rFonts w:ascii="Times New Roman" w:eastAsia="Times New Roman" w:hAnsi="Times New Roman" w:cs="Times New Roman"/>
          <w:b/>
          <w:sz w:val="20"/>
        </w:rPr>
      </w:pPr>
      <w:r>
        <w:rPr>
          <w:rFonts w:ascii="Times New Roman" w:eastAsia="Times New Roman" w:hAnsi="Times New Roman" w:cs="Times New Roman"/>
          <w:sz w:val="20"/>
        </w:rPr>
        <w:t> </w:t>
      </w:r>
    </w:p>
    <w:tbl>
      <w:tblPr>
        <w:tblW w:w="100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0"/>
        <w:gridCol w:w="525"/>
        <w:gridCol w:w="8925"/>
      </w:tblGrid>
      <w:tr>
        <w:tblPrEx>
          <w:tblW w:w="100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375"/>
        </w:trPr>
        <w:tc>
          <w:tcPr>
            <w:tcW w:w="1125" w:type="dxa"/>
            <w:gridSpan w:val="2"/>
            <w:tcBorders>
              <w:top w:val="nil"/>
              <w:left w:val="nil"/>
              <w:bottom w:val="nil"/>
              <w:right w:val="nil"/>
            </w:tcBorders>
            <w:tcMar>
              <w:top w:w="0" w:type="dxa"/>
              <w:left w:w="53" w:type="dxa"/>
              <w:bottom w:w="0" w:type="dxa"/>
              <w:right w:w="15"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Exhibit No.</w:t>
            </w:r>
          </w:p>
        </w:tc>
        <w:tc>
          <w:tcPr>
            <w:tcW w:w="892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center"/>
            </w:pPr>
            <w:r>
              <w:rPr>
                <w:rFonts w:ascii="Times New Roman" w:eastAsia="Times New Roman" w:hAnsi="Times New Roman" w:cs="Times New Roman"/>
                <w:color w:val="000000"/>
                <w:sz w:val="20"/>
              </w:rPr>
              <w:t>Description</w:t>
            </w:r>
          </w:p>
        </w:tc>
      </w:tr>
      <w:tr>
        <w:tblPrEx>
          <w:tblW w:w="10050" w:type="dxa"/>
          <w:tblInd w:w="0" w:type="dxa"/>
          <w:tblCellMar>
            <w:left w:w="108" w:type="dxa"/>
            <w:right w:w="108" w:type="dxa"/>
          </w:tblCellMar>
        </w:tblPrEx>
        <w:trPr>
          <w:cantSplit/>
          <w:trHeight w:hRule="exact" w:val="705"/>
        </w:trPr>
        <w:tc>
          <w:tcPr>
            <w:tcW w:w="600" w:type="dxa"/>
            <w:tcBorders>
              <w:top w:val="single" w:sz="8" w:space="0" w:color="000000"/>
              <w:left w:val="nil"/>
              <w:bottom w:val="nil"/>
              <w:right w:val="nil"/>
            </w:tcBorders>
            <w:shd w:val="clear" w:color="auto" w:fill="CCEEFF"/>
            <w:tcMar>
              <w:top w:w="0" w:type="dxa"/>
              <w:left w:w="53" w:type="dxa"/>
              <w:bottom w:w="0" w:type="dxa"/>
              <w:right w:w="15" w:type="dxa"/>
            </w:tcMar>
            <w:vAlign w:val="top"/>
          </w:tcPr>
          <w:p>
            <w:pPr>
              <w:keepNext/>
              <w:pageBreakBefore w:val="0"/>
              <w:spacing w:before="55" w:after="30" w:line="200" w:lineRule="auto"/>
              <w:ind w:left="0"/>
              <w:jc w:val="left"/>
            </w:pPr>
            <w:r>
              <w:rPr>
                <w:rFonts w:ascii="Times New Roman" w:eastAsia="Times New Roman" w:hAnsi="Times New Roman" w:cs="Times New Roman"/>
                <w:color w:val="000000"/>
                <w:sz w:val="20"/>
              </w:rPr>
              <w:t>3.1</w:t>
            </w:r>
          </w:p>
        </w:tc>
        <w:tc>
          <w:tcPr>
            <w:tcW w:w="5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55" w:after="30" w:line="209" w:lineRule="auto"/>
              <w:ind w:left="0" w:right="0" w:firstLine="0"/>
              <w:jc w:val="left"/>
              <w:outlineLvl w:val="9"/>
              <w:rPr>
                <w:rFonts w:ascii="Times New Roman" w:eastAsia="Times New Roman" w:hAnsi="Times New Roman" w:cs="Times New Roman"/>
                <w:sz w:val="20"/>
              </w:rPr>
            </w:pPr>
            <w:hyperlink r:id="rId11" w:history="1">
              <w:r>
                <w:rPr>
                  <w:rFonts w:ascii="Times New Roman" w:eastAsia="Times New Roman" w:hAnsi="Times New Roman" w:cs="Times New Roman"/>
                  <w:color w:val="0000FF"/>
                  <w:sz w:val="20"/>
                  <w:u w:val="single"/>
                </w:rPr>
                <w:t>Amended and Restated Articles of Incorporation of IZEA, Inc., filed with the Nevada Secretary of State on November 28, 2011 (Incorporated by reference to Exhibit 3.1 to the Company's Current Report on Form 8-K filed with the SEC on November 23, 2011).</w:t>
              </w:r>
            </w:hyperlink>
          </w:p>
        </w:tc>
      </w:tr>
      <w:tr>
        <w:tblPrEx>
          <w:tblW w:w="10050"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3.2</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2" w:history="1">
              <w:r>
                <w:rPr>
                  <w:rFonts w:ascii="Times New Roman" w:eastAsia="Times New Roman" w:hAnsi="Times New Roman" w:cs="Times New Roman"/>
                  <w:color w:val="0000FF"/>
                  <w:sz w:val="20"/>
                  <w:u w:val="single"/>
                </w:rPr>
                <w:t>Certificate of Change of IZEA, Inc., filed with the Nevada Secretary of State on July 30, 2012 (Incorporated by reference to Exhibit 3.1 to the Company’s Current Report on Form 8-K filed with the SEC on August 1, 2012).</w:t>
              </w:r>
            </w:hyperlink>
          </w:p>
        </w:tc>
      </w:tr>
      <w:tr>
        <w:tblPrEx>
          <w:tblW w:w="10050"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3.3</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3" w:history="1">
              <w:r>
                <w:rPr>
                  <w:rFonts w:ascii="Times New Roman" w:eastAsia="Times New Roman" w:hAnsi="Times New Roman" w:cs="Times New Roman"/>
                  <w:color w:val="0000FF"/>
                  <w:sz w:val="20"/>
                  <w:u w:val="single"/>
                </w:rPr>
                <w:t>Certificate of Amendment to Articles of Incorporation filed with the Secretary of State of the State of Nevada on April 17, 2014 (Incorporated by reference to Exhibit 3.1 to the Company’s Current Report on Form 8-K filed with the SEC on April 18, 2014).</w:t>
              </w:r>
            </w:hyperlink>
          </w:p>
        </w:tc>
      </w:tr>
      <w:tr>
        <w:tblPrEx>
          <w:tblW w:w="10050"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3.4</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4" w:history="1">
              <w:r>
                <w:rPr>
                  <w:rFonts w:ascii="Times New Roman" w:eastAsia="Times New Roman" w:hAnsi="Times New Roman" w:cs="Times New Roman"/>
                  <w:color w:val="0000FF"/>
                  <w:sz w:val="20"/>
                  <w:u w:val="single"/>
                </w:rPr>
                <w:t>Certificate of Withdrawal of Certificate of Designation filed with the Secretary of State of the State of Nevada effective January 23, 2015 (Incorporated by reference to Exhibit 3.1 to the Company’s Current Report on Form 8-K filed with the SEC on January 29, 2015).</w:t>
              </w:r>
            </w:hyperlink>
          </w:p>
        </w:tc>
      </w:tr>
      <w:tr>
        <w:tblPrEx>
          <w:tblW w:w="10050"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3.5</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5" w:history="1">
              <w:r>
                <w:rPr>
                  <w:rFonts w:ascii="Times New Roman" w:eastAsia="Times New Roman" w:hAnsi="Times New Roman" w:cs="Times New Roman"/>
                  <w:color w:val="0000FF"/>
                  <w:sz w:val="20"/>
                  <w:u w:val="single"/>
                </w:rPr>
                <w:t>Certificate of Amendment filed with the Secretary of State of the State of Nevada effective January 11, 2016 (Incorporated by reference to Exhibit 3.1 to the Company’s Current Report on Form 8-K filed with the SEC on January 12, 2016).</w:t>
              </w:r>
            </w:hyperlink>
          </w:p>
        </w:tc>
      </w:tr>
      <w:tr>
        <w:tblPrEx>
          <w:tblW w:w="10050"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3.6</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6" w:history="1">
              <w:r>
                <w:rPr>
                  <w:rFonts w:ascii="Times New Roman" w:eastAsia="Times New Roman" w:hAnsi="Times New Roman" w:cs="Times New Roman"/>
                  <w:color w:val="0000FF"/>
                  <w:sz w:val="20"/>
                  <w:u w:val="single"/>
                </w:rPr>
                <w:t>Amended and Restated Bylaws of IZEA, Inc. (Incorporated by reference to Exhibit 3.2 to the Current Report on Form 8-K filed with the SEC on November 23, 2011).</w:t>
              </w:r>
            </w:hyperlink>
          </w:p>
        </w:tc>
      </w:tr>
      <w:tr>
        <w:tblPrEx>
          <w:tblW w:w="10050"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3.7</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7" w:history="1">
              <w:r>
                <w:rPr>
                  <w:rFonts w:ascii="Times New Roman" w:eastAsia="Times New Roman" w:hAnsi="Times New Roman" w:cs="Times New Roman"/>
                  <w:color w:val="0000FF"/>
                  <w:sz w:val="20"/>
                  <w:u w:val="single"/>
                </w:rPr>
                <w:t>Certificate of Designation (Incorporated by reference to Exhibit 3.1 to the Company’s Current Report on Form 8-K filed with the SEC on May 27, 2011).</w:t>
              </w:r>
            </w:hyperlink>
          </w:p>
        </w:tc>
      </w:tr>
      <w:tr>
        <w:tblPrEx>
          <w:tblW w:w="10050"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3.8</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8" w:history="1">
              <w:r>
                <w:rPr>
                  <w:rFonts w:ascii="Times New Roman" w:eastAsia="Times New Roman" w:hAnsi="Times New Roman" w:cs="Times New Roman"/>
                  <w:color w:val="0000FF"/>
                  <w:sz w:val="20"/>
                  <w:u w:val="single"/>
                </w:rPr>
                <w:t>Articles of Merger of IZEA Innovations, Inc. filed with the Secretary of State of the State of Nevada effective April 5, 2016 (Incorporated by reference to Exhibit 3.11 to the Company's Quarterly Report on Form 10-Q filed with the SEC on May 11, 2016).</w:t>
              </w:r>
            </w:hyperlink>
          </w:p>
        </w:tc>
      </w:tr>
      <w:tr>
        <w:tblPrEx>
          <w:tblW w:w="10050"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3.9</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19" w:history="1">
              <w:r>
                <w:rPr>
                  <w:rFonts w:ascii="Times New Roman" w:eastAsia="Times New Roman" w:hAnsi="Times New Roman" w:cs="Times New Roman"/>
                  <w:color w:val="0000FF"/>
                  <w:sz w:val="20"/>
                  <w:u w:val="single"/>
                </w:rPr>
                <w:t>Articles of Merger of IZEA Worldwide, Inc. filed with the Secretary of State of the State of Nevada effective August 20, 2018 (Incorporated by reference to Exhibit 3.1 to the Company's Current Report on Form 8-K filed with the SEC on August 23, 2018).</w:t>
              </w:r>
            </w:hyperlink>
          </w:p>
        </w:tc>
      </w:tr>
      <w:tr>
        <w:tblPrEx>
          <w:tblW w:w="10050"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3.10</w:t>
            </w:r>
          </w:p>
        </w:tc>
        <w:tc>
          <w:tcPr>
            <w:tcW w:w="525" w:type="dxa"/>
            <w:tcBorders>
              <w:top w:val="nil"/>
              <w:left w:val="nil"/>
              <w:bottom w:val="nil"/>
              <w:right w:val="nil"/>
            </w:tcBorders>
            <w:shd w:val="clear" w:color="auto" w:fill="FFFF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0" w:history="1">
              <w:r>
                <w:rPr>
                  <w:rFonts w:ascii="Times New Roman" w:eastAsia="Times New Roman" w:hAnsi="Times New Roman" w:cs="Times New Roman"/>
                  <w:color w:val="0000FF"/>
                  <w:sz w:val="20"/>
                  <w:u w:val="single"/>
                </w:rPr>
                <w:t xml:space="preserve">Articles of Merger of IZEA Worldwide, Inc. filed with the Secretary of State of the State of Nevada effective December 17, 2019 (Incorporated by reference to Exhibit 3.10 to the Company’s Annual Report on Form 10-K filed with the SEC on March 30, 2020). </w:t>
              </w:r>
            </w:hyperlink>
          </w:p>
        </w:tc>
      </w:tr>
      <w:tr>
        <w:tblPrEx>
          <w:tblW w:w="10050"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10.1</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(a)</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1" w:history="1">
              <w:r>
                <w:rPr>
                  <w:rFonts w:ascii="Times New Roman" w:eastAsia="Times New Roman" w:hAnsi="Times New Roman" w:cs="Times New Roman"/>
                  <w:color w:val="0000FF"/>
                  <w:sz w:val="20"/>
                  <w:u w:val="single"/>
                </w:rPr>
                <w:t>Letter agreement, dated as of April 20, 2020, between IZEA Worldwide, Inc. and Edward H. Murphy (Incorporated by reference to Exhibit 10.1 to the Company’s Current Report on Form 8-K filed with the SEC on April 23, 2020).</w:t>
              </w:r>
            </w:hyperlink>
          </w:p>
        </w:tc>
      </w:tr>
      <w:tr>
        <w:tblPrEx>
          <w:tblW w:w="10050"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10.2</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(a)</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2" w:history="1">
              <w:r>
                <w:rPr>
                  <w:rFonts w:ascii="Times New Roman" w:eastAsia="Times New Roman" w:hAnsi="Times New Roman" w:cs="Times New Roman"/>
                  <w:color w:val="0000FF"/>
                  <w:sz w:val="20"/>
                  <w:u w:val="single"/>
                </w:rPr>
                <w:t>Letter agreement, dated as of April 20, 2020, between IZEA Worldwide, Inc. and Ryan Schram (Incorporated by reference to Exhibit 10.2 to the Company’s Current Report on Form 8-K filed with the SEC on April 23, 2020).</w:t>
              </w:r>
            </w:hyperlink>
          </w:p>
        </w:tc>
      </w:tr>
      <w:tr>
        <w:tblPrEx>
          <w:tblW w:w="10050" w:type="dxa"/>
          <w:tblInd w:w="0" w:type="dxa"/>
          <w:tblCellMar>
            <w:left w:w="108" w:type="dxa"/>
            <w:right w:w="108" w:type="dxa"/>
          </w:tblCellMar>
        </w:tblPrEx>
        <w:trPr>
          <w:cantSplit/>
          <w:trHeight w:hRule="exact" w:val="70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10.3</w:t>
            </w:r>
          </w:p>
        </w:tc>
        <w:tc>
          <w:tcPr>
            <w:tcW w:w="525" w:type="dxa"/>
            <w:tcBorders>
              <w:top w:val="nil"/>
              <w:left w:val="nil"/>
              <w:bottom w:val="nil"/>
              <w:right w:val="nil"/>
            </w:tcBorders>
            <w:shd w:val="clear" w:color="auto" w:fill="CCEEFF"/>
            <w:tcMar>
              <w:top w:w="0" w:type="dxa"/>
              <w:left w:w="0" w:type="dxa"/>
              <w:bottom w:w="0" w:type="dxa"/>
              <w:right w:w="0" w:type="dxa"/>
            </w:tcMar>
            <w:vAlign w:val="bottom"/>
          </w:tcPr>
          <w:p>
            <w:pPr>
              <w:keepNext/>
              <w:pageBreakBefore w:val="0"/>
              <w:spacing w:before="0" w:after="0"/>
            </w:pP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3" w:history="1">
              <w:r>
                <w:rPr>
                  <w:rFonts w:ascii="Times New Roman" w:eastAsia="Times New Roman" w:hAnsi="Times New Roman" w:cs="Times New Roman"/>
                  <w:color w:val="0000FF"/>
                  <w:sz w:val="20"/>
                  <w:u w:val="single"/>
                </w:rPr>
                <w:t>Promissory Note, dated as of April 23, 2020, issued by IZEA Worldwide, Inc. to Western Alliance Bank (Incorporated by reference to Exhibit 10.2 to the Company’s Current Report on Form 8-K filed with the SEC on April 24, 2020).</w:t>
              </w:r>
            </w:hyperlink>
          </w:p>
        </w:tc>
      </w:tr>
      <w:tr>
        <w:tblPrEx>
          <w:tblW w:w="10050" w:type="dxa"/>
          <w:tblInd w:w="0" w:type="dxa"/>
          <w:tblCellMar>
            <w:left w:w="108" w:type="dxa"/>
            <w:right w:w="108" w:type="dxa"/>
          </w:tblCellMar>
        </w:tblPrEx>
        <w:trPr>
          <w:cantSplit/>
          <w:trHeight w:hRule="exact" w:val="300"/>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31.1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4" w:history="1">
              <w:r>
                <w:rPr>
                  <w:rFonts w:ascii="Times New Roman" w:eastAsia="Times New Roman" w:hAnsi="Times New Roman" w:cs="Times New Roman"/>
                  <w:color w:val="0000FF"/>
                  <w:sz w:val="20"/>
                  <w:u w:val="single"/>
                </w:rPr>
                <w:t>Certification of Principal Executive Officer pursuant to Section 302 of the Sarbanes-Oxley Act of 2002.</w:t>
              </w:r>
            </w:hyperlink>
          </w:p>
        </w:tc>
      </w:tr>
      <w:tr>
        <w:tblPrEx>
          <w:tblW w:w="10050"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31.2</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5" w:history="1">
              <w:r>
                <w:rPr>
                  <w:rFonts w:ascii="Times New Roman" w:eastAsia="Times New Roman" w:hAnsi="Times New Roman" w:cs="Times New Roman"/>
                  <w:color w:val="0000FF"/>
                  <w:sz w:val="20"/>
                  <w:u w:val="single"/>
                </w:rPr>
                <w:t>Certification of Principal Financial and Accounting Officer pursuant to Section 302 of the Sarbanes-Oxley Act of 2002.</w:t>
              </w:r>
            </w:hyperlink>
          </w:p>
        </w:tc>
      </w:tr>
      <w:tr>
        <w:tblPrEx>
          <w:tblW w:w="10050"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32.1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(b)</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6" w:history="1">
              <w:r>
                <w:rPr>
                  <w:rFonts w:ascii="Times New Roman" w:eastAsia="Times New Roman" w:hAnsi="Times New Roman" w:cs="Times New Roman"/>
                  <w:color w:val="0000FF"/>
                  <w:sz w:val="20"/>
                  <w:u w:val="single"/>
                </w:rPr>
                <w:t>Certification of Principal Executive Officer pursuant to 18 U.S.C. Section 1350, as adopted pursuant to Section 906 of the Sarbanes-Oxley Act of 2002.</w:t>
              </w:r>
            </w:hyperlink>
          </w:p>
        </w:tc>
      </w:tr>
      <w:tr>
        <w:tblPrEx>
          <w:tblW w:w="10050" w:type="dxa"/>
          <w:tblInd w:w="0" w:type="dxa"/>
          <w:tblCellMar>
            <w:left w:w="108" w:type="dxa"/>
            <w:right w:w="108" w:type="dxa"/>
          </w:tblCellMar>
        </w:tblPrEx>
        <w:trPr>
          <w:cantSplit/>
          <w:trHeight w:hRule="exact" w:val="495"/>
        </w:trPr>
        <w:tc>
          <w:tcPr>
            <w:tcW w:w="600" w:type="dxa"/>
            <w:tcBorders>
              <w:top w:val="nil"/>
              <w:left w:val="nil"/>
              <w:bottom w:val="nil"/>
              <w:right w:val="nil"/>
            </w:tcBorders>
            <w:shd w:val="clear" w:color="auto" w:fill="CCEEFF"/>
            <w:tcMar>
              <w:top w:w="0" w:type="dxa"/>
              <w:left w:w="53" w:type="dxa"/>
              <w:bottom w:w="0" w:type="dxa"/>
              <w:right w:w="15"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32.2</w:t>
            </w:r>
          </w:p>
        </w:tc>
        <w:tc>
          <w:tcPr>
            <w:tcW w:w="525" w:type="dxa"/>
            <w:tcBorders>
              <w:top w:val="nil"/>
              <w:left w:val="nil"/>
              <w:bottom w:val="nil"/>
              <w:right w:val="nil"/>
            </w:tcBorders>
            <w:shd w:val="clear" w:color="auto" w:fill="CCEEFF"/>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(b)</w:t>
            </w:r>
          </w:p>
        </w:tc>
        <w:tc>
          <w:tcPr>
            <w:tcW w:w="8925" w:type="dxa"/>
            <w:tcBorders>
              <w:top w:val="nil"/>
              <w:left w:val="nil"/>
              <w:bottom w:val="nil"/>
              <w:right w:val="nil"/>
            </w:tcBorders>
            <w:shd w:val="clear" w:color="auto" w:fill="CCEEFF"/>
            <w:tcMar>
              <w:top w:w="0" w:type="dxa"/>
              <w:left w:w="53" w:type="dxa"/>
              <w:bottom w:w="0" w:type="dxa"/>
              <w:right w:w="53" w:type="dxa"/>
            </w:tcMar>
            <w:vAlign w:val="bottom"/>
          </w:tcPr>
          <w:p>
            <w:pPr>
              <w:keepNext w:val="0"/>
              <w:keepLines w:val="0"/>
              <w:pageBreakBefore w:val="0"/>
              <w:widowControl w:val="0"/>
              <w:numPr>
                <w:ilvl w:val="0"/>
                <w:numId w:val="0"/>
              </w:numPr>
              <w:spacing w:before="75" w:after="30" w:line="209" w:lineRule="auto"/>
              <w:ind w:left="0" w:right="0" w:firstLine="0"/>
              <w:jc w:val="left"/>
              <w:outlineLvl w:val="9"/>
              <w:rPr>
                <w:rFonts w:ascii="Times New Roman" w:eastAsia="Times New Roman" w:hAnsi="Times New Roman" w:cs="Times New Roman"/>
                <w:sz w:val="20"/>
              </w:rPr>
            </w:pPr>
            <w:hyperlink r:id="rId27" w:history="1">
              <w:r>
                <w:rPr>
                  <w:rFonts w:ascii="Times New Roman" w:eastAsia="Times New Roman" w:hAnsi="Times New Roman" w:cs="Times New Roman"/>
                  <w:color w:val="0000FF"/>
                  <w:sz w:val="20"/>
                  <w:u w:val="single"/>
                </w:rPr>
                <w:t>Certification of Principal Financial and Accounting Officer pursuant to 18 U.S.C. Section 1350, as adopted pursuant to Section 906 of the Sarbanes-Oxley Act of 2002.</w:t>
              </w:r>
            </w:hyperlink>
          </w:p>
        </w:tc>
      </w:tr>
      <w:tr>
        <w:tblPrEx>
          <w:tblW w:w="10050" w:type="dxa"/>
          <w:tblInd w:w="0" w:type="dxa"/>
          <w:tblCellMar>
            <w:left w:w="108" w:type="dxa"/>
            <w:right w:w="108" w:type="dxa"/>
          </w:tblCellMar>
        </w:tblPrEx>
        <w:trPr>
          <w:cantSplit/>
          <w:trHeight w:hRule="exact" w:val="1095"/>
        </w:trPr>
        <w:tc>
          <w:tcPr>
            <w:tcW w:w="600" w:type="dxa"/>
            <w:tcBorders>
              <w:top w:val="nil"/>
              <w:left w:val="nil"/>
              <w:bottom w:val="nil"/>
              <w:right w:val="nil"/>
            </w:tcBorders>
            <w:shd w:val="clear" w:color="auto" w:fill="FFFFFF"/>
            <w:tcMar>
              <w:top w:w="0" w:type="dxa"/>
              <w:left w:w="53" w:type="dxa"/>
              <w:bottom w:w="0" w:type="dxa"/>
              <w:right w:w="15"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101</w:t>
            </w:r>
          </w:p>
        </w:tc>
        <w:tc>
          <w:tcPr>
            <w:tcW w:w="525" w:type="dxa"/>
            <w:tcBorders>
              <w:top w:val="nil"/>
              <w:left w:val="nil"/>
              <w:bottom w:val="nil"/>
              <w:right w:val="nil"/>
            </w:tcBorders>
            <w:shd w:val="clear" w:color="auto" w:fill="FFFFFF"/>
            <w:tcMar>
              <w:top w:w="0" w:type="dxa"/>
              <w:left w:w="53" w:type="dxa"/>
              <w:bottom w:w="0" w:type="dxa"/>
              <w:right w:w="53"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 (c)</w:t>
            </w:r>
          </w:p>
        </w:tc>
        <w:tc>
          <w:tcPr>
            <w:tcW w:w="8925" w:type="dxa"/>
            <w:tcBorders>
              <w:top w:val="nil"/>
              <w:left w:val="nil"/>
              <w:bottom w:val="nil"/>
              <w:right w:val="nil"/>
            </w:tcBorders>
            <w:shd w:val="clear" w:color="auto" w:fill="FFFFFF"/>
            <w:tcMar>
              <w:top w:w="0" w:type="dxa"/>
              <w:left w:w="53" w:type="dxa"/>
              <w:bottom w:w="0" w:type="dxa"/>
              <w:right w:w="53" w:type="dxa"/>
            </w:tcMar>
            <w:vAlign w:val="bottom"/>
          </w:tcPr>
          <w:p>
            <w:pPr>
              <w:pageBreakBefore w:val="0"/>
              <w:spacing w:before="75" w:after="30" w:line="200" w:lineRule="auto"/>
              <w:ind w:left="0"/>
              <w:jc w:val="left"/>
            </w:pPr>
            <w:r>
              <w:rPr>
                <w:rFonts w:ascii="Times New Roman" w:eastAsia="Times New Roman" w:hAnsi="Times New Roman" w:cs="Times New Roman"/>
                <w:color w:val="000000"/>
                <w:sz w:val="20"/>
              </w:rPr>
              <w:t>The following materials from IZEA Worldwide, Inc.'s Quarterly Report for the quarter ended June 30, 2020 are formatted in XBRL (eXtensible Business Reporting Language): (i) the Unaudited Consolidated Balance Sheets, (ii) the Unaudited Consolidated Statements of Operations, (iii) the Unaudited Consolidated Statement of Stockholders' Equity, (iv) the Unaudited Consolidated Statements of Cash Flow, and (iv) the Unaudited Notes to the Consolidated Financial Statements.</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720"/>
        </w:tabs>
        <w:spacing w:before="0" w:after="0" w:line="248" w:lineRule="auto"/>
        <w:ind w:left="720" w:right="0" w:hanging="720"/>
        <w:jc w:val="both"/>
        <w:outlineLvl w:val="9"/>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Filed or furnished herewith.</w:t>
      </w:r>
    </w:p>
    <w:p>
      <w:pPr>
        <w:keepNext w:val="0"/>
        <w:keepLines w:val="0"/>
        <w:pageBreakBefore w:val="0"/>
        <w:widowControl/>
        <w:numPr>
          <w:ilvl w:val="0"/>
          <w:numId w:val="0"/>
        </w:numPr>
        <w:tabs>
          <w:tab w:val="left" w:pos="720"/>
        </w:tabs>
        <w:spacing w:before="0" w:after="0" w:line="248" w:lineRule="auto"/>
        <w:ind w:left="720" w:right="0" w:hanging="720"/>
        <w:jc w:val="both"/>
        <w:outlineLvl w:val="9"/>
        <w:rPr>
          <w:rFonts w:ascii="Times New Roman" w:eastAsia="Times New Roman" w:hAnsi="Times New Roman" w:cs="Times New Roman"/>
          <w:sz w:val="20"/>
        </w:rPr>
      </w:pPr>
      <w:r>
        <w:rPr>
          <w:rFonts w:ascii="Times New Roman" w:eastAsia="Times New Roman" w:hAnsi="Times New Roman" w:cs="Times New Roman"/>
          <w:sz w:val="20"/>
        </w:rPr>
        <w:tab/>
      </w:r>
    </w:p>
    <w:p>
      <w:pPr>
        <w:keepNext w:val="0"/>
        <w:keepLines w:val="0"/>
        <w:pageBreakBefore w:val="0"/>
        <w:widowControl/>
        <w:numPr>
          <w:ilvl w:val="0"/>
          <w:numId w:val="0"/>
        </w:numPr>
        <w:tabs>
          <w:tab w:val="left" w:pos="720"/>
        </w:tabs>
        <w:spacing w:before="0" w:after="0" w:line="248" w:lineRule="auto"/>
        <w:ind w:left="720" w:right="0" w:hanging="720"/>
        <w:jc w:val="both"/>
        <w:outlineLvl w:val="9"/>
        <w:rPr>
          <w:rFonts w:ascii="Times New Roman" w:eastAsia="Times New Roman" w:hAnsi="Times New Roman" w:cs="Times New Roman"/>
          <w:sz w:val="20"/>
        </w:rPr>
      </w:pPr>
      <w:r>
        <w:rPr>
          <w:rFonts w:ascii="Times New Roman" w:eastAsia="Times New Roman" w:hAnsi="Times New Roman" w:cs="Times New Roman"/>
          <w:sz w:val="20"/>
        </w:rPr>
        <w:t>(a)</w:t>
      </w:r>
      <w:r>
        <w:rPr>
          <w:rFonts w:ascii="Times New Roman" w:eastAsia="Times New Roman" w:hAnsi="Times New Roman" w:cs="Times New Roman"/>
          <w:sz w:val="20"/>
        </w:rPr>
        <w:tab/>
      </w:r>
      <w:r>
        <w:rPr>
          <w:rFonts w:ascii="Times New Roman" w:eastAsia="Times New Roman" w:hAnsi="Times New Roman" w:cs="Times New Roman"/>
          <w:sz w:val="20"/>
        </w:rPr>
        <w:t>Denotes management contract or compensatory plan or arrangement.</w:t>
      </w:r>
    </w:p>
    <w:p>
      <w:pPr>
        <w:keepNext w:val="0"/>
        <w:keepLines w:val="0"/>
        <w:pageBreakBefore w:val="0"/>
        <w:widowControl/>
        <w:numPr>
          <w:ilvl w:val="0"/>
          <w:numId w:val="0"/>
        </w:numPr>
        <w:spacing w:before="0" w:after="0" w:line="248" w:lineRule="auto"/>
        <w:ind w:left="720" w:right="0" w:hanging="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720"/>
        </w:tabs>
        <w:spacing w:before="0" w:after="0" w:line="248" w:lineRule="auto"/>
        <w:ind w:left="72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(b)</w:t>
      </w:r>
      <w:r>
        <w:rPr>
          <w:rFonts w:ascii="Times New Roman" w:eastAsia="Times New Roman" w:hAnsi="Times New Roman" w:cs="Times New Roman"/>
          <w:sz w:val="20"/>
        </w:rPr>
        <w:tab/>
      </w:r>
      <w:r>
        <w:rPr>
          <w:rFonts w:ascii="Times New Roman" w:eastAsia="Times New Roman" w:hAnsi="Times New Roman" w:cs="Times New Roman"/>
          <w:sz w:val="20"/>
        </w:rPr>
        <w:t>In accordance with Item 601of Regulation S-K, this Exhibit is hereby furnished to the SEC as an accompanying document and is not deemed “filed” for purposes of Section 18 of the Securities Exchange Act of 1934, as amended (the “Exchange Act”) or otherwise subject to the liabilities of that Section, nor shall it be deemed incorporated by reference into any filing under the Securities Act of 1933.</w:t>
      </w:r>
    </w:p>
    <w:p>
      <w:pPr>
        <w:keepNext w:val="0"/>
        <w:keepLines w:val="0"/>
        <w:pageBreakBefore w:val="0"/>
        <w:widowControl/>
        <w:numPr>
          <w:ilvl w:val="0"/>
          <w:numId w:val="0"/>
        </w:numPr>
        <w:spacing w:before="0" w:after="0" w:line="248" w:lineRule="auto"/>
        <w:ind w:left="720" w:right="0" w:hanging="720"/>
        <w:jc w:val="both"/>
        <w:outlineLvl w:val="9"/>
        <w:rPr>
          <w:rFonts w:ascii="Times New Roman" w:eastAsia="Times New Roman" w:hAnsi="Times New Roman" w:cs="Times New Roman"/>
          <w:sz w:val="20"/>
        </w:rPr>
      </w:pPr>
    </w:p>
    <w:p>
      <w:pPr>
        <w:keepNext w:val="0"/>
        <w:keepLines w:val="0"/>
        <w:pageBreakBefore w:val="0"/>
        <w:widowControl/>
        <w:numPr>
          <w:ilvl w:val="0"/>
          <w:numId w:val="0"/>
        </w:numPr>
        <w:tabs>
          <w:tab w:val="left" w:pos="720"/>
        </w:tabs>
        <w:spacing w:before="0" w:after="0" w:line="248" w:lineRule="auto"/>
        <w:ind w:left="720" w:right="0" w:hanging="720"/>
        <w:jc w:val="left"/>
        <w:outlineLvl w:val="9"/>
        <w:rPr>
          <w:rFonts w:ascii="Times New Roman" w:eastAsia="Times New Roman" w:hAnsi="Times New Roman" w:cs="Times New Roman"/>
          <w:sz w:val="20"/>
        </w:rPr>
      </w:pPr>
      <w:r>
        <w:rPr>
          <w:rFonts w:ascii="Times New Roman" w:eastAsia="Times New Roman" w:hAnsi="Times New Roman" w:cs="Times New Roman"/>
          <w:sz w:val="20"/>
        </w:rPr>
        <w:t>(c)</w:t>
      </w:r>
      <w:r>
        <w:rPr>
          <w:rFonts w:ascii="Times New Roman" w:eastAsia="Times New Roman" w:hAnsi="Times New Roman" w:cs="Times New Roman"/>
          <w:sz w:val="20"/>
        </w:rPr>
        <w:tab/>
      </w:r>
      <w:r>
        <w:rPr>
          <w:rFonts w:ascii="Times New Roman" w:eastAsia="Times New Roman" w:hAnsi="Times New Roman" w:cs="Times New Roman"/>
          <w:sz w:val="20"/>
        </w:rPr>
        <w:t>In accordance with Rule 406T of Regulation S-T, the XBRL related information in Exhibit 101 to this Quarterly Report on Form 10-Q shall not be deemed to be “filed” for purposes of Section 18 of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pPr>
        <w:keepNext w:val="0"/>
        <w:keepLines w:val="0"/>
        <w:pageBreakBefore w:val="0"/>
        <w:widowControl/>
        <w:numPr>
          <w:ilvl w:val="0"/>
          <w:numId w:val="0"/>
        </w:numPr>
        <w:spacing w:before="0" w:after="0" w:line="248" w:lineRule="auto"/>
        <w:ind w:left="720" w:right="0" w:hanging="72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12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120" w:after="0" w:line="248" w:lineRule="auto"/>
        <w:ind w:left="0" w:right="0" w:firstLine="0"/>
        <w:jc w:val="left"/>
        <w:outlineLvl w:val="9"/>
        <w:sectPr>
          <w:pgSz w:w="12240" w:h="15840"/>
          <w:pgMar w:top="855" w:right="990" w:bottom="855" w:left="990" w:header="270" w:footer="270"/>
          <w:cols w:space="708"/>
        </w:sectPr>
      </w:pPr>
    </w:p>
    <w:p>
      <w:pPr>
        <w:keepNext w:val="0"/>
        <w:keepLines w:val="0"/>
        <w:pageBreakBefore w:val="0"/>
        <w:widowControl/>
        <w:numPr>
          <w:ilvl w:val="0"/>
          <w:numId w:val="0"/>
        </w:numPr>
        <w:spacing w:before="0" w:after="0" w:line="248" w:lineRule="auto"/>
        <w:ind w:left="0" w:right="0" w:firstLine="0"/>
        <w:jc w:val="center"/>
        <w:outlineLvl w:val="0"/>
        <w:rPr>
          <w:rFonts w:ascii="Times New Roman" w:eastAsia="Times New Roman" w:hAnsi="Times New Roman" w:cs="Times New Roman"/>
          <w:b/>
          <w:sz w:val="20"/>
        </w:rPr>
      </w:pPr>
      <w:bookmarkStart w:id="41" w:name="Section42"/>
      <w:bookmarkEnd w:id="41"/>
      <w:r>
        <w:rPr>
          <w:rFonts w:ascii="Times New Roman" w:eastAsia="Times New Roman" w:hAnsi="Times New Roman" w:cs="Times New Roman"/>
          <w:b/>
          <w:sz w:val="20"/>
        </w:rPr>
        <w:t>SIGNATURES</w:t>
      </w: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r>
        <w:rPr>
          <w:rFonts w:ascii="Times New Roman" w:eastAsia="Times New Roman" w:hAnsi="Times New Roman" w:cs="Times New Roman"/>
          <w:sz w:val="20"/>
        </w:rPr>
        <w:t>Pursuant to the requirements of the Securities Exchange Act of 1934, the Registrant has duly caused this report to be signed on its behalf by the undersigned, thereunto duly authorized.</w:t>
      </w:r>
    </w:p>
    <w:p>
      <w:pPr>
        <w:keepNext w:val="0"/>
        <w:keepLines w:val="0"/>
        <w:pageBreakBefore w:val="0"/>
        <w:widowControl/>
        <w:numPr>
          <w:ilvl w:val="0"/>
          <w:numId w:val="0"/>
        </w:numPr>
        <w:spacing w:before="0" w:after="100" w:line="248" w:lineRule="auto"/>
        <w:ind w:left="0" w:right="0" w:firstLine="0"/>
        <w:jc w:val="both"/>
        <w:outlineLvl w:val="9"/>
        <w:rPr>
          <w:rFonts w:ascii="Times New Roman" w:eastAsia="Times New Roman" w:hAnsi="Times New Roman" w:cs="Times New Roman"/>
          <w:sz w:val="20"/>
        </w:rPr>
      </w:pPr>
      <w:r>
        <w:rPr>
          <w:rFonts w:ascii="Times New Roman" w:eastAsia="Times New Roman" w:hAnsi="Times New Roman" w:cs="Times New Roman"/>
          <w:sz w:val="20"/>
        </w:rPr>
        <w:t> </w:t>
      </w:r>
    </w:p>
    <w:tbl>
      <w:tblPr>
        <w:tblW w:w="102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0"/>
        <w:gridCol w:w="495"/>
        <w:gridCol w:w="6615"/>
      </w:tblGrid>
      <w:tr>
        <w:tblPrEx>
          <w:tblW w:w="102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480"/>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7110" w:type="dxa"/>
            <w:gridSpan w:val="2"/>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b/>
                <w:color w:val="000000"/>
                <w:sz w:val="20"/>
              </w:rPr>
              <w:t>IZEA Worldwide, Inc.</w:t>
            </w:r>
            <w:r>
              <w:br/>
            </w:r>
            <w:r>
              <w:rPr>
                <w:rFonts w:ascii="Times New Roman" w:eastAsia="Times New Roman" w:hAnsi="Times New Roman" w:cs="Times New Roman"/>
                <w:b/>
                <w:color w:val="000000"/>
                <w:sz w:val="20"/>
              </w:rPr>
              <w:t>a Nevada corporation</w:t>
            </w:r>
          </w:p>
        </w:tc>
      </w:tr>
      <w:tr>
        <w:tblPrEx>
          <w:tblW w:w="10230" w:type="dxa"/>
          <w:tblInd w:w="0" w:type="dxa"/>
          <w:tblCellMar>
            <w:left w:w="108" w:type="dxa"/>
            <w:right w:w="108" w:type="dxa"/>
          </w:tblCellMar>
        </w:tblPrEx>
        <w:trPr>
          <w:cantSplit/>
          <w:trHeight w:hRule="exact" w:val="360"/>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661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r>
      <w:tr>
        <w:tblPrEx>
          <w:tblW w:w="10230" w:type="dxa"/>
          <w:tblInd w:w="0" w:type="dxa"/>
          <w:tblCellMar>
            <w:left w:w="108" w:type="dxa"/>
            <w:right w:w="108" w:type="dxa"/>
          </w:tblCellMar>
        </w:tblPrEx>
        <w:trPr>
          <w:cantSplit/>
          <w:trHeight w:hRule="exact" w:val="285"/>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August 13, 2020</w:t>
            </w:r>
          </w:p>
        </w:tc>
        <w:tc>
          <w:tcPr>
            <w:tcW w:w="495" w:type="dxa"/>
            <w:tcBorders>
              <w:top w:val="nil"/>
              <w:left w:val="nil"/>
              <w:bottom w:val="nil"/>
              <w:right w:val="nil"/>
            </w:tcBorders>
            <w:tcMar>
              <w:top w:w="0" w:type="dxa"/>
              <w:left w:w="53" w:type="dxa"/>
              <w:bottom w:w="0" w:type="dxa"/>
              <w:right w:w="53" w:type="dxa"/>
            </w:tcMar>
            <w:vAlign w:val="center"/>
          </w:tcPr>
          <w:p>
            <w:pPr>
              <w:keepNext/>
              <w:pageBreakBefore w:val="0"/>
              <w:spacing w:before="0" w:after="0" w:line="200" w:lineRule="auto"/>
              <w:ind w:left="0"/>
              <w:jc w:val="left"/>
            </w:pPr>
            <w:r>
              <w:rPr>
                <w:rFonts w:ascii="Times New Roman" w:eastAsia="Times New Roman" w:hAnsi="Times New Roman" w:cs="Times New Roman"/>
                <w:color w:val="000000"/>
                <w:sz w:val="20"/>
              </w:rPr>
              <w:t>By: </w:t>
            </w:r>
          </w:p>
        </w:tc>
        <w:tc>
          <w:tcPr>
            <w:tcW w:w="66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 Edward H. Murphy </w:t>
            </w:r>
          </w:p>
        </w:tc>
      </w:tr>
      <w:tr>
        <w:tblPrEx>
          <w:tblW w:w="10230" w:type="dxa"/>
          <w:tblInd w:w="0" w:type="dxa"/>
          <w:tblCellMar>
            <w:left w:w="108" w:type="dxa"/>
            <w:right w:w="108" w:type="dxa"/>
          </w:tblCellMar>
        </w:tblPrEx>
        <w:trPr>
          <w:cantSplit/>
          <w:trHeight w:hRule="exact" w:val="705"/>
        </w:trPr>
        <w:tc>
          <w:tcPr>
            <w:tcW w:w="3120"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keepNext/>
              <w:pageBreakBefore w:val="0"/>
              <w:spacing w:before="75" w:after="30" w:line="200" w:lineRule="auto"/>
              <w:ind w:left="0"/>
              <w:jc w:val="left"/>
            </w:pPr>
            <w:r>
              <w:rPr>
                <w:rFonts w:ascii="Times New Roman" w:eastAsia="Times New Roman" w:hAnsi="Times New Roman" w:cs="Times New Roman"/>
                <w:color w:val="000000"/>
                <w:sz w:val="20"/>
              </w:rPr>
              <w:t> </w:t>
            </w:r>
          </w:p>
        </w:tc>
        <w:tc>
          <w:tcPr>
            <w:tcW w:w="6615" w:type="dxa"/>
            <w:tcBorders>
              <w:top w:val="single" w:sz="16" w:space="0" w:color="000000"/>
              <w:left w:val="nil"/>
              <w:bottom w:val="nil"/>
              <w:right w:val="nil"/>
            </w:tcBorders>
            <w:tcMar>
              <w:top w:w="0" w:type="dxa"/>
              <w:left w:w="53" w:type="dxa"/>
              <w:bottom w:w="0" w:type="dxa"/>
              <w:right w:w="53" w:type="dxa"/>
            </w:tcMar>
            <w:vAlign w:val="bottom"/>
          </w:tcPr>
          <w:p>
            <w:pPr>
              <w:keepNext/>
              <w:pageBreakBefore w:val="0"/>
              <w:spacing w:before="35" w:after="30" w:line="200" w:lineRule="auto"/>
              <w:ind w:left="0"/>
              <w:jc w:val="left"/>
            </w:pPr>
            <w:r>
              <w:rPr>
                <w:rFonts w:ascii="Times New Roman" w:eastAsia="Times New Roman" w:hAnsi="Times New Roman" w:cs="Times New Roman"/>
                <w:color w:val="000000"/>
                <w:sz w:val="20"/>
              </w:rPr>
              <w:t>Edward H. Murphy</w:t>
            </w:r>
            <w:r>
              <w:br/>
            </w:r>
            <w:r>
              <w:rPr>
                <w:rFonts w:ascii="Times New Roman" w:eastAsia="Times New Roman" w:hAnsi="Times New Roman" w:cs="Times New Roman"/>
                <w:color w:val="000000"/>
                <w:sz w:val="20"/>
              </w:rPr>
              <w:t>Chairman, President and Chief Executive Officer</w:t>
            </w:r>
            <w:r>
              <w:br/>
            </w:r>
            <w:r>
              <w:rPr>
                <w:rFonts w:ascii="Times New Roman" w:eastAsia="Times New Roman" w:hAnsi="Times New Roman" w:cs="Times New Roman"/>
                <w:color w:val="000000"/>
                <w:sz w:val="20"/>
              </w:rPr>
              <w:t>(Principal Executive Officer) </w:t>
            </w:r>
          </w:p>
        </w:tc>
      </w:tr>
      <w:tr>
        <w:tblPrEx>
          <w:tblW w:w="10230" w:type="dxa"/>
          <w:tblInd w:w="0" w:type="dxa"/>
          <w:tblCellMar>
            <w:left w:w="108" w:type="dxa"/>
            <w:right w:w="108" w:type="dxa"/>
          </w:tblCellMar>
        </w:tblPrEx>
        <w:trPr>
          <w:cantSplit/>
          <w:trHeight w:hRule="exact" w:val="360"/>
        </w:trPr>
        <w:tc>
          <w:tcPr>
            <w:tcW w:w="3120"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49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c>
          <w:tcPr>
            <w:tcW w:w="6615" w:type="dxa"/>
            <w:tcBorders>
              <w:top w:val="nil"/>
              <w:left w:val="nil"/>
              <w:bottom w:val="nil"/>
              <w:right w:val="nil"/>
            </w:tcBorders>
            <w:tcMar>
              <w:top w:w="0" w:type="dxa"/>
              <w:left w:w="0" w:type="dxa"/>
              <w:bottom w:w="0" w:type="dxa"/>
              <w:right w:w="0" w:type="dxa"/>
            </w:tcMar>
            <w:vAlign w:val="bottom"/>
          </w:tcPr>
          <w:p>
            <w:pPr>
              <w:keepNext/>
              <w:pageBreakBefore w:val="0"/>
              <w:spacing w:before="0" w:after="0"/>
            </w:pPr>
          </w:p>
        </w:tc>
      </w:tr>
      <w:tr>
        <w:tblPrEx>
          <w:tblW w:w="10230" w:type="dxa"/>
          <w:tblInd w:w="0" w:type="dxa"/>
          <w:tblCellMar>
            <w:left w:w="108" w:type="dxa"/>
            <w:right w:w="108" w:type="dxa"/>
          </w:tblCellMar>
        </w:tblPrEx>
        <w:trPr>
          <w:cantSplit/>
          <w:trHeight w:hRule="exact" w:val="300"/>
        </w:trPr>
        <w:tc>
          <w:tcPr>
            <w:tcW w:w="3120"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August 13, 2020</w:t>
            </w:r>
          </w:p>
        </w:tc>
        <w:tc>
          <w:tcPr>
            <w:tcW w:w="495" w:type="dxa"/>
            <w:tcBorders>
              <w:top w:val="nil"/>
              <w:left w:val="nil"/>
              <w:bottom w:val="nil"/>
              <w:right w:val="nil"/>
            </w:tcBorders>
            <w:tcMar>
              <w:top w:w="0" w:type="dxa"/>
              <w:left w:w="53" w:type="dxa"/>
              <w:bottom w:w="0" w:type="dxa"/>
              <w:right w:w="53" w:type="dxa"/>
            </w:tcMar>
            <w:vAlign w:val="center"/>
          </w:tcPr>
          <w:p>
            <w:pPr>
              <w:keepNext/>
              <w:pageBreakBefore w:val="0"/>
              <w:spacing w:before="0" w:after="0" w:line="200" w:lineRule="auto"/>
              <w:ind w:left="0"/>
              <w:jc w:val="left"/>
            </w:pPr>
            <w:r>
              <w:rPr>
                <w:rFonts w:ascii="Times New Roman" w:eastAsia="Times New Roman" w:hAnsi="Times New Roman" w:cs="Times New Roman"/>
                <w:color w:val="000000"/>
                <w:sz w:val="20"/>
              </w:rPr>
              <w:t>By: </w:t>
            </w:r>
          </w:p>
        </w:tc>
        <w:tc>
          <w:tcPr>
            <w:tcW w:w="6615" w:type="dxa"/>
            <w:tcBorders>
              <w:top w:val="nil"/>
              <w:left w:val="nil"/>
              <w:bottom w:val="nil"/>
              <w:right w:val="nil"/>
            </w:tcBorders>
            <w:tcMar>
              <w:top w:w="0" w:type="dxa"/>
              <w:left w:w="53" w:type="dxa"/>
              <w:bottom w:w="0" w:type="dxa"/>
              <w:right w:w="53" w:type="dxa"/>
            </w:tcMar>
            <w:vAlign w:val="bottom"/>
          </w:tcPr>
          <w:p>
            <w:pPr>
              <w:keepNext/>
              <w:pageBreakBefore w:val="0"/>
              <w:spacing w:before="75" w:after="30" w:line="200" w:lineRule="auto"/>
              <w:ind w:left="0"/>
              <w:jc w:val="left"/>
            </w:pPr>
            <w:r>
              <w:rPr>
                <w:rFonts w:ascii="Times New Roman" w:eastAsia="Times New Roman" w:hAnsi="Times New Roman" w:cs="Times New Roman"/>
                <w:color w:val="000000"/>
                <w:sz w:val="20"/>
              </w:rPr>
              <w:t>/s/ LeAnn C. Hitchcock</w:t>
            </w:r>
          </w:p>
        </w:tc>
      </w:tr>
      <w:tr>
        <w:tblPrEx>
          <w:tblW w:w="10230" w:type="dxa"/>
          <w:tblInd w:w="0" w:type="dxa"/>
          <w:tblCellMar>
            <w:left w:w="108" w:type="dxa"/>
            <w:right w:w="108" w:type="dxa"/>
          </w:tblCellMar>
        </w:tblPrEx>
        <w:trPr>
          <w:cantSplit/>
          <w:trHeight w:hRule="exact" w:val="705"/>
        </w:trPr>
        <w:tc>
          <w:tcPr>
            <w:tcW w:w="3120"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 </w:t>
            </w:r>
          </w:p>
        </w:tc>
        <w:tc>
          <w:tcPr>
            <w:tcW w:w="495" w:type="dxa"/>
            <w:tcBorders>
              <w:top w:val="nil"/>
              <w:left w:val="nil"/>
              <w:bottom w:val="nil"/>
              <w:right w:val="nil"/>
            </w:tcBorders>
            <w:tcMar>
              <w:top w:w="0" w:type="dxa"/>
              <w:left w:w="53" w:type="dxa"/>
              <w:bottom w:w="0" w:type="dxa"/>
              <w:right w:w="53" w:type="dxa"/>
            </w:tcMar>
            <w:vAlign w:val="top"/>
          </w:tcPr>
          <w:p>
            <w:pPr>
              <w:pageBreakBefore w:val="0"/>
              <w:spacing w:before="75" w:after="30" w:line="200" w:lineRule="auto"/>
              <w:ind w:left="0"/>
              <w:jc w:val="left"/>
            </w:pPr>
            <w:r>
              <w:rPr>
                <w:rFonts w:ascii="Times New Roman" w:eastAsia="Times New Roman" w:hAnsi="Times New Roman" w:cs="Times New Roman"/>
                <w:color w:val="000000"/>
                <w:sz w:val="20"/>
              </w:rPr>
              <w:t> </w:t>
            </w:r>
          </w:p>
        </w:tc>
        <w:tc>
          <w:tcPr>
            <w:tcW w:w="6615" w:type="dxa"/>
            <w:tcBorders>
              <w:top w:val="single" w:sz="16" w:space="0" w:color="000000"/>
              <w:left w:val="nil"/>
              <w:bottom w:val="nil"/>
              <w:right w:val="nil"/>
            </w:tcBorders>
            <w:tcMar>
              <w:top w:w="0" w:type="dxa"/>
              <w:left w:w="53" w:type="dxa"/>
              <w:bottom w:w="0" w:type="dxa"/>
              <w:right w:w="53" w:type="dxa"/>
            </w:tcMar>
            <w:vAlign w:val="bottom"/>
          </w:tcPr>
          <w:p>
            <w:pPr>
              <w:pageBreakBefore w:val="0"/>
              <w:spacing w:before="35" w:after="30" w:line="200" w:lineRule="auto"/>
              <w:ind w:left="0"/>
              <w:jc w:val="left"/>
            </w:pPr>
            <w:r>
              <w:rPr>
                <w:rFonts w:ascii="Times New Roman" w:eastAsia="Times New Roman" w:hAnsi="Times New Roman" w:cs="Times New Roman"/>
                <w:color w:val="000000"/>
                <w:sz w:val="20"/>
              </w:rPr>
              <w:t>LeAnn C. Hitchcock</w:t>
            </w:r>
            <w:r>
              <w:br/>
            </w:r>
            <w:r>
              <w:rPr>
                <w:rFonts w:ascii="Times New Roman" w:eastAsia="Times New Roman" w:hAnsi="Times New Roman" w:cs="Times New Roman"/>
                <w:color w:val="000000"/>
                <w:sz w:val="20"/>
              </w:rPr>
              <w:t>Interim Chief Financial Officer</w:t>
            </w:r>
            <w:r>
              <w:br/>
            </w:r>
            <w:r>
              <w:rPr>
                <w:rFonts w:ascii="Times New Roman" w:eastAsia="Times New Roman" w:hAnsi="Times New Roman" w:cs="Times New Roman"/>
                <w:color w:val="000000"/>
                <w:sz w:val="20"/>
              </w:rPr>
              <w:t>(Principal Financial and Accounting Officer) </w:t>
            </w:r>
          </w:p>
        </w:tc>
      </w:tr>
    </w:tbl>
    <w:p>
      <w:pPr>
        <w:keepNext w:val="0"/>
        <w:keepLines w:val="0"/>
        <w:pageBreakBefore w:val="0"/>
        <w:widowControl/>
        <w:numPr>
          <w:ilvl w:val="0"/>
          <w:numId w:val="0"/>
        </w:numPr>
        <w:spacing w:before="10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both"/>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360" w:lineRule="auto"/>
        <w:ind w:left="0" w:right="0" w:firstLine="0"/>
        <w:jc w:val="left"/>
        <w:outlineLvl w:val="9"/>
        <w:rPr>
          <w:rFonts w:ascii="Times New Roman" w:eastAsia="Times New Roman" w:hAnsi="Times New Roman" w:cs="Times New Roman"/>
          <w:sz w:val="20"/>
        </w:rPr>
      </w:pPr>
    </w:p>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sectPr>
      <w:pgSz w:w="12240" w:h="15840"/>
      <w:pgMar w:top="855" w:right="990" w:bottom="855" w:left="990" w:header="270" w:footer="27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sz w:val="20"/>
      </w:rP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56</w:t>
    </w:r>
    <w:r>
      <w:rPr>
        <w:rFonts w:ascii="Times New Roman" w:eastAsia="Times New Roman" w:hAnsi="Times New Roman" w:cs="Times New Roman"/>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16"/>
      </w:rPr>
    </w:pPr>
    <w:hyperlink w:anchor="Section2" w:history="1">
      <w:r>
        <w:rPr>
          <w:rFonts w:ascii="Times New Roman" w:eastAsia="Times New Roman" w:hAnsi="Times New Roman" w:cs="Times New Roman"/>
          <w:color w:val="0000FF"/>
          <w:sz w:val="16"/>
          <w:u w:val="single"/>
        </w:rPr>
        <w:t>Table of Contents</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center"/>
      <w:outlineLvl w:val="2"/>
      <w:rPr>
        <w:rFonts w:ascii="Times New Roman" w:eastAsia="Times New Roman" w:hAnsi="Times New Roman" w:cs="Times New Roman"/>
        <w:b/>
        <w:sz w:val="20"/>
      </w:rPr>
    </w:pPr>
    <w:r>
      <w:rPr>
        <w:rFonts w:ascii="Times New Roman" w:eastAsia="Times New Roman" w:hAnsi="Times New Roman" w:cs="Times New Roman"/>
        <w:b/>
        <w:sz w:val="20"/>
      </w:rPr>
      <w:t>IZEA Worldwide, Inc.</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Notes to the Unaudited Consolidated Financial Statements</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center"/>
      <w:outlineLvl w:val="3"/>
      <w:rPr>
        <w:rFonts w:ascii="Times New Roman" w:eastAsia="Times New Roman" w:hAnsi="Times New Roman" w:cs="Times New Roman"/>
        <w:b/>
        <w:sz w:val="20"/>
      </w:rPr>
    </w:pPr>
    <w:r>
      <w:rPr>
        <w:rFonts w:ascii="Times New Roman" w:eastAsia="Times New Roman" w:hAnsi="Times New Roman" w:cs="Times New Roman"/>
        <w:b/>
        <w:sz w:val="20"/>
      </w:rPr>
      <w:t>IZEA Worldwide, Inc.</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r>
      <w:rPr>
        <w:rFonts w:ascii="Times New Roman" w:eastAsia="Times New Roman" w:hAnsi="Times New Roman" w:cs="Times New Roman"/>
        <w:b/>
        <w:sz w:val="20"/>
      </w:rPr>
      <w:t>Notes to the Unaudited Consolidated Financial Statements</w:t>
    </w:r>
  </w:p>
  <w:p>
    <w:pPr>
      <w:keepNext w:val="0"/>
      <w:keepLines w:val="0"/>
      <w:pageBreakBefore w:val="0"/>
      <w:widowControl/>
      <w:numPr>
        <w:ilvl w:val="0"/>
        <w:numId w:val="0"/>
      </w:numPr>
      <w:spacing w:before="0" w:after="0" w:line="248" w:lineRule="auto"/>
      <w:ind w:left="0" w:right="0" w:firstLine="0"/>
      <w:jc w:val="center"/>
      <w:outlineLvl w:val="9"/>
      <w:rPr>
        <w:rFonts w:ascii="Times New Roman" w:eastAsia="Times New Roman" w:hAnsi="Times New Roman" w:cs="Times New Roman"/>
        <w:b/>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val="0"/>
      <w:keepLines w:val="0"/>
      <w:pageBreakBefore w:val="0"/>
      <w:widowControl/>
      <w:numPr>
        <w:ilvl w:val="0"/>
        <w:numId w:val="0"/>
      </w:numPr>
      <w:spacing w:before="0" w:after="0" w:line="248" w:lineRule="auto"/>
      <w:ind w:left="0" w:right="0" w:firstLine="0"/>
      <w:jc w:val="left"/>
      <w:outlineLvl w:val="9"/>
      <w:rPr>
        <w:rFonts w:ascii="Times New Roman" w:eastAsia="Times New Roman" w:hAnsi="Times New Roman" w:cs="Times New Roman"/>
        <w:sz w:val="16"/>
      </w:rPr>
    </w:pPr>
    <w:hyperlink w:anchor="Section2" w:history="1">
      <w:r>
        <w:rPr>
          <w:rFonts w:ascii="Times New Roman" w:eastAsia="Times New Roman" w:hAnsi="Times New Roman" w:cs="Times New Roman"/>
          <w:color w:val="0000FF"/>
          <w:sz w:val="16"/>
          <w:u w:val="single"/>
        </w:rPr>
        <w:t>Table of Contents</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nsid w:val="00000002"/>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nsid w:val="00000003"/>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nsid w:val="00000004"/>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nsid w:val="00000005"/>
    <w:multiLevelType w:val="multilevel"/>
    <w:tmpl w:val="00000001"/>
    <w:lvl w:ilvl="0">
      <w:start w:val="1"/>
      <w:numFmt w:val="decimal"/>
      <w:lvlText w:val="•"/>
      <w:lvlJc w:val="left"/>
      <w:pPr>
        <w:tabs>
          <w:tab w:val="num" w:pos="144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nsid w:val="00000006"/>
    <w:multiLevelType w:val="multilevel"/>
    <w:tmpl w:val="00000001"/>
    <w:lvl w:ilvl="0">
      <w:start w:val="1"/>
      <w:numFmt w:val="decimal"/>
      <w:lvlText w:val="•"/>
      <w:lvlJc w:val="left"/>
      <w:pPr>
        <w:tabs>
          <w:tab w:val="num" w:pos="144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nsid w:val="00000007"/>
    <w:multiLevelType w:val="multilevel"/>
    <w:tmpl w:val="00000001"/>
    <w:lvl w:ilvl="0">
      <w:start w:val="1"/>
      <w:numFmt w:val="decimal"/>
      <w:lvlText w:val="•"/>
      <w:lvlJc w:val="left"/>
      <w:pPr>
        <w:tabs>
          <w:tab w:val="num" w:pos="144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nsid w:val="00000008"/>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nsid w:val="00000009"/>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nsid w:val="0000000A"/>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nsid w:val="0000000B"/>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nsid w:val="0000000C"/>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nsid w:val="0000000D"/>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
    <w:nsid w:val="0000000E"/>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
    <w:nsid w:val="0000000F"/>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
    <w:nsid w:val="00000010"/>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
    <w:nsid w:val="00000011"/>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
    <w:nsid w:val="00000012"/>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
    <w:nsid w:val="00000013"/>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
    <w:nsid w:val="00000014"/>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
    <w:nsid w:val="00000015"/>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
    <w:nsid w:val="00000016"/>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
    <w:nsid w:val="00000017"/>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
    <w:nsid w:val="00000018"/>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
    <w:nsid w:val="00000019"/>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
    <w:nsid w:val="0000001A"/>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
    <w:nsid w:val="0000001B"/>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
    <w:nsid w:val="0000001C"/>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
    <w:nsid w:val="0000001D"/>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
    <w:nsid w:val="0000001E"/>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
    <w:nsid w:val="0000001F"/>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
    <w:nsid w:val="00000020"/>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
    <w:nsid w:val="00000021"/>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
    <w:nsid w:val="00000022"/>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
    <w:nsid w:val="00000023"/>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
    <w:nsid w:val="00000024"/>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
    <w:nsid w:val="00000025"/>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
    <w:nsid w:val="00000026"/>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
    <w:nsid w:val="00000027"/>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
    <w:nsid w:val="00000028"/>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
    <w:nsid w:val="00000029"/>
    <w:multiLevelType w:val="multilevel"/>
    <w:tmpl w:val="0000000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
    <w:nsid w:val="0000002A"/>
    <w:multiLevelType w:val="multilevel"/>
    <w:tmpl w:val="00000001"/>
    <w:lvl w:ilvl="0">
      <w:start w:val="1"/>
      <w:numFmt w:val="decimal"/>
      <w:lvlText w:val="•"/>
      <w:lvlJc w:val="left"/>
      <w:pPr>
        <w:tabs>
          <w:tab w:val="num" w:pos="108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DiscSYMBOL">
    <w:name w:val="DiscSYMBOL•◦▪"/>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hyperlink" Target="http://www.sec.gov/Archives/edgar/data/1495231/000152153611000468/q1100271_ex3-1.htm" TargetMode="External" /><Relationship Id="rId12" Type="http://schemas.openxmlformats.org/officeDocument/2006/relationships/hyperlink" Target="http://www.sec.gov/Archives/edgar/data/1495231/000149523112000019/exhibit31certificateofchan.htm" TargetMode="External" /><Relationship Id="rId13" Type="http://schemas.openxmlformats.org/officeDocument/2006/relationships/hyperlink" Target="http://www.sec.gov/Archives/edgar/data/1495231/000149523114000020/ex3-1articlesamendment2014.htm" TargetMode="External" /><Relationship Id="rId14" Type="http://schemas.openxmlformats.org/officeDocument/2006/relationships/hyperlink" Target="http://www.sec.gov/Archives/edgar/data/1495231/000149523115000003/ex3-120150123nvcertificate.htm" TargetMode="External" /><Relationship Id="rId15" Type="http://schemas.openxmlformats.org/officeDocument/2006/relationships/hyperlink" Target="http://www.sec.gov/Archives/edgar/data/1495231/000149523116000071/ex31certificateofamendment.htm" TargetMode="External" /><Relationship Id="rId16" Type="http://schemas.openxmlformats.org/officeDocument/2006/relationships/hyperlink" Target="http://www.sec.gov/Archives/edgar/data/1495231/000152153611000468/q1100271_ex3-2.htm" TargetMode="External" /><Relationship Id="rId17" Type="http://schemas.openxmlformats.org/officeDocument/2006/relationships/hyperlink" Target="http://www.sec.gov/Archives/edgar/data/1495231/000146929911000365/izeaex31.htm" TargetMode="External" /><Relationship Id="rId18" Type="http://schemas.openxmlformats.org/officeDocument/2006/relationships/hyperlink" Target="http://www.sec.gov/Archives/edgar/data/1495231/000149523116000083/exhibit311nvmerger20160405.htm" TargetMode="External" /><Relationship Id="rId19" Type="http://schemas.openxmlformats.org/officeDocument/2006/relationships/hyperlink" Target="http://www.sec.gov/Archives/edgar/data/1495231/000149523118000091/exhibit31izeaworldwidein.htm" TargetMode="External" /><Relationship Id="rId2" Type="http://schemas.openxmlformats.org/officeDocument/2006/relationships/webSettings" Target="webSettings.xml" /><Relationship Id="rId20" Type="http://schemas.openxmlformats.org/officeDocument/2006/relationships/hyperlink" Target="http://www.sec.gov/Archives/edgar/data/1495231/000149523120000028/exhibit310izeanevadaarti.htm" TargetMode="External" /><Relationship Id="rId21" Type="http://schemas.openxmlformats.org/officeDocument/2006/relationships/hyperlink" Target="http://www.sec.gov/Archives/edgar/data/1495231/000149523120000044/a101compensationamendment-01.htm" TargetMode="External" /><Relationship Id="rId22" Type="http://schemas.openxmlformats.org/officeDocument/2006/relationships/hyperlink" Target="http://www.sec.gov/Archives/edgar/data/1495231/000149523120000044/a101compensationamendment-02.htm" TargetMode="External" /><Relationship Id="rId23" Type="http://schemas.openxmlformats.org/officeDocument/2006/relationships/hyperlink" Target="http://www.sec.gov/Archives/edgar/data/1495231/000149523120000046/exhibit101note20200423.htm" TargetMode="External" /><Relationship Id="rId24" Type="http://schemas.openxmlformats.org/officeDocument/2006/relationships/hyperlink" Target="wurl://docs.v1/doc:db85593dead542df954ca551d1b5010f" TargetMode="External" /><Relationship Id="rId25" Type="http://schemas.openxmlformats.org/officeDocument/2006/relationships/hyperlink" Target="wurl://docs.v1/doc:c363ae636efd49969c2a0ec17e4b24c3" TargetMode="External" /><Relationship Id="rId26" Type="http://schemas.openxmlformats.org/officeDocument/2006/relationships/hyperlink" Target="wurl://docs.v1/doc:fe8502f9d95d4c579a23b6c42cb39264" TargetMode="External" /><Relationship Id="rId27" Type="http://schemas.openxmlformats.org/officeDocument/2006/relationships/hyperlink" Target="izea200331ex322.htm" TargetMode="Externa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59</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IZEA 20.06.30 10-Q</dc:title>
  <cp:revision>1</cp:revision>
</cp:coreProperties>
</file>