
<file path=[Content_Types].xml><?xml version="1.0" encoding="utf-8"?>
<Types xmlns="http://schemas.openxmlformats.org/package/2006/content-types">
  <Override ContentType="application/vnd.openxmlformats-officedocument.extended-properties+xml" PartName="/docProps/app.xml"/>
  <Override ContentType="application/vnd.openxmlformats-officedocument.wordprocessingml.footer+xml" PartName="/word/footer28.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12.xml"/>
  <Override ContentType="application/vnd.openxmlformats-officedocument.wordprocessingml.footer+xml" PartName="/word/footer18.xml"/>
  <Override ContentType="application/vnd.openxmlformats-officedocument.wordprocessingml.header+xml" PartName="/word/header2.xml"/>
  <Override ContentType="application/vnd.openxmlformats-officedocument.wordprocessingml.footer+xml" PartName="/word/footer9.xml"/>
  <Override ContentType="application/vnd.openxmlformats-officedocument.wordprocessingml.footer+xml" PartName="/word/footer30.xml"/>
  <Override ContentType="application/vnd.openxmlformats-officedocument.wordprocessingml.footer+xml" PartName="/word/footer22.xml"/>
  <Override ContentType="application/vnd.openxmlformats-officedocument.wordprocessingml.footer+xml" PartName="/word/footer17.xml"/>
  <Override ContentType="application/vnd.openxmlformats-officedocument.wordprocessingml.footer+xml" PartName="/word/footer14.xml"/>
  <Override ContentType="application/vnd.openxmlformats-package.core-properties+xml" PartName="/docProps/core.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5.xml"/>
  <Override ContentType="application/vnd.openxmlformats-officedocument.wordprocessingml.footer+xml" PartName="/word/footer27.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footer+xml" PartName="/word/footer8.xml"/>
  <Override ContentType="application/vnd.openxmlformats-officedocument.wordprocessingml.footer+xml" PartName="/word/footer29.xml"/>
  <Override ContentType="application/vnd.openxmlformats-officedocument.wordprocessingml.footer+xml" PartName="/word/footer26.xml"/>
  <Override ContentType="application/vnd.openxmlformats-officedocument.wordprocessingml.footer+xml" PartName="/word/footer4.xml"/>
  <Override ContentType="application/vnd.openxmlformats-officedocument.wordprocessingml.footer+xml" PartName="/word/footer23.xml"/>
  <Override ContentType="application/vnd.openxmlformats-officedocument.wordprocessingml.footer+xml" PartName="/word/footer20.xml"/>
  <Override ContentType="application/vnd.openxmlformats-officedocument.wordprocessingml.footer+xml" PartName="/word/footer13.xml"/>
  <Override ContentType="application/vnd.openxmlformats-officedocument.wordprocessingml.header+xml" PartName="/word/header6.xml"/>
  <Override ContentType="application/vnd.openxmlformats-officedocument.wordprocessingml.header+xml" PartName="/word/header3.xml"/>
  <Override ContentType="application/vnd.openxmlformats-officedocument.wordprocessingml.footer+xml" PartName="/word/footer24.xml"/>
  <Override ContentType="application/vnd.openxmlformats-officedocument.wordprocessingml.footer+xml" PartName="/word/footer19.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footer+xml" PartName="/word/footer25.xml"/>
  <Default ContentType="application/vnd.openxmlformats-package.relationships+xml" Extension="rels"/>
  <Override ContentType="application/vnd.openxmlformats-officedocument.wordprocessingml.footer+xml" PartName="/word/footer21.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footer+xml" PartName="/word/footer31.xml"/>
  <Override ContentType="application/vnd.openxmlformats-officedocument.wordprocessingml.header+xml" PartName="/word/header5.xml"/>
  <Override ContentType="application/vnd.openxmlformats-officedocument.wordprocessingml.footer+xml" PartName="/word/footer7.xml"/>
  <Override ContentType="application/vnd.openxmlformats-officedocument.wordprocessingml.footer+xml" PartName="/word/footer16.xml"/>
  <Override ContentType="application/vnd.openxmlformats-officedocument.wordprocessingml.footer+xml" PartName="/word/footer15.xml"/>
</Types>
</file>

<file path=_rels/.rels><?xml version='1.0' encoding='utf-8' standalone='yes'?>
<Relationships xmlns="http://schemas.openxmlformats.org/package/2006/relationships"><Relationship TargetMode="Internal" Type="http://schemas.openxmlformats.org/officeDocument/2006/relationships/officeDocument" Id="dc19dc1fd" Target="word/document.xml"/><Relationship TargetMode="Internal" Type="http://schemas.openxmlformats.org/package/2006/relationships/metadata/core-properties" Id="d8fda3cb8" Target="docProps/core.xml"/><Relationship TargetMode="Internal" Type="http://schemas.openxmlformats.org/officeDocument/2006/extended-properties" Id="d507b07c5" Target="docProps/app.xml"/></Relationships>
</file>

<file path=word/document.xml><?xml version="1.0" encoding="utf-8"?>
<w:document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body>
    <w:tbl>
      <w:tblPr>
        <w:tblW w:type="dxa" w:w="10240"/>
        <w:tblLayout w:type="fixed"/>
        <w:jc w:val="center"/>
      </w:tblPr>
      <w:tblGrid>
        <w:gridCol w:w="10240"/>
      </w:tblGrid>
      <w:tr>
        <w:trPr>
          <w:trHeight w:hRule="exact" w:val="80"/>
        </w:trPr>
        <w:tc>
          <w:tcPr>
            <w:tcW w:type="dxa" w:w="10240"/>
            <w:tcMar>
              <w:left w:type="dxa" w:w="60"/>
              <w:right w:type="dxa" w:w="0"/>
            </w:tcMar>
            <w:tcBorders>
              <w:top w:val="single" w:sz="16" w:space="0"/>
              <w:bottom w:val="single" w:sz="8"/>
            </w:tcBorders>
            <w:vAlign w:val="bottom"/>
          </w:tcPr>
          <w:p>
            <w:pPr>
              <w:jc w:val="left"/>
              <w:keepLines/>
              <w:spacing w:line="240" w:lineRule="auto"/>
              <w:rPr/>
            </w:pPr>
            <w:r>
              <w:rPr/>
            </w:r>
            <w:bookmarkStart w:id="19288" w:name="Cover_Page"/>
            <w:bookmarkEnd w:id="19288"/>
          </w:p>
        </w:tc>
      </w:tr>
    </w:tbl>
    <w:p>
      <w:pPr>
        <w:jc w:val="center"/>
        <w:spacing w:before="60"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r>
    </w:p>
    <w:p>
      <w:pPr>
        <w:jc w:val="center"/>
        <w:spacing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t xml:space="preserve">UNITED STATES</w:t>
      </w:r>
    </w:p>
    <w:p>
      <w:pPr>
        <w:jc w:val="center"/>
        <w:spacing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t xml:space="preserve">SECURITIES AND EXCHANGE COMMISSION</w:t>
      </w:r>
    </w:p>
    <w:p>
      <w:pPr>
        <w:jc w:val="center"/>
        <w:spacing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t xml:space="preserve">Washington D.C. 20549</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8"/>
          <w:b w:val="true"/>
        </w:rPr>
      </w:pPr>
      <w:r>
        <w:rPr>
          <w:rFonts w:ascii="Times New Roman" w:hAnsi="Times New Roman" w:eastAsia="Times New Roman" w:cs="Times New Roman"/>
          <w:sz w:val="28"/>
          <w:b w:val="true"/>
        </w:rPr>
        <w:t xml:space="preserve">FORM 10-Q</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26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(Mark One)</w:t>
      </w:r>
    </w:p>
    <w:tbl>
      <w:tblPr>
        <w:tblW w:type="dxa" w:w="10240"/>
        <w:tblLayout w:type="fixed"/>
        <w:jc w:val="justify"/>
      </w:tblPr>
      <w:tblGrid>
        <w:gridCol w:w="440"/>
        <w:gridCol w:w="9800"/>
      </w:tblGrid>
      <w:tr>
        <w:trPr>
          <w:trHeight w:hRule="exact" w:val="300"/>
        </w:trPr>
        <w:tc>
          <w:tcPr>
            <w:tcW w:type="dxa" w:w="440"/>
            <w:tcMar>
              <w:left w:type="dxa" w:w="60"/>
              <w:right w:type="dxa" w:w="40"/>
            </w:tcMar>
            <w:tcBorders/>
            <w:vAlign w:val="top"/>
          </w:tcPr>
          <w:p>
            <w:pPr>
              <w:jc w:val="left"/>
              <w:keepLines/>
              <w:spacing w:before="40" w:after="40" w:line="240" w:lineRule="auto"/>
              <w:rPr>
                <w:rFonts w:ascii="Wingdings" w:hAnsi="Wingdings" w:eastAsia="Wingdings" w:cs="Wingdings"/>
                <w:sz w:val="20"/>
              </w:rPr>
            </w:pPr>
            <w:r>
              <w:rPr>
                <w:rFonts w:ascii="Wingdings" w:hAnsi="Wingdings" w:eastAsia="Wingdings" w:cs="Wingdings"/>
                <w:sz w:val="20"/>
                <w:color w:val="000000"/>
              </w:rPr>
              <w:t xml:space="preserve">x</w:t>
            </w:r>
          </w:p>
        </w:tc>
        <w:tc>
          <w:tcPr>
            <w:tcW w:type="dxa" w:w="9800"/>
            <w:tcMar>
              <w:left w:type="dxa" w:w="60"/>
              <w:right w:type="dxa" w:w="4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QUARTERLY REPORT PURSUANT TO SECTION 13 OR 15(d) OF THE SECURITIES EXCHANGE ACT OF 1934</w:t>
            </w:r>
          </w:p>
        </w:tc>
      </w:tr>
    </w:tbl>
    <w:p>
      <w:pPr>
        <w:jc w:val="center"/>
        <w:spacing w:before="180" w:after="26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the quarterly period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r>
    </w:p>
    <w:tbl>
      <w:tblPr>
        <w:tblW w:type="dxa" w:w="10240"/>
        <w:tblLayout w:type="fixed"/>
        <w:jc w:val="left"/>
      </w:tblPr>
      <w:tblGrid>
        <w:gridCol w:w="440"/>
        <w:gridCol w:w="9800"/>
      </w:tblGrid>
      <w:tr>
        <w:trPr>
          <w:trHeight w:hRule="exact" w:val="300"/>
        </w:trPr>
        <w:tc>
          <w:tcPr>
            <w:tcW w:type="dxa" w:w="440"/>
            <w:tcMar>
              <w:left w:type="dxa" w:w="60"/>
              <w:right w:type="dxa" w:w="40"/>
            </w:tcMar>
            <w:tcBorders/>
            <w:vAlign w:val="top"/>
          </w:tcPr>
          <w:p>
            <w:pPr>
              <w:jc w:val="left"/>
              <w:keepLines/>
              <w:spacing w:before="40" w:after="40" w:line="240" w:lineRule="auto"/>
              <w:rPr>
                <w:rFonts w:ascii="Wingdings" w:hAnsi="Wingdings" w:eastAsia="Wingdings" w:cs="Wingdings"/>
                <w:sz w:val="20"/>
              </w:rPr>
            </w:pPr>
            <w:r>
              <w:rPr>
                <w:rFonts w:ascii="Wingdings" w:hAnsi="Wingdings" w:eastAsia="Wingdings" w:cs="Wingdings"/>
                <w:sz w:val="20"/>
                <w:color w:val="000000"/>
              </w:rPr>
              <w:t xml:space="preserve">o</w:t>
            </w:r>
          </w:p>
        </w:tc>
        <w:tc>
          <w:tcPr>
            <w:tcW w:type="dxa" w:w="9800"/>
            <w:tcMar>
              <w:left w:type="dxa" w:w="60"/>
              <w:right w:type="dxa" w:w="4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TRANSITION REPORT PURSUANT TO SECTION 13 OR 15(d) OF THE SECURITIES EXCHANGE ACT OF 1934</w:t>
            </w:r>
          </w:p>
        </w:tc>
      </w:tr>
    </w:tbl>
    <w:p>
      <w:pPr>
        <w:jc w:val="center"/>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For the transition period from _________________ to _________________</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Commission File No.: 001-37703</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before="60" w:line="288" w:lineRule="auto"/>
        <w:rPr>
          <w:rFonts w:ascii="Times New Roman" w:hAnsi="Times New Roman" w:eastAsia="Times New Roman" w:cs="Times New Roman"/>
          <w:sz w:val="36"/>
          <w:b w:val="true"/>
        </w:rPr>
      </w:pPr>
      <w:r>
        <w:rPr>
          <w:rFonts w:ascii="Times New Roman" w:hAnsi="Times New Roman" w:eastAsia="Times New Roman" w:cs="Times New Roman"/>
          <w:sz w:val="36"/>
          <w:b w:val="true"/>
        </w:rPr>
        <w:t xml:space="preserve">IZEA WORLDWIDE, INC.</w:t>
      </w:r>
    </w:p>
    <w:p>
      <w:pPr>
        <w:jc w:val="center"/>
        <w:spacing w:after="26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(Exact name of registrant as specified in its charter)</w:t>
      </w:r>
    </w:p>
    <w:tbl>
      <w:tblPr>
        <w:tblW w:type="dxa" w:w="10240"/>
        <w:tblLayout w:type="fixed"/>
        <w:jc w:val="justify"/>
      </w:tblPr>
      <w:tblGrid>
        <w:gridCol w:w="4900"/>
        <w:gridCol w:w="440"/>
        <w:gridCol w:w="4900"/>
      </w:tblGrid>
      <w:tr>
        <w:trPr>
          <w:trHeight w:hRule="exact" w:val="300"/>
        </w:trPr>
        <w:tc>
          <w:tcPr>
            <w:tcW w:type="dxa" w:w="49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Nevada</w:t>
            </w:r>
          </w:p>
        </w:tc>
        <w:tc>
          <w:tcPr>
            <w:tcW w:type="dxa" w:w="440"/>
            <w:tcMar>
              <w:left w:type="dxa" w:w="60"/>
              <w:right w:type="dxa" w:w="0"/>
            </w:tcMar>
            <w:tcBorders/>
            <w:vAlign w:val="bottom"/>
          </w:tcPr>
          <w:p>
            <w:pPr>
              <w:jc w:val="left"/>
              <w:keepNext/>
              <w:keepLines/>
              <w:spacing w:before="40" w:after="40" w:line="240" w:lineRule="auto"/>
              <w:rPr/>
            </w:pPr>
            <w:r>
              <w:rPr/>
            </w:r>
          </w:p>
        </w:tc>
        <w:tc>
          <w:tcPr>
            <w:tcW w:type="dxa" w:w="49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37-1530765</w:t>
            </w:r>
          </w:p>
        </w:tc>
      </w:tr>
      <w:tr>
        <w:trPr>
          <w:trHeight w:hRule="exact" w:val="500"/>
        </w:trPr>
        <w:tc>
          <w:tcPr>
            <w:tcW w:type="dxa" w:w="4900"/>
            <w:tcMar>
              <w:left w:type="dxa" w:w="60"/>
              <w:right w:type="dxa" w:w="60"/>
            </w:tcMar>
            <w:tcBorders/>
            <w:vAlign w:val="bottom"/>
            <w:vAlign w:val="bottom"/>
          </w:tcPr>
          <w:p>
            <w:pPr>
              <w:jc w:val="center"/>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(State or other jurisdiction of</w:t>
            </w:r>
          </w:p>
          <w:p>
            <w:pPr>
              <w:jc w:val="center"/>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incorporation or organization)</w:t>
            </w:r>
          </w:p>
        </w:tc>
        <w:tc>
          <w:tcPr>
            <w:tcW w:type="dxa" w:w="440"/>
            <w:tcMar>
              <w:left w:type="dxa" w:w="60"/>
              <w:right w:type="dxa" w:w="0"/>
            </w:tcMar>
            <w:tcBorders/>
            <w:vAlign w:val="bottom"/>
          </w:tcPr>
          <w:p>
            <w:pPr>
              <w:jc w:val="left"/>
              <w:keepLines/>
              <w:spacing w:before="40" w:after="40" w:line="240" w:lineRule="auto"/>
              <w:rPr/>
            </w:pPr>
            <w:r>
              <w:rPr/>
            </w:r>
          </w:p>
        </w:tc>
        <w:tc>
          <w:tcPr>
            <w:tcW w:type="dxa" w:w="4900"/>
            <w:tcMar>
              <w:left w:type="dxa" w:w="60"/>
              <w:right w:type="dxa" w:w="60"/>
            </w:tcMar>
            <w:tcBorders/>
            <w:vAlign w:val="bottom"/>
            <w:vAlign w:val="bottom"/>
          </w:tcPr>
          <w:p>
            <w:pPr>
              <w:jc w:val="center"/>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(I.R.S. Employer</w:t>
            </w:r>
          </w:p>
          <w:p>
            <w:pPr>
              <w:jc w:val="center"/>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Identification No.)</w:t>
            </w:r>
          </w:p>
        </w:tc>
      </w:tr>
    </w:tbl>
    <w:p>
      <w:pPr>
        <w:jc w:val="left"/>
        <w:spacing w:line="180" w:lineRule="exact"/>
        <w:rPr/>
      </w:pPr>
      <w:r>
        <w:rPr/>
      </w:r>
    </w:p>
    <w:tbl>
      <w:tblPr>
        <w:tblW w:type="dxa" w:w="10240"/>
        <w:tblLayout w:type="fixed"/>
        <w:jc w:val="left"/>
      </w:tblPr>
      <w:tblGrid>
        <w:gridCol w:w="4900"/>
        <w:gridCol w:w="440"/>
        <w:gridCol w:w="4900"/>
      </w:tblGrid>
      <w:tr>
        <w:trPr>
          <w:trHeight w:hRule="exact" w:val="500"/>
        </w:trPr>
        <w:tc>
          <w:tcPr>
            <w:tcW w:type="dxa" w:w="4900"/>
            <w:tcMar>
              <w:left w:type="dxa" w:w="60"/>
              <w:right w:type="dxa" w:w="60"/>
            </w:tcMar>
            <w:tcBorders>
              <w:bottom w:val="single" w:sz="8"/>
            </w:tcBorders>
            <w:vAlign w:val="bottom"/>
            <w:vAlign w:val="bottom"/>
          </w:tcPr>
          <w:p>
            <w:pPr>
              <w:jc w:val="center"/>
              <w:keepNext/>
              <w:keepLines/>
              <w:spacing w:before="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480 N. Orlando Avenue, Suite 200</w:t>
            </w:r>
          </w:p>
          <w:p>
            <w:pPr>
              <w:jc w:val="center"/>
              <w:keepNext/>
              <w:keepLines/>
              <w:spacing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Winter Park, FL</w:t>
            </w:r>
          </w:p>
        </w:tc>
        <w:tc>
          <w:tcPr>
            <w:tcW w:type="dxa" w:w="440"/>
            <w:tcMar>
              <w:left w:type="dxa" w:w="60"/>
              <w:right w:type="dxa" w:w="0"/>
            </w:tcMar>
            <w:tcBorders/>
            <w:vAlign w:val="bottom"/>
          </w:tcPr>
          <w:p>
            <w:pPr>
              <w:jc w:val="left"/>
              <w:keepNext/>
              <w:keepLines/>
              <w:spacing w:before="40" w:after="40" w:line="240" w:lineRule="auto"/>
              <w:rPr/>
            </w:pPr>
            <w:r>
              <w:rPr/>
            </w:r>
          </w:p>
        </w:tc>
        <w:tc>
          <w:tcPr>
            <w:tcW w:type="dxa" w:w="49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32789</w:t>
            </w:r>
          </w:p>
        </w:tc>
      </w:tr>
      <w:tr>
        <w:trPr>
          <w:trHeight w:hRule="exact" w:val="300"/>
        </w:trPr>
        <w:tc>
          <w:tcPr>
            <w:tcW w:type="dxa" w:w="490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(Address of principal executive offices)</w:t>
            </w:r>
          </w:p>
        </w:tc>
        <w:tc>
          <w:tcPr>
            <w:tcW w:type="dxa" w:w="440"/>
            <w:tcMar>
              <w:left w:type="dxa" w:w="60"/>
              <w:right w:type="dxa" w:w="0"/>
            </w:tcMar>
            <w:tcBorders/>
            <w:vAlign w:val="bottom"/>
          </w:tcPr>
          <w:p>
            <w:pPr>
              <w:jc w:val="left"/>
              <w:keepLines/>
              <w:spacing w:before="40" w:after="40" w:line="240" w:lineRule="auto"/>
              <w:rPr/>
            </w:pPr>
            <w:r>
              <w:rPr/>
            </w:r>
          </w:p>
        </w:tc>
        <w:tc>
          <w:tcPr>
            <w:tcW w:type="dxa" w:w="490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(Zip Code)</w:t>
            </w:r>
          </w:p>
        </w:tc>
      </w:tr>
    </w:tbl>
    <w:p>
      <w:pPr>
        <w:jc w:val="center"/>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Registrant’s telephone number, including area code:   </w:t>
      </w:r>
      <w:r>
        <w:rPr>
          <w:rFonts w:ascii="Times New Roman" w:hAnsi="Times New Roman" w:eastAsia="Times New Roman" w:cs="Times New Roman"/>
          <w:sz w:val="20"/>
          <w:b w:val="true"/>
        </w:rPr>
        <w:t xml:space="preserve">(407) 674-6911</w:t>
      </w:r>
    </w:p>
    <w:p>
      <w:pPr>
        <w:jc w:val="both"/>
        <w:spacing w:before="120"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18"/>
        </w:rPr>
        <w:t xml:space="preserve">Securities registered pursuant to Section 12(b) of the Act:</w:t>
      </w:r>
    </w:p>
    <w:tbl>
      <w:tblPr>
        <w:tblW w:type="dxa" w:w="10240"/>
        <w:tblLayout w:type="fixed"/>
        <w:jc w:val="center"/>
      </w:tblPr>
      <w:tblGrid>
        <w:gridCol w:w="4400"/>
        <w:gridCol w:w="100"/>
        <w:gridCol w:w="1660"/>
        <w:gridCol w:w="100"/>
        <w:gridCol w:w="3980"/>
      </w:tblGrid>
      <w:tr>
        <w:trPr>
          <w:trHeight w:hRule="exact" w:val="400"/>
        </w:trPr>
        <w:tc>
          <w:tcPr>
            <w:tcW w:type="dxa" w:w="44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Title of each class</w:t>
            </w:r>
          </w:p>
        </w:tc>
        <w:tc>
          <w:tcPr>
            <w:tcW w:type="dxa" w:w="100"/>
            <w:tcMar>
              <w:left w:type="dxa" w:w="0"/>
              <w:right w:type="dxa" w:w="0"/>
            </w:tcMar>
            <w:tcBorders/>
            <w:vAlign w:val="bottom"/>
          </w:tcPr>
          <w:p>
            <w:pPr>
              <w:jc w:val="left"/>
              <w:keepNext/>
              <w:keepLines/>
              <w:spacing w:before="40" w:after="40" w:line="240" w:lineRule="auto"/>
              <w:rPr/>
            </w:pPr>
            <w:r>
              <w:rPr/>
            </w:r>
          </w:p>
        </w:tc>
        <w:tc>
          <w:tcPr>
            <w:tcW w:type="dxa" w:w="16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Trading Symbol(s)</w:t>
            </w:r>
          </w:p>
        </w:tc>
        <w:tc>
          <w:tcPr>
            <w:tcW w:type="dxa" w:w="100"/>
            <w:tcMar>
              <w:left w:type="dxa" w:w="0"/>
              <w:right w:type="dxa" w:w="0"/>
            </w:tcMar>
            <w:tcBorders/>
            <w:vAlign w:val="bottom"/>
          </w:tcPr>
          <w:p>
            <w:pPr>
              <w:jc w:val="left"/>
              <w:keepNext/>
              <w:keepLines/>
              <w:spacing w:before="40" w:after="40" w:line="240" w:lineRule="auto"/>
              <w:rPr/>
            </w:pPr>
            <w:r>
              <w:rPr/>
            </w:r>
          </w:p>
        </w:tc>
        <w:tc>
          <w:tcPr>
            <w:tcW w:type="dxa" w:w="398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Name of each exchange on which registered</w:t>
            </w:r>
          </w:p>
        </w:tc>
      </w:tr>
      <w:tr>
        <w:trPr>
          <w:trHeight w:hRule="exact" w:val="300"/>
        </w:trPr>
        <w:tc>
          <w:tcPr>
            <w:tcW w:type="dxa" w:w="440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Common Stock, par value $0.0001 per share</w:t>
            </w:r>
          </w:p>
        </w:tc>
        <w:tc>
          <w:tcPr>
            <w:tcW w:type="dxa" w:w="100"/>
            <w:tcMar>
              <w:left w:type="dxa" w:w="0"/>
              <w:right w:type="dxa" w:w="0"/>
            </w:tcMar>
            <w:tcBorders/>
            <w:vAlign w:val="bottom"/>
          </w:tcPr>
          <w:p>
            <w:pPr>
              <w:jc w:val="left"/>
              <w:keepLines/>
              <w:spacing w:before="40" w:after="40" w:line="240" w:lineRule="auto"/>
              <w:rPr/>
            </w:pPr>
            <w:r>
              <w:rPr/>
            </w:r>
          </w:p>
        </w:tc>
        <w:tc>
          <w:tcPr>
            <w:tcW w:type="dxa" w:w="166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IZEA</w:t>
            </w:r>
          </w:p>
        </w:tc>
        <w:tc>
          <w:tcPr>
            <w:tcW w:type="dxa" w:w="100"/>
            <w:tcMar>
              <w:left w:type="dxa" w:w="0"/>
              <w:right w:type="dxa" w:w="0"/>
            </w:tcMar>
            <w:tcBorders/>
            <w:vAlign w:val="bottom"/>
          </w:tcPr>
          <w:p>
            <w:pPr>
              <w:jc w:val="left"/>
              <w:keepLines/>
              <w:spacing w:before="40" w:after="40" w:line="240" w:lineRule="auto"/>
              <w:rPr/>
            </w:pPr>
            <w:r>
              <w:rPr/>
            </w:r>
          </w:p>
        </w:tc>
        <w:tc>
          <w:tcPr>
            <w:tcW w:type="dxa" w:w="398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The Nasdaq Capital Market</w:t>
            </w:r>
          </w:p>
        </w:tc>
      </w:tr>
    </w:tbl>
    <w:p>
      <w:pPr>
        <w:jc w:val="left"/>
        <w:spacing w:before="180"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eastAsia="Wingdings" w:cs="Wingdings"/>
          <w:sz w:val="18"/>
        </w:rPr>
        <w:t xml:space="preserve">x</w:t>
      </w:r>
      <w:r>
        <w:rPr>
          <w:rFonts w:ascii="Times New Roman" w:hAnsi="Times New Roman" w:eastAsia="Times New Roman" w:cs="Times New Roman"/>
          <w:sz w:val="18"/>
        </w:rPr>
        <w:t xml:space="preserve">  No  </w:t>
      </w:r>
      <w:r>
        <w:rPr>
          <w:rFonts w:ascii="Wingdings" w:hAnsi="Wingdings" w:eastAsia="Wingdings" w:cs="Wingdings"/>
          <w:sz w:val="18"/>
        </w:rPr>
        <w:t xml:space="preserve">o</w:t>
      </w:r>
    </w:p>
    <w:p>
      <w:pPr>
        <w:jc w:val="left"/>
        <w:spacing w:before="120"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and post such files).  Yes  </w:t>
      </w:r>
      <w:r>
        <w:rPr>
          <w:rFonts w:ascii="Wingdings" w:hAnsi="Wingdings" w:eastAsia="Wingdings" w:cs="Wingdings"/>
          <w:sz w:val="18"/>
        </w:rPr>
        <w:t xml:space="preserve">x</w:t>
      </w:r>
      <w:r>
        <w:rPr>
          <w:rFonts w:ascii="Times New Roman" w:hAnsi="Times New Roman" w:eastAsia="Times New Roman" w:cs="Times New Roman"/>
          <w:sz w:val="18"/>
        </w:rPr>
        <w:t xml:space="preserve">    No  </w:t>
      </w:r>
      <w:r>
        <w:rPr>
          <w:rFonts w:ascii="Wingdings" w:hAnsi="Wingdings" w:eastAsia="Wingdings" w:cs="Wingdings"/>
          <w:sz w:val="18"/>
        </w:rPr>
        <w:t xml:space="preserve">o</w:t>
      </w:r>
    </w:p>
    <w:p>
      <w:pPr>
        <w:jc w:val="left"/>
        <w:spacing w:before="120" w:after="200"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type="dxa" w:w="10240"/>
        <w:tblLayout w:type="fixed"/>
        <w:jc w:val="left"/>
      </w:tblPr>
      <w:tblGrid>
        <w:gridCol w:w="2800"/>
        <w:gridCol w:w="4620"/>
        <w:gridCol w:w="2820"/>
      </w:tblGrid>
      <w:tr>
        <w:trPr>
          <w:trHeight w:hRule="exact" w:val="280"/>
        </w:trPr>
        <w:tc>
          <w:tcPr>
            <w:tcW w:type="dxa" w:w="2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Large accelerated filer  </w:t>
            </w:r>
            <w:r>
              <w:rPr>
                <w:rFonts w:ascii="Wingdings" w:hAnsi="Wingdings" w:eastAsia="Wingdings" w:cs="Wingdings"/>
                <w:sz w:val="18"/>
              </w:rPr>
              <w:t xml:space="preserve">o</w:t>
            </w:r>
          </w:p>
        </w:tc>
        <w:tc>
          <w:tcPr>
            <w:tcW w:type="dxa" w:w="4620"/>
            <w:tcMar>
              <w:left w:type="dxa" w:w="60"/>
              <w:right w:type="dxa" w:w="0"/>
            </w:tcMar>
            <w:tcBorders/>
            <w:vAlign w:val="top"/>
          </w:tcPr>
          <w:p>
            <w:pPr>
              <w:jc w:val="left"/>
              <w:keepNext/>
              <w:keepLines/>
              <w:spacing w:before="40" w:after="40" w:line="240" w:lineRule="auto"/>
              <w:rPr/>
            </w:pPr>
            <w:r>
              <w:rPr/>
            </w:r>
          </w:p>
        </w:tc>
        <w:tc>
          <w:tcPr>
            <w:tcW w:type="dxa" w:w="2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Accelerated filer  </w:t>
            </w:r>
            <w:r>
              <w:rPr>
                <w:rFonts w:ascii="Wingdings" w:hAnsi="Wingdings" w:eastAsia="Wingdings" w:cs="Wingdings"/>
                <w:sz w:val="18"/>
              </w:rPr>
              <w:t xml:space="preserve">o</w:t>
            </w:r>
          </w:p>
        </w:tc>
      </w:tr>
      <w:tr>
        <w:trPr>
          <w:trHeight w:hRule="exact" w:val="280"/>
        </w:trPr>
        <w:tc>
          <w:tcPr>
            <w:tcW w:type="dxa" w:w="2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Non-accelerated filer   </w:t>
            </w:r>
            <w:r>
              <w:rPr>
                <w:rFonts w:ascii="Wingdings" w:hAnsi="Wingdings" w:eastAsia="Wingdings" w:cs="Wingdings"/>
                <w:sz w:val="18"/>
              </w:rPr>
              <w:t xml:space="preserve">x</w:t>
            </w:r>
          </w:p>
        </w:tc>
        <w:tc>
          <w:tcPr>
            <w:tcW w:type="dxa" w:w="4620"/>
            <w:tcMar>
              <w:left w:type="dxa" w:w="60"/>
              <w:right w:type="dxa" w:w="0"/>
            </w:tcMar>
            <w:tcBorders/>
            <w:vAlign w:val="top"/>
          </w:tcPr>
          <w:p>
            <w:pPr>
              <w:jc w:val="left"/>
              <w:keepNext/>
              <w:keepLines/>
              <w:spacing w:before="40" w:after="40" w:line="240" w:lineRule="auto"/>
              <w:rPr/>
            </w:pPr>
            <w:r>
              <w:rPr/>
            </w:r>
          </w:p>
        </w:tc>
        <w:tc>
          <w:tcPr>
            <w:tcW w:type="dxa" w:w="2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Smaller reporting company </w:t>
            </w:r>
            <w:r>
              <w:rPr>
                <w:rFonts w:ascii="Wingdings" w:hAnsi="Wingdings" w:eastAsia="Wingdings" w:cs="Wingdings"/>
                <w:sz w:val="18"/>
              </w:rPr>
              <w:t xml:space="preserve">x</w:t>
            </w:r>
          </w:p>
        </w:tc>
      </w:tr>
      <w:tr>
        <w:trPr>
          <w:trHeight w:hRule="exact" w:val="280"/>
        </w:trPr>
        <w:tc>
          <w:tcPr>
            <w:tcW w:type="dxa" w:w="2800"/>
            <w:tcMar>
              <w:left w:type="dxa" w:w="60"/>
              <w:right w:type="dxa" w:w="0"/>
            </w:tcMar>
            <w:tcBorders/>
            <w:vAlign w:val="bottom"/>
          </w:tcPr>
          <w:p>
            <w:pPr>
              <w:jc w:val="left"/>
              <w:keepLines/>
              <w:spacing w:before="40" w:after="40" w:line="240" w:lineRule="auto"/>
              <w:rPr/>
            </w:pPr>
            <w:r>
              <w:rPr/>
            </w:r>
          </w:p>
        </w:tc>
        <w:tc>
          <w:tcPr>
            <w:tcW w:type="dxa" w:w="4620"/>
            <w:tcMar>
              <w:left w:type="dxa" w:w="60"/>
              <w:right w:type="dxa" w:w="0"/>
            </w:tcMar>
            <w:tcBorders/>
            <w:vAlign w:val="top"/>
          </w:tcPr>
          <w:p>
            <w:pPr>
              <w:jc w:val="left"/>
              <w:keepLines/>
              <w:spacing w:before="40" w:after="40" w:line="240" w:lineRule="auto"/>
              <w:rPr/>
            </w:pPr>
            <w:r>
              <w:rPr/>
            </w:r>
          </w:p>
        </w:tc>
        <w:tc>
          <w:tcPr>
            <w:tcW w:type="dxa" w:w="28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Emerging growth company </w:t>
            </w:r>
            <w:r>
              <w:rPr>
                <w:rFonts w:ascii="Wingdings" w:hAnsi="Wingdings" w:eastAsia="Wingdings" w:cs="Wingdings"/>
                <w:sz w:val="18"/>
              </w:rPr>
              <w:t xml:space="preserve">o</w:t>
            </w:r>
          </w:p>
        </w:tc>
      </w:tr>
    </w:tbl>
    <w:p>
      <w:pPr>
        <w:jc w:val="left"/>
        <w:spacing w:before="180"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eastAsia="Wingdings" w:cs="Wingdings"/>
          <w:sz w:val="18"/>
        </w:rPr>
        <w:t xml:space="preserve">o</w:t>
      </w:r>
      <w:r>
        <w:rPr>
          <w:rFonts w:ascii="Times New Roman" w:hAnsi="Times New Roman" w:eastAsia="Times New Roman" w:cs="Times New Roman"/>
          <w:sz w:val="18"/>
        </w:rPr>
      </w:r>
    </w:p>
    <w:p>
      <w:pPr>
        <w:jc w:val="left"/>
        <w:spacing w:before="120"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is a shell company (as defined in Rule 12b-2 of the Exchange Act).  Yes  </w:t>
      </w:r>
      <w:r>
        <w:rPr>
          <w:rFonts w:ascii="Wingdings" w:hAnsi="Wingdings" w:eastAsia="Wingdings" w:cs="Wingdings"/>
          <w:sz w:val="18"/>
        </w:rPr>
        <w:t xml:space="preserve">o</w:t>
      </w:r>
      <w:r>
        <w:rPr>
          <w:rFonts w:ascii="Times New Roman" w:hAnsi="Times New Roman" w:eastAsia="Times New Roman" w:cs="Times New Roman"/>
          <w:sz w:val="18"/>
        </w:rPr>
        <w:t xml:space="preserve">   No  </w:t>
      </w:r>
      <w:r>
        <w:rPr>
          <w:rFonts w:ascii="Wingdings" w:hAnsi="Wingdings" w:eastAsia="Wingdings" w:cs="Wingdings"/>
          <w:sz w:val="18"/>
        </w:rPr>
        <w:t xml:space="preserve">x</w:t>
      </w:r>
    </w:p>
    <w:p>
      <w:pPr>
        <w:jc w:val="both"/>
        <w:spacing w:before="120"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As of </w:t>
      </w:r>
      <w:r>
        <w:rPr>
          <w:rFonts w:ascii="Times New Roman" w:hAnsi="Times New Roman" w:eastAsia="Times New Roman" w:cs="Times New Roman"/>
          <w:sz w:val="18"/>
        </w:rPr>
        <w:t xml:space="preserve">August 9, 2019</w:t>
      </w:r>
      <w:r>
        <w:rPr>
          <w:rFonts w:ascii="Times New Roman" w:hAnsi="Times New Roman" w:eastAsia="Times New Roman" w:cs="Times New Roman"/>
          <w:sz w:val="18"/>
        </w:rPr>
        <w:t xml:space="preserve">, there were </w:t>
      </w:r>
      <w:r>
        <w:rPr>
          <w:rFonts w:ascii="Times New Roman" w:hAnsi="Times New Roman" w:eastAsia="Times New Roman" w:cs="Times New Roman"/>
          <w:sz w:val="18"/>
        </w:rPr>
        <w:t xml:space="preserve">34,513,474</w:t>
      </w:r>
      <w:r>
        <w:rPr>
          <w:rFonts w:ascii="Times New Roman" w:hAnsi="Times New Roman" w:eastAsia="Times New Roman" w:cs="Times New Roman"/>
          <w:sz w:val="18"/>
        </w:rPr>
        <w:t xml:space="preserve"> shares of our common stock outstanding.</w:t>
      </w:r>
    </w:p>
    <w:p>
      <w:pPr>
        <w:sectPr>
          <w:pgNumType w:fmt="decimal" w:chapSep="period"/>
          <w:pgSz w:w="12240" w:h="15840"/>
          <w:pgMar w:top="860" w:left="1000" w:right="1000" w:bottom="860" w:footer="660" w:gutter="0" w:header="160"/>
          <w:headerReference r:id="rId1" w:type="default"/>
          <w:footerReference r:id="rId2" w:type="default"/>
        </w:sectPr>
      </w:pP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bookmarkStart w:id="10458" w:name="Table_of_Contents"/>
      <w:bookmarkEnd w:id="10458"/>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6930"/>
          <w:tab w:val="left" w:pos="7200"/>
          <w:tab w:val="left" w:pos="7920"/>
          <w:tab w:val="left" w:pos="8640"/>
          <w:tab w:val="left" w:pos="9360"/>
          <w:tab w:val="left" w:pos="10080"/>
          <w:tab w:val="left" w:pos="10800"/>
          <w:tab w:val="left" w:pos="11520"/>
        </w:tabs>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Quarterly Report on Form 10-Q for the period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Table of Contents</w:t>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9520"/>
        <w:gridCol w:w="720"/>
      </w:tblGrid>
      <w:tr>
        <w:trPr>
          <w:trHeight w:hRule="exact" w:val="300"/>
        </w:trPr>
        <w:tc>
          <w:tcPr>
            <w:tcW w:type="dxa" w:w="9520"/>
            <w:tcMar>
              <w:left w:type="dxa" w:w="60"/>
              <w:right w:type="dxa" w:w="0"/>
            </w:tcMar>
            <w:tcBorders/>
            <w:vAlign w:val="bottom"/>
          </w:tcPr>
          <w:p>
            <w:pPr>
              <w:jc w:val="left"/>
              <w:keepNext/>
              <w:keepLines/>
              <w:spacing w:before="40" w:after="40" w:line="240" w:lineRule="auto"/>
              <w:rPr/>
            </w:pPr>
            <w:r>
              <w:rPr/>
            </w:r>
          </w:p>
        </w:tc>
        <w:tc>
          <w:tcPr>
            <w:tcW w:type="dxa" w:w="7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Page</w:t>
            </w:r>
          </w:p>
        </w:tc>
      </w:tr>
      <w:tr>
        <w:trPr>
          <w:trHeight w:hRule="exact" w:val="280"/>
        </w:trPr>
        <w:tc>
          <w:tcPr>
            <w:tcW w:type="dxa" w:w="9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PART I. FINANCIAL INFORMATION</w:t>
            </w:r>
          </w:p>
        </w:tc>
        <w:tc>
          <w:tcPr>
            <w:tcW w:type="dxa" w:w="72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1_____Financial_Statements">
              <w:r>
                <w:rPr>
                  <w:rFonts w:ascii="Times New Roman" w:hAnsi="Times New Roman" w:eastAsia="Times New Roman" w:cs="Times New Roman"/>
                  <w:sz w:val="20"/>
                  <w:color w:val="0000ff"/>
                  <w:u w:val="single" w:color="0000ff"/>
                </w:rPr>
                <w:t xml:space="preserve">Item 1.     Financial Statements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Item_1_____Financial_Statements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1</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Consolidated_Balance_Sheets">
              <w:r>
                <w:rPr>
                  <w:rFonts w:ascii="Times New Roman" w:hAnsi="Times New Roman" w:eastAsia="Times New Roman" w:cs="Times New Roman"/>
                  <w:sz w:val="20"/>
                  <w:color w:val="0000ff"/>
                  <w:u w:val="single" w:color="0000ff"/>
                </w:rPr>
                <w:t xml:space="preserve">Unaudited Consolidated Balance Sheets as of June 30, 2019 and December 31, 2018</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Consolidated_Balance_Sheets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1</w:t>
            </w:r>
            <w:r>
              <w:rPr>
                <w:rFonts w:ascii="Times New Roman" w:hAnsi="Times New Roman" w:eastAsia="Times New Roman" w:cs="Times New Roman"/>
                <w:sz w:val="20"/>
                <w:color w:val="0000ff"/>
                <w:u w:val="single" w:color="0000ff"/>
              </w:rPr>
              <w:fldChar w:fldCharType="end"/>
            </w:r>
          </w:p>
        </w:tc>
      </w:tr>
      <w:tr>
        <w:trPr>
          <w:trHeight w:hRule="exact" w:val="50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Consolidated_Statements_of_Operations">
              <w:r>
                <w:rPr>
                  <w:rFonts w:ascii="Times New Roman" w:hAnsi="Times New Roman" w:eastAsia="Times New Roman" w:cs="Times New Roman"/>
                  <w:sz w:val="20"/>
                  <w:color w:val="0000ff"/>
                  <w:u w:val="single" w:color="0000ff"/>
                </w:rPr>
                <w:t xml:space="preserve">Unaudited Consolidated Statements of Operations for the three and six months ended June 30, 2019 and 2018</w:t>
              </w:r>
            </w:hyperlink>
          </w:p>
        </w:tc>
        <w:tc>
          <w:tcPr>
            <w:tcW w:type="dxa" w:w="7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Consolidated_Statements_of_Operations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2</w:t>
            </w:r>
            <w:r>
              <w:rPr>
                <w:rFonts w:ascii="Times New Roman" w:hAnsi="Times New Roman" w:eastAsia="Times New Roman" w:cs="Times New Roman"/>
                <w:sz w:val="20"/>
                <w:color w:val="0000ff"/>
                <w:u w:val="single" w:color="0000ff"/>
              </w:rPr>
              <w:fldChar w:fldCharType="end"/>
            </w:r>
          </w:p>
        </w:tc>
      </w:tr>
      <w:tr>
        <w:trPr>
          <w:trHeight w:hRule="exact" w:val="50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Consolidated_Statement_of_Stockholders__">
              <w:r>
                <w:rPr>
                  <w:rFonts w:ascii="Times New Roman" w:hAnsi="Times New Roman" w:eastAsia="Times New Roman" w:cs="Times New Roman"/>
                  <w:sz w:val="20"/>
                  <w:color w:val="0000ff"/>
                  <w:u w:val="single" w:color="0000ff"/>
                </w:rPr>
                <w:t xml:space="preserve">Unaudited Consolidated Statements of Stockholders’ Equity for the three and six months ended June 30, 2019 and 2018</w:t>
              </w:r>
            </w:hyperlink>
          </w:p>
        </w:tc>
        <w:tc>
          <w:tcPr>
            <w:tcW w:type="dxa" w:w="7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Consolidated_Statement_of_Stockholders__</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3</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Consolidated_Statements_of_Cash_Flows">
              <w:r>
                <w:rPr>
                  <w:rFonts w:ascii="Times New Roman" w:hAnsi="Times New Roman" w:eastAsia="Times New Roman" w:cs="Times New Roman"/>
                  <w:sz w:val="20"/>
                  <w:color w:val="0000ff"/>
                  <w:u w:val="single" w:color="0000ff"/>
                </w:rPr>
                <w:t xml:space="preserve">Unaudited Consolidated Statements of Cash Flows for the six months ended June 30, 2019 and 2018</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Consolidated_Statements_of_Cash_Flows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Notes_to_the_Consolidated_Financial_Stat">
              <w:r>
                <w:rPr>
                  <w:rFonts w:ascii="Times New Roman" w:hAnsi="Times New Roman" w:eastAsia="Times New Roman" w:cs="Times New Roman"/>
                  <w:sz w:val="20"/>
                  <w:color w:val="0000ff"/>
                  <w:u w:val="single" w:color="0000ff"/>
                </w:rPr>
                <w:t xml:space="preserve">Notes to the Unaudited Consolidated Financial Statements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Notes_to_the_Consolidated_Financial_Stat</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2____Management_s_Discussion_and_An">
              <w:r>
                <w:rPr>
                  <w:rFonts w:ascii="Times New Roman" w:hAnsi="Times New Roman" w:eastAsia="Times New Roman" w:cs="Times New Roman"/>
                  <w:sz w:val="20"/>
                  <w:color w:val="0000ff"/>
                  <w:u w:val="single" w:color="0000ff"/>
                </w:rPr>
                <w:t xml:space="preserve">Item 2.     Management’s Discussion and Analysis of Financial Condition and Results of Operations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Item_2____Management_s_Discussion_and_An</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25</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3__Quantitive_and_Qualitatve_Disclo">
              <w:r>
                <w:rPr>
                  <w:rFonts w:ascii="Times New Roman" w:hAnsi="Times New Roman" w:eastAsia="Times New Roman" w:cs="Times New Roman"/>
                  <w:sz w:val="20"/>
                  <w:color w:val="0000ff"/>
                  <w:u w:val="single" w:color="0000ff"/>
                </w:rPr>
                <w:t xml:space="preserve">Item 3.     Quantitative and Qualitative Disclosures About Market Risk</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Item_3__Quantitive_and_Qualitatve_Disclo</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41</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4__Controls_and_Procedures">
              <w:r>
                <w:rPr>
                  <w:rFonts w:ascii="Times New Roman" w:hAnsi="Times New Roman" w:eastAsia="Times New Roman" w:cs="Times New Roman"/>
                  <w:sz w:val="20"/>
                  <w:color w:val="0000ff"/>
                  <w:u w:val="single" w:color="0000ff"/>
                </w:rPr>
                <w:t xml:space="preserve">Item 4.     Controls and Procedures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Item_4__Controls_and_Procedures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42</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60"/>
              <w:right w:type="dxa" w:w="0"/>
            </w:tcMar>
            <w:tcBorders/>
            <w:vAlign w:val="bottom"/>
          </w:tcPr>
          <w:p>
            <w:pPr>
              <w:jc w:val="left"/>
              <w:keepNext/>
              <w:keepLines/>
              <w:spacing w:before="40" w:after="40" w:line="240" w:lineRule="auto"/>
              <w:rPr/>
            </w:pPr>
            <w:r>
              <w:rPr/>
            </w:r>
          </w:p>
        </w:tc>
        <w:tc>
          <w:tcPr>
            <w:tcW w:type="dxa" w:w="72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PART II. OTHER INFORMATION</w:t>
            </w:r>
          </w:p>
        </w:tc>
        <w:tc>
          <w:tcPr>
            <w:tcW w:type="dxa" w:w="72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1____Legal_Proceedings">
              <w:r>
                <w:rPr>
                  <w:rFonts w:ascii="Times New Roman" w:hAnsi="Times New Roman" w:eastAsia="Times New Roman" w:cs="Times New Roman"/>
                  <w:sz w:val="20"/>
                  <w:color w:val="0000ff"/>
                  <w:u w:val="single" w:color="0000ff"/>
                </w:rPr>
                <w:t xml:space="preserve">Item 1.     Legal Proceedings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Item_1____Legal_Proceedings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1A__Risk_Factors">
              <w:r>
                <w:rPr>
                  <w:rFonts w:ascii="Times New Roman" w:hAnsi="Times New Roman" w:eastAsia="Times New Roman" w:cs="Times New Roman"/>
                  <w:sz w:val="20"/>
                  <w:color w:val="0000ff"/>
                  <w:u w:val="single" w:color="0000ff"/>
                </w:rPr>
                <w:t xml:space="preserve">Item 1A.  Risk Factors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Item_1A__Risk_Factors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2____Unregisterd_Sales_of_Equity_Se">
              <w:r>
                <w:rPr>
                  <w:rFonts w:ascii="Times New Roman" w:hAnsi="Times New Roman" w:eastAsia="Times New Roman" w:cs="Times New Roman"/>
                  <w:sz w:val="20"/>
                  <w:color w:val="0000ff"/>
                  <w:u w:val="single" w:color="0000ff"/>
                </w:rPr>
                <w:t xml:space="preserve">Item 2.     Unregistered Sales of Equity Securities and Use of Proceeds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Item_2____Unregisterd_Sales_of_Equity_Se</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47</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3____Defaults_Upon_Senior_Securitie">
              <w:r>
                <w:rPr>
                  <w:rFonts w:ascii="Times New Roman" w:hAnsi="Times New Roman" w:eastAsia="Times New Roman" w:cs="Times New Roman"/>
                  <w:sz w:val="20"/>
                  <w:color w:val="0000ff"/>
                  <w:u w:val="single" w:color="0000ff"/>
                </w:rPr>
                <w:t xml:space="preserve">Item 3.     Defaults Upon Senior Securities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Item_3____Defaults_Upon_Senior_Securitie</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47</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4____Mine_Safety_Disclosures">
              <w:r>
                <w:rPr>
                  <w:rFonts w:ascii="Times New Roman" w:hAnsi="Times New Roman" w:eastAsia="Times New Roman" w:cs="Times New Roman"/>
                  <w:sz w:val="20"/>
                  <w:color w:val="0000ff"/>
                  <w:u w:val="single" w:color="0000ff"/>
                </w:rPr>
                <w:t xml:space="preserve">Item 4.     Mine Safety Disclosures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Item_4____Mine_Safety_Disclosures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47</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5___Other_Information">
              <w:r>
                <w:rPr>
                  <w:rFonts w:ascii="Times New Roman" w:hAnsi="Times New Roman" w:eastAsia="Times New Roman" w:cs="Times New Roman"/>
                  <w:sz w:val="20"/>
                  <w:color w:val="0000ff"/>
                  <w:u w:val="single" w:color="0000ff"/>
                </w:rPr>
                <w:t xml:space="preserve">Item 5.     Other Information</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Item_5___Other_Information</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47</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6___Exhibits">
              <w:r>
                <w:rPr>
                  <w:rFonts w:ascii="Times New Roman" w:hAnsi="Times New Roman" w:eastAsia="Times New Roman" w:cs="Times New Roman"/>
                  <w:sz w:val="20"/>
                  <w:color w:val="0000ff"/>
                  <w:u w:val="single" w:color="0000ff"/>
                </w:rPr>
                <w:t xml:space="preserve">Item 6.     Exhibits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Item_6___Exhibits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48</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60"/>
              <w:right w:type="dxa" w:w="0"/>
            </w:tcMar>
            <w:tcBorders/>
            <w:vAlign w:val="bottom"/>
          </w:tcPr>
          <w:p>
            <w:pPr>
              <w:jc w:val="left"/>
              <w:keepNext/>
              <w:keepLines/>
              <w:spacing w:before="40" w:after="40" w:line="240" w:lineRule="auto"/>
              <w:rPr/>
            </w:pPr>
            <w:r>
              <w:rPr/>
            </w:r>
          </w:p>
        </w:tc>
        <w:tc>
          <w:tcPr>
            <w:tcW w:type="dxa" w:w="72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hyperlink w:anchor="Signatures">
              <w:r>
                <w:rPr>
                  <w:rFonts w:ascii="Times New Roman" w:hAnsi="Times New Roman" w:eastAsia="Times New Roman" w:cs="Times New Roman"/>
                  <w:sz w:val="20"/>
                  <w:color w:val="0000ff"/>
                  <w:u w:val="single" w:color="0000ff"/>
                </w:rPr>
                <w:t xml:space="preserve">Signatures</w:t>
              </w:r>
            </w:hyperlink>
          </w:p>
        </w:tc>
        <w:tc>
          <w:tcPr>
            <w:tcW w:type="dxa" w:w="720"/>
            <w:tcMar>
              <w:left w:type="dxa" w:w="60"/>
              <w:right w:type="dxa" w:w="60"/>
            </w:tcMar>
            <w:tcBorders/>
            <w:vAlign w:val="bottom"/>
          </w:tcPr>
          <w:p>
            <w:pPr>
              <w:jc w:val="center"/>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Signatures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49</w:t>
            </w:r>
            <w:r>
              <w:rPr>
                <w:rFonts w:ascii="Times New Roman" w:hAnsi="Times New Roman" w:eastAsia="Times New Roman" w:cs="Times New Roman"/>
                <w:sz w:val="20"/>
                <w:color w:val="0000ff"/>
                <w:u w:val="single" w:color="0000ff"/>
              </w:rPr>
              <w:fldChar w:fldCharType="end"/>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start="1" w:fmt="lowerRoman" w:chapSep="period"/>
          <w:pgSz w:w="12240" w:h="15840"/>
          <w:pgMar w:top="860" w:left="1000" w:right="1000" w:bottom="860" w:footer="460" w:gutter="0" w:header="160"/>
          <w:headerReference r:id="rId1" w:type="default"/>
          <w:footerReference r:id="rId3" w:type="default"/>
        </w:sectPr>
      </w:pP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PART I  - FINANCIAL INFORMATION</w:t>
      </w:r>
      <w:bookmarkStart w:id="6562" w:name="PART_I__Financial_information"/>
      <w:bookmarkEnd w:id="6562"/>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sectPr>
          <w:pgNumType w:start="1" w:fmt="decimal" w:chapSep="period"/>
          <w:pgSz w:w="12240" w:h="15840"/>
          <w:pgMar w:top="860" w:left="1000" w:right="1000" w:bottom="860" w:footer="460" w:gutter="0" w:header="160"/>
          <w:headerReference r:id="rId1" w:type="default"/>
          <w:footerReference r:id="rId4"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1 - FINANCIAL STATEMENTS</w:t>
      </w:r>
      <w:bookmarkStart w:id="56675" w:name="Item_1_____Financial_Statements"/>
      <w:bookmarkEnd w:id="56675"/>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18242" w:name="Consolidated_Balance_Sheets"/>
      <w:bookmarkEnd w:id="18242"/>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Unaudited Consolidated Balance Sheets</w:t>
      </w:r>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7080"/>
        <w:gridCol w:w="110"/>
        <w:gridCol w:w="1353"/>
        <w:gridCol w:w="77"/>
        <w:gridCol w:w="80"/>
        <w:gridCol w:w="110"/>
        <w:gridCol w:w="1353"/>
        <w:gridCol w:w="77"/>
      </w:tblGrid>
      <w:tr>
        <w:trPr>
          <w:trHeight w:hRule="exact" w:val="260"/>
        </w:trPr>
        <w:tc>
          <w:tcPr>
            <w:tcW w:type="dxa" w:w="70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top"/>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bottom w:val="single" w:sz="8"/>
            </w:tcBorders>
            <w:hMerge w:val="continue"/>
          </w:tcPr>
          <w:p/>
        </w:tc>
        <w:tc>
          <w:tcPr>
            <w:tcW w:type="dxa" w:w="80"/>
            <w:tcMar>
              <w:left w:type="dxa" w:w="60"/>
              <w:right w:type="dxa" w:w="0"/>
            </w:tcMar>
            <w:tcBorders/>
            <w:vAlign w:val="top"/>
          </w:tcPr>
          <w:p>
            <w:pPr>
              <w:jc w:val="left"/>
              <w:keepNext/>
              <w:keepLines/>
              <w:spacing w:before="40" w:after="40" w:line="240" w:lineRule="auto"/>
              <w:rPr/>
            </w:pPr>
            <w:r>
              <w:rPr/>
            </w:r>
          </w:p>
        </w:tc>
        <w:tc>
          <w:tcPr>
            <w:tcW w:type="dxa" w:w="0"/>
            <w:tcMar>
              <w:left w:type="dxa" w:w="60"/>
              <w:right w:type="dxa" w:w="60"/>
            </w:tcMar>
            <w:tcBorders>
              <w:bottom w:val="single" w:sz="8"/>
            </w:tcBorders>
            <w:vAlign w:val="top"/>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0"/>
              <w:right w:type="dxa" w:w="60"/>
            </w:tcMar>
            <w:tcBorders>
              <w:bottom w:val="single" w:sz="8"/>
            </w:tcBorders>
            <w:hMerge w:val="continue"/>
          </w:tcPr>
          <w:p/>
        </w:tc>
      </w:tr>
      <w:tr>
        <w:trPr>
          <w:trHeight w:hRule="exact" w:val="280"/>
        </w:trPr>
        <w:tc>
          <w:tcPr>
            <w:tcW w:type="dxa" w:w="70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Assets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assets: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and cash equivalents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9,325,192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1,968,403</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receivable, net</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4,185,416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4,185,416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7,071,815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7,071,815</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Prepaid expenses</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593,778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593,778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527,968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527,968</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current assets</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130,614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130,614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39,203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39,203</w:t>
            </w:r>
          </w:p>
        </w:tc>
        <w:tc>
          <w:tcPr>
            <w:tcW w:type="dxa" w:w="77"/>
            <w:tcMar>
              <w:left w:type="dxa" w:w="0"/>
              <w:right w:type="dxa" w:w="0"/>
            </w:tcMar>
            <w:tcBorders/>
          </w:tcPr>
          <w:p/>
        </w:tc>
      </w:tr>
      <w:tr>
        <w:trPr>
          <w:trHeight w:hRule="exact" w:val="280"/>
        </w:trPr>
        <w:tc>
          <w:tcPr>
            <w:tcW w:type="dxa" w:w="708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current assets</w:t>
            </w:r>
          </w:p>
        </w:tc>
        <w:tc>
          <w:tcPr>
            <w:tcW w:type="dxa" w:w="146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14,235,000</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14,235,000</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9,607,389</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9,607,389</w:t>
            </w:r>
          </w:p>
        </w:tc>
        <w:tc>
          <w:tcPr>
            <w:tcW w:type="dxa" w:w="77"/>
            <w:tcMar>
              <w:left w:type="dxa" w:w="0"/>
              <w:right w:type="dxa" w:w="0"/>
            </w:tcMar>
            <w:tcBorders>
              <w:top w:val="single" w:sz="8" w:space="0"/>
              <w:bottom w:val="single" w:sz="8"/>
            </w:tcBorders>
          </w:tcPr>
          <w:p/>
        </w:tc>
      </w:tr>
      <w:tr>
        <w:trPr>
          <w:trHeight w:hRule="exact" w:val="200"/>
        </w:trPr>
        <w:tc>
          <w:tcPr>
            <w:tcW w:type="dxa" w:w="7080"/>
            <w:tcMar>
              <w:left w:type="dxa" w:w="18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Property and equipment, net</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176,468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176,468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272,239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272,239</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Right-of-use asset</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272,153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272,153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Goodwill</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Intangible assets, net</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2,504,135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2,504,135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3,149,949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3,149,949</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 net</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1,716,130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1,716,130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1,428,604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1,428,604</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Security deposits</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140,281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140,281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143,174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143,174</w:t>
            </w:r>
          </w:p>
        </w:tc>
        <w:tc>
          <w:tcPr>
            <w:tcW w:type="dxa" w:w="77"/>
            <w:tcMar>
              <w:left w:type="dxa" w:w="0"/>
              <w:right w:type="dxa" w:w="0"/>
            </w:tcMar>
            <w:tcBorders/>
          </w:tcPr>
          <w:p/>
        </w:tc>
      </w:tr>
      <w:tr>
        <w:trPr>
          <w:trHeight w:hRule="exact" w:val="280"/>
        </w:trPr>
        <w:tc>
          <w:tcPr>
            <w:tcW w:type="dxa" w:w="7080"/>
            <w:tcMar>
              <w:left w:type="dxa" w:w="9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assets</w:t>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5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27,360,889</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5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22,918,077</w:t>
            </w:r>
          </w:p>
        </w:tc>
        <w:tc>
          <w:tcPr>
            <w:tcW w:type="dxa" w:w="77"/>
            <w:tcMar>
              <w:left w:type="dxa" w:w="0"/>
              <w:right w:type="dxa" w:w="0"/>
            </w:tcMar>
            <w:tcBorders>
              <w:top w:val="single" w:sz="8" w:space="0"/>
              <w:bottom w:val="double" w:sz="4"/>
            </w:tcBorders>
          </w:tcPr>
          <w:p/>
        </w:tc>
      </w:tr>
      <w:tr>
        <w:trPr>
          <w:trHeight w:hRule="exact" w:val="160"/>
        </w:trPr>
        <w:tc>
          <w:tcPr>
            <w:tcW w:type="dxa" w:w="708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0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Liabilities and Stockholders’ Equity</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liabilities: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payable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1,738,596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2,618,103</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Accrued expenses</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1,470,364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1,470,364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1,968,589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1,968,589</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Contract liabilities</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5,834,277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5,834,277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4,957,869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4,957,869</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Line of credit</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279,945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279,945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1,526,288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1,526,288</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Right-of-use liability</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246,725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246,725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Deferred rent</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17,420</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Acquisition costs payable</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3,857,402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3,857,402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4,611,493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4,611,493</w:t>
            </w:r>
          </w:p>
        </w:tc>
        <w:tc>
          <w:tcPr>
            <w:tcW w:type="dxa" w:w="77"/>
            <w:tcMar>
              <w:left w:type="dxa" w:w="0"/>
              <w:right w:type="dxa" w:w="0"/>
            </w:tcMar>
            <w:tcBorders/>
          </w:tcPr>
          <w:p/>
        </w:tc>
      </w:tr>
      <w:tr>
        <w:trPr>
          <w:trHeight w:hRule="exact" w:val="280"/>
        </w:trPr>
        <w:tc>
          <w:tcPr>
            <w:tcW w:type="dxa" w:w="708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current liabilities</w:t>
            </w:r>
          </w:p>
        </w:tc>
        <w:tc>
          <w:tcPr>
            <w:tcW w:type="dxa" w:w="146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13,427,309</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13,427,309</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15,699,762</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15,699,762</w:t>
            </w:r>
          </w:p>
        </w:tc>
        <w:tc>
          <w:tcPr>
            <w:tcW w:type="dxa" w:w="77"/>
            <w:tcMar>
              <w:left w:type="dxa" w:w="0"/>
              <w:right w:type="dxa" w:w="0"/>
            </w:tcMar>
            <w:tcBorders>
              <w:top w:val="single" w:sz="8" w:space="0"/>
              <w:bottom w:val="single" w:sz="8"/>
            </w:tcBorders>
          </w:tcPr>
          <w:p/>
        </w:tc>
      </w:tr>
      <w:tr>
        <w:trPr>
          <w:trHeight w:hRule="exact" w:val="200"/>
        </w:trPr>
        <w:tc>
          <w:tcPr>
            <w:tcW w:type="dxa" w:w="70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Commitments and Contingencies (Note 6)</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00"/>
        </w:trPr>
        <w:tc>
          <w:tcPr>
            <w:tcW w:type="dxa" w:w="70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Stockholders’ equity:</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50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Preferred stock; $.0001 par value; 10,000,000 shares authorized; no shares issued and outstanding</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50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stock; $.0001 par value; 200,000,000 shares authorized; 27,088,213 and 12,075,708, respectively, issued and outstanding</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2,709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1,208</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Additional paid-in capital</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70,848,486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70,848,486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60,311,756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60,311,756</w:t>
            </w:r>
          </w:p>
        </w:tc>
        <w:tc>
          <w:tcPr>
            <w:tcW w:type="dxa" w:w="77"/>
            <w:tcMar>
              <w:left w:type="dxa" w:w="0"/>
              <w:right w:type="dxa" w:w="0"/>
            </w:tcMar>
            <w:tcBorders/>
          </w:tcPr>
          <w:p/>
        </w:tc>
      </w:tr>
      <w:tr>
        <w:trPr>
          <w:trHeight w:hRule="exact" w:val="280"/>
        </w:trPr>
        <w:tc>
          <w:tcPr>
            <w:tcW w:type="dxa" w:w="70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deficit</w:t>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(56,917,615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(56,917,615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(53,094,649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(53,094,649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708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stockholders’ equity</w:t>
            </w:r>
          </w:p>
        </w:tc>
        <w:tc>
          <w:tcPr>
            <w:tcW w:type="dxa" w:w="146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13,933,580</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13,933,580</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6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7,218,315</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7,218,315</w:t>
            </w:r>
          </w:p>
        </w:tc>
        <w:tc>
          <w:tcPr>
            <w:tcW w:type="dxa" w:w="77"/>
            <w:tcMar>
              <w:left w:type="dxa" w:w="0"/>
              <w:right w:type="dxa" w:w="0"/>
            </w:tcMar>
            <w:tcBorders>
              <w:top w:val="single" w:sz="8" w:space="0"/>
              <w:bottom w:val="single" w:sz="8"/>
            </w:tcBorders>
          </w:tcPr>
          <w:p/>
        </w:tc>
      </w:tr>
      <w:tr>
        <w:trPr>
          <w:trHeight w:hRule="exact" w:val="280"/>
        </w:trPr>
        <w:tc>
          <w:tcPr>
            <w:tcW w:type="dxa" w:w="7080"/>
            <w:tcMar>
              <w:left w:type="dxa" w:w="78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liabilities and stockholders’ equity</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5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27,360,889</w:t>
            </w:r>
          </w:p>
        </w:tc>
        <w:tc>
          <w:tcPr>
            <w:tcW w:type="dxa" w:w="77"/>
            <w:tcMar>
              <w:left w:type="dxa" w:w="0"/>
              <w:right w:type="dxa" w:w="0"/>
            </w:tcMar>
            <w:tcBorders>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5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22,918,077</w:t>
            </w:r>
          </w:p>
        </w:tc>
        <w:tc>
          <w:tcPr>
            <w:tcW w:type="dxa" w:w="77"/>
            <w:tcMar>
              <w:left w:type="dxa" w:w="0"/>
              <w:right w:type="dxa" w:w="0"/>
            </w:tcMar>
            <w:tcBorders>
              <w:bottom w:val="double" w:sz="4"/>
            </w:tcBorders>
          </w:tcPr>
          <w:p/>
        </w:tc>
      </w:tr>
    </w:tbl>
    <w:p>
      <w:pPr>
        <w:jc w:val="center"/>
        <w:spacing w:before="6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5317" w:name="Consolidated_Statements_of_Operations"/>
      <w:bookmarkEnd w:id="5317"/>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Unaudited Consolidated Statements of Operations</w:t>
      </w:r>
    </w:p>
    <w:tbl>
      <w:tblPr>
        <w:tblW w:type="dxa" w:w="10240"/>
        <w:tblLayout w:type="fixed"/>
        <w:jc w:val="center"/>
      </w:tblPr>
      <w:tblGrid>
        <w:gridCol w:w="4820"/>
        <w:gridCol w:w="110"/>
        <w:gridCol w:w="1113"/>
        <w:gridCol w:w="77"/>
        <w:gridCol w:w="80"/>
        <w:gridCol w:w="110"/>
        <w:gridCol w:w="1093"/>
        <w:gridCol w:w="77"/>
        <w:gridCol w:w="80"/>
        <w:gridCol w:w="110"/>
        <w:gridCol w:w="1113"/>
        <w:gridCol w:w="77"/>
        <w:gridCol w:w="80"/>
        <w:gridCol w:w="110"/>
        <w:gridCol w:w="1113"/>
        <w:gridCol w:w="77"/>
      </w:tblGrid>
      <w:tr>
        <w:trPr>
          <w:trHeight w:hRule="exact" w:val="300"/>
        </w:trPr>
        <w:tc>
          <w:tcPr>
            <w:tcW w:type="dxa" w:w="482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482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3,923,864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4,120,960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8,717,620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8,017,401</w:t>
            </w:r>
          </w:p>
        </w:tc>
        <w:tc>
          <w:tcPr>
            <w:tcW w:type="dxa" w:w="77"/>
            <w:tcMar>
              <w:left w:type="dxa" w:w="0"/>
              <w:right w:type="dxa" w:w="0"/>
            </w:tcMar>
            <w:tcBorders/>
          </w:tcPr>
          <w:p/>
        </w:tc>
      </w:tr>
      <w:tr>
        <w:trPr>
          <w:trHeight w:hRule="exact" w:val="160"/>
        </w:trPr>
        <w:tc>
          <w:tcPr>
            <w:tcW w:type="dxa" w:w="482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Costs and expenses: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 of revenue (exclusive of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1,817,659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1,817,659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1,930,298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1,930,298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3,916,950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3,916,950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4,093,440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4,093,440</w:t>
            </w:r>
          </w:p>
        </w:tc>
        <w:tc>
          <w:tcPr>
            <w:tcW w:type="dxa" w:w="77"/>
            <w:tcMar>
              <w:left w:type="dxa" w:w="0"/>
              <w:right w:type="dxa" w:w="0"/>
            </w:tcMar>
            <w:tcBorders/>
          </w:tcP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Sales and marketing</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1,362,242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1,362,242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1,735,596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1,735,596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2,719,909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2,719,909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3,491,122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3,491,122</w:t>
            </w:r>
          </w:p>
        </w:tc>
        <w:tc>
          <w:tcPr>
            <w:tcW w:type="dxa" w:w="77"/>
            <w:tcMar>
              <w:left w:type="dxa" w:w="0"/>
              <w:right w:type="dxa" w:w="0"/>
            </w:tcMar>
            <w:tcBorders/>
          </w:tcP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General and administrative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2,232,305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2,232,305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1,970,610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1,970,610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4,844,359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4,844,359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3,585,832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3,585,832</w:t>
            </w:r>
          </w:p>
        </w:tc>
        <w:tc>
          <w:tcPr>
            <w:tcW w:type="dxa" w:w="77"/>
            <w:tcMar>
              <w:left w:type="dxa" w:w="0"/>
              <w:right w:type="dxa" w:w="0"/>
            </w:tcMar>
            <w:tcBorders/>
          </w:tcP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448,105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448,105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210,691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210,691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884,329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884,329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476,146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476,146</w:t>
            </w:r>
          </w:p>
        </w:tc>
        <w:tc>
          <w:tcPr>
            <w:tcW w:type="dxa" w:w="77"/>
            <w:tcMar>
              <w:left w:type="dxa" w:w="0"/>
              <w:right w:type="dxa" w:w="0"/>
            </w:tcMar>
            <w:tcBorders/>
          </w:tcPr>
          <w:p/>
        </w:tc>
      </w:tr>
      <w:tr>
        <w:trPr>
          <w:trHeight w:hRule="exact" w:val="300"/>
        </w:trPr>
        <w:tc>
          <w:tcPr>
            <w:tcW w:type="dxa" w:w="482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costs and expenses</w:t>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5,860,311</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5,860,311</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5,847,195</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5,847,195</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12,365,547</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12,365,547</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11,646,540</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11,646,540</w:t>
            </w:r>
          </w:p>
        </w:tc>
        <w:tc>
          <w:tcPr>
            <w:tcW w:type="dxa" w:w="77"/>
            <w:tcMar>
              <w:left w:type="dxa" w:w="0"/>
              <w:right w:type="dxa" w:w="0"/>
            </w:tcMar>
            <w:tcBorders>
              <w:top w:val="single" w:sz="8" w:space="0"/>
              <w:bottom w:val="single" w:sz="8"/>
            </w:tcBorders>
          </w:tcPr>
          <w:p/>
        </w:tc>
      </w:tr>
      <w:tr>
        <w:trPr>
          <w:trHeight w:hRule="exact" w:val="160"/>
        </w:trPr>
        <w:tc>
          <w:tcPr>
            <w:tcW w:type="dxa" w:w="482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Loss from operations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(1,936,447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(1,936,447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(1,726,235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(1,726,235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(3,647,927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(3,647,927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(3,629,139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(3,629,139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160"/>
        </w:trPr>
        <w:tc>
          <w:tcPr>
            <w:tcW w:type="dxa" w:w="482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Other (expense) income: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(86,737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(86,737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(35,403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(35,403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(215,201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(215,201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(56,714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(56,714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113,801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113,801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30,798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40,162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40,162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4,772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4,772</w:t>
            </w:r>
          </w:p>
        </w:tc>
        <w:tc>
          <w:tcPr>
            <w:tcW w:type="dxa" w:w="77"/>
            <w:tcMar>
              <w:left w:type="dxa" w:w="0"/>
              <w:right w:type="dxa" w:w="0"/>
            </w:tcMar>
            <w:tcBorders/>
          </w:tcPr>
          <w:p/>
        </w:tc>
      </w:tr>
      <w:tr>
        <w:trPr>
          <w:trHeight w:hRule="exact" w:val="300"/>
        </w:trPr>
        <w:tc>
          <w:tcPr>
            <w:tcW w:type="dxa" w:w="482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other (expense) income, net</w:t>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(55,939</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(55,939</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78,480</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78,480</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(175,039</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(175,039</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(63,736</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(63,736</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160"/>
        </w:trPr>
        <w:tc>
          <w:tcPr>
            <w:tcW w:type="dxa" w:w="482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Net loss</w:t>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(1,992,386</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(1,647,755</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(3,822,966</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(3,692,875</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160"/>
        </w:trPr>
        <w:tc>
          <w:tcPr>
            <w:tcW w:type="dxa" w:w="482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50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common shares outstanding – basic and diluted</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22,277,677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22,277,677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5,837,476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5,837,476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17,466,784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17,466,784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5,819,883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5,819,883</w:t>
            </w:r>
          </w:p>
        </w:tc>
        <w:tc>
          <w:tcPr>
            <w:tcW w:type="dxa" w:w="77"/>
            <w:tcMar>
              <w:left w:type="dxa" w:w="0"/>
              <w:right w:type="dxa" w:w="0"/>
            </w:tcMar>
            <w:tcBorders/>
          </w:tcPr>
          <w:p/>
        </w:tc>
      </w:tr>
      <w:tr>
        <w:trPr>
          <w:trHeight w:hRule="exact" w:val="300"/>
        </w:trPr>
        <w:tc>
          <w:tcPr>
            <w:tcW w:type="dxa" w:w="48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Basic and diluted loss per common share</w:t>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(0.09</w:t>
            </w:r>
          </w:p>
        </w:tc>
        <w:tc>
          <w:tcPr>
            <w:tcW w:type="dxa" w:w="77"/>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(0.28</w:t>
            </w:r>
          </w:p>
        </w:tc>
        <w:tc>
          <w:tcPr>
            <w:tcW w:type="dxa" w:w="77"/>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(0.22</w:t>
            </w:r>
          </w:p>
        </w:tc>
        <w:tc>
          <w:tcPr>
            <w:tcW w:type="dxa" w:w="77"/>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(0.63</w:t>
            </w:r>
          </w:p>
        </w:tc>
        <w:tc>
          <w:tcPr>
            <w:tcW w:type="dxa" w:w="77"/>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pgSz w:w="12240" w:h="15840"/>
          <w:pgMar w:top="860" w:left="1000" w:right="1000" w:bottom="860" w:footer="460" w:gutter="0" w:header="160"/>
          <w:headerReference r:id="rId1" w:type="default"/>
          <w:footerReference r:id="rId7" w:type="default"/>
        </w:sectPr>
      </w:pP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61129" w:name="Consolidated_Statement_of_Stockholders__"/>
      <w:bookmarkEnd w:id="61129"/>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Unaudited Consolidated Statements of Stockholders’ Equity</w:t>
      </w:r>
    </w:p>
    <w:p>
      <w:pPr>
        <w:jc w:val="center"/>
        <w:spacing w:after="26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center"/>
      </w:tblPr>
      <w:tblGrid>
        <w:gridCol w:w="4000"/>
        <w:gridCol w:w="80"/>
        <w:gridCol w:w="1083"/>
        <w:gridCol w:w="77"/>
        <w:gridCol w:w="80"/>
        <w:gridCol w:w="110"/>
        <w:gridCol w:w="813"/>
        <w:gridCol w:w="77"/>
        <w:gridCol w:w="80"/>
        <w:gridCol w:w="110"/>
        <w:gridCol w:w="1013"/>
        <w:gridCol w:w="77"/>
        <w:gridCol w:w="80"/>
        <w:gridCol w:w="110"/>
        <w:gridCol w:w="1133"/>
        <w:gridCol w:w="77"/>
        <w:gridCol w:w="80"/>
        <w:gridCol w:w="110"/>
        <w:gridCol w:w="973"/>
        <w:gridCol w:w="77"/>
      </w:tblGrid>
      <w:tr>
        <w:trPr>
          <w:trHeight w:hRule="exact" w:val="280"/>
        </w:trPr>
        <w:tc>
          <w:tcPr>
            <w:tcW w:type="dxa" w:w="400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976"/>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Common Stock</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Additional Paid-In Capital</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Additional Paid-In Capital</w:t>
            </w:r>
          </w:p>
        </w:tc>
        <w:tc>
          <w:tcPr>
            <w:tcMar>
              <w:left w:type="dxa" w:w="0"/>
              <w:right w:type="dxa" w:w="60"/>
            </w:tcMar>
            <w:vMerge w:val="restart"/>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 Deficit</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 Deficit</w:t>
            </w:r>
          </w:p>
        </w:tc>
        <w:tc>
          <w:tcPr>
            <w:tcMar>
              <w:left w:type="dxa" w:w="0"/>
              <w:right w:type="dxa" w:w="60"/>
            </w:tcMar>
            <w:vMerge w:val="restart"/>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Total Stockholders’ Equity</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Total Stockholders’ Equity</w:t>
            </w:r>
          </w:p>
        </w:tc>
        <w:tc>
          <w:tcPr>
            <w:tcMar>
              <w:left w:type="dxa" w:w="0"/>
              <w:right w:type="dxa" w:w="60"/>
            </w:tcMar>
            <w:vMerge w:val="restart"/>
            <w:tcBorders/>
            <w:hMerge w:val="continue"/>
          </w:tcPr>
          <w:p/>
        </w:tc>
      </w:tr>
      <w:tr>
        <w:trPr>
          <w:trHeight w:hRule="exact" w:val="280"/>
        </w:trPr>
        <w:tc>
          <w:tcPr>
            <w:tcW w:type="dxa" w:w="400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108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Shares</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60"/>
            </w:tcMar>
            <w:vMerge w:val="continue"/>
            <w:tcBorders>
              <w:bottom w:val="single" w:sz="8"/>
            </w:tcBorders>
            <w:hMerge w:val="continue"/>
          </w:tcPr>
          <w:p>
            <w:pPr>
              <w:jc w:val="left"/>
              <w:keepNext/>
              <w:keepLines/>
              <w:spacing w:before="40" w:after="40" w:line="240" w:lineRule="auto"/>
              <w:rPr/>
            </w:pPr>
            <w:r>
              <w:rPr/>
            </w:r>
          </w:p>
        </w:tc>
        <w:tc>
          <w:tcPr>
            <w:tcMar>
              <w:left w:type="dxa" w:w="0"/>
              <w:right w:type="dxa" w:w="60"/>
            </w:tcMar>
            <w:vMerge w:val="continue"/>
            <w:tcBorders>
              <w:bottom w:val="single" w:sz="8"/>
            </w:tcBorders>
            <w:hMerge w:val="continue"/>
          </w:tcPr>
          <w:p/>
        </w:tc>
        <w:tc>
          <w:tcPr>
            <w:tcW w:type="dxa" w:w="80"/>
            <w:tcMar>
              <w:left w:type="dxa" w:w="0"/>
              <w:right w:type="dxa" w:w="0"/>
            </w:tcMar>
            <w:vMerge w:val="restart"/>
            <w:tcBorders/>
            <w:vAlign w:val="bottom"/>
          </w:tcPr>
          <w:p>
            <w:pPr>
              <w:jc w:val="left"/>
              <w:keepNext/>
              <w:keepLines/>
              <w:spacing w:before="40" w:after="40" w:line="240" w:lineRule="auto"/>
              <w:rPr/>
            </w:pPr>
            <w:r>
              <w:rPr/>
            </w:r>
          </w:p>
        </w:tc>
        <w:tc>
          <w:tcPr>
            <w:tcW w:type="dxa" w:w="0"/>
            <w:tcMar>
              <w:left w:type="dxa" w:w="60"/>
              <w:right w:type="dxa" w:w="6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60"/>
            </w:tcMar>
            <w:vMerge w:val="continue"/>
            <w:tcBorders>
              <w:bottom w:val="single" w:sz="8"/>
            </w:tcBorders>
            <w:hMerge w:val="continue"/>
          </w:tcPr>
          <w:p>
            <w:pPr>
              <w:jc w:val="left"/>
              <w:keepNext/>
              <w:keepLines/>
              <w:spacing w:before="40" w:after="40" w:line="240" w:lineRule="auto"/>
              <w:rPr/>
            </w:pPr>
            <w:r>
              <w:rPr/>
            </w:r>
          </w:p>
        </w:tc>
        <w:tc>
          <w:tcPr>
            <w:tcMar>
              <w:left w:type="dxa" w:w="0"/>
              <w:right w:type="dxa" w:w="60"/>
            </w:tcMar>
            <w:vMerge w:val="continue"/>
            <w:tcBorders>
              <w:bottom w:val="single" w:sz="8"/>
            </w:tcBorders>
            <w:hMerge w:val="continue"/>
          </w:tcPr>
          <w:p/>
        </w:tc>
        <w:tc>
          <w:tcPr>
            <w:tcW w:type="dxa" w:w="80"/>
            <w:tcMar>
              <w:left w:type="dxa" w:w="0"/>
              <w:right w:type="dxa" w:w="0"/>
            </w:tcMar>
            <w:vMerge w:val="restart"/>
            <w:tcBorders/>
            <w:vAlign w:val="bottom"/>
          </w:tcPr>
          <w:p>
            <w:pPr>
              <w:jc w:val="left"/>
              <w:keepNext/>
              <w:keepLines/>
              <w:spacing w:before="40" w:after="40" w:line="240" w:lineRule="auto"/>
              <w:rPr/>
            </w:pPr>
            <w:r>
              <w:rPr/>
            </w:r>
          </w:p>
        </w:tc>
        <w:tc>
          <w:tcPr>
            <w:tcW w:type="dxa" w:w="0"/>
            <w:tcMar>
              <w:left w:type="dxa" w:w="60"/>
              <w:right w:type="dxa" w:w="6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60"/>
            </w:tcMar>
            <w:vMerge w:val="continue"/>
            <w:tcBorders>
              <w:bottom w:val="single" w:sz="8"/>
            </w:tcBorders>
            <w:hMerge w:val="continue"/>
          </w:tcPr>
          <w:p>
            <w:pPr>
              <w:jc w:val="left"/>
              <w:keepNext/>
              <w:keepLines/>
              <w:spacing w:before="40" w:after="40" w:line="240" w:lineRule="auto"/>
              <w:rPr/>
            </w:pPr>
            <w:r>
              <w:rPr/>
            </w:r>
          </w:p>
        </w:tc>
        <w:tc>
          <w:tcPr>
            <w:tcMar>
              <w:left w:type="dxa" w:w="0"/>
              <w:right w:type="dxa" w:w="60"/>
            </w:tcMar>
            <w:vMerge w:val="continue"/>
            <w:tcBorders>
              <w:bottom w:val="single" w:sz="8"/>
            </w:tcBorders>
            <w:hMerge w:val="continue"/>
          </w:tcPr>
          <w:p/>
        </w:tc>
      </w:tr>
      <w:tr>
        <w:trPr>
          <w:trHeight w:hRule="exact" w:val="300"/>
        </w:trPr>
        <w:tc>
          <w:tcPr>
            <w:tcW w:type="dxa" w:w="4000"/>
            <w:tcMar>
              <w:left w:type="dxa" w:w="60"/>
              <w:right w:type="dxa" w:w="40"/>
            </w:tcMar>
            <w:vMerge w:val="restart"/>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Balance at March 31, 2019</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12,812,108</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1,281</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61,534,711</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3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(54,925,229</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6,610,763</w:t>
            </w:r>
          </w:p>
        </w:tc>
        <w:tc>
          <w:tcPr>
            <w:tcW w:type="dxa" w:w="77"/>
            <w:tcMar>
              <w:left w:type="dxa" w:w="0"/>
              <w:right w:type="dxa" w:w="0"/>
            </w:tcMar>
            <w:tcBorders>
              <w:top w:val="single" w:sz="8" w:space="0"/>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purchase plan issuances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7,099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3,096</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issued for payment of services, net</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22,191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37,495</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 issuance costs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(4,457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(4,457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(4,457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(4,457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Stock-based compensation, net</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(38,899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46,983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46,983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46,979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46,979</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Secondary offering</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14,285,714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9,230,661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9,230,661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9,232,090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9,232,090</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(1,992,386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(1,992,386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(1,992,386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(1,992,386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0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Balance at June 30, 2019</w:t>
            </w:r>
          </w:p>
        </w:tc>
        <w:tc>
          <w:tcPr>
            <w:tcW w:type="dxa" w:w="80"/>
            <w:tcMar>
              <w:left w:type="dxa" w:w="60"/>
              <w:right w:type="dxa" w:w="0"/>
            </w:tcMar>
            <w:tcBorders/>
            <w:vAlign w:val="bottom"/>
          </w:tcPr>
          <w:p>
            <w:pPr>
              <w:jc w:val="left"/>
              <w:keepLines/>
              <w:spacing w:before="40" w:after="40" w:line="240" w:lineRule="auto"/>
              <w:rPr/>
            </w:pPr>
            <w:r>
              <w:rPr/>
            </w:r>
          </w:p>
        </w:tc>
        <w:tc>
          <w:tcPr>
            <w:tcW w:type="dxa" w:w="108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27,088,213</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2,709</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70,848,486</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(56,917,615</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13,933,580</w:t>
            </w:r>
          </w:p>
        </w:tc>
        <w:tc>
          <w:tcPr>
            <w:tcW w:type="dxa" w:w="77"/>
            <w:tcMar>
              <w:left w:type="dxa" w:w="0"/>
              <w:right w:type="dxa" w:w="0"/>
            </w:tcMar>
            <w:tcBorders>
              <w:top w:val="single" w:sz="8" w:space="0"/>
              <w:bottom w:val="double" w:sz="4"/>
            </w:tcBorders>
          </w:tcPr>
          <w:p/>
        </w:tc>
      </w:tr>
    </w:tbl>
    <w:p>
      <w:pPr>
        <w:jc w:val="left"/>
        <w:spacing w:line="300" w:lineRule="exact"/>
        <w:rPr/>
      </w:pPr>
      <w:r>
        <w:rPr/>
      </w:r>
    </w:p>
    <w:tbl>
      <w:tblPr>
        <w:tblW w:type="dxa" w:w="10240"/>
        <w:tblLayout w:type="fixed"/>
        <w:jc w:val="center"/>
      </w:tblPr>
      <w:tblGrid>
        <w:gridCol w:w="4000"/>
        <w:gridCol w:w="80"/>
        <w:gridCol w:w="1083"/>
        <w:gridCol w:w="77"/>
        <w:gridCol w:w="80"/>
        <w:gridCol w:w="110"/>
        <w:gridCol w:w="813"/>
        <w:gridCol w:w="77"/>
        <w:gridCol w:w="80"/>
        <w:gridCol w:w="110"/>
        <w:gridCol w:w="1013"/>
        <w:gridCol w:w="77"/>
        <w:gridCol w:w="80"/>
        <w:gridCol w:w="110"/>
        <w:gridCol w:w="1133"/>
        <w:gridCol w:w="77"/>
        <w:gridCol w:w="80"/>
        <w:gridCol w:w="110"/>
        <w:gridCol w:w="973"/>
        <w:gridCol w:w="77"/>
      </w:tblGrid>
      <w:tr>
        <w:trPr>
          <w:trHeight w:hRule="exact" w:val="280"/>
        </w:trPr>
        <w:tc>
          <w:tcPr>
            <w:tcW w:type="dxa" w:w="400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976"/>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Common Stock</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 Paid-In Capital</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 Paid-In Capital</w:t>
            </w:r>
          </w:p>
        </w:tc>
        <w:tc>
          <w:tcPr>
            <w:tcMar>
              <w:left w:type="dxa" w:w="0"/>
              <w:right w:type="dxa" w:w="60"/>
            </w:tcMar>
            <w:vMerge w:val="restart"/>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Accumulated Deficit</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Accumulated Deficit</w:t>
            </w:r>
          </w:p>
        </w:tc>
        <w:tc>
          <w:tcPr>
            <w:tcMar>
              <w:left w:type="dxa" w:w="0"/>
              <w:right w:type="dxa" w:w="60"/>
            </w:tcMar>
            <w:vMerge w:val="restart"/>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 Stockholders’ Equity</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 Stockholders’ Equity</w:t>
            </w:r>
          </w:p>
        </w:tc>
        <w:tc>
          <w:tcPr>
            <w:tcMar>
              <w:left w:type="dxa" w:w="0"/>
              <w:right w:type="dxa" w:w="60"/>
            </w:tcMar>
            <w:vMerge w:val="restart"/>
            <w:tcBorders/>
            <w:hMerge w:val="continue"/>
          </w:tcPr>
          <w:p/>
        </w:tc>
      </w:tr>
      <w:tr>
        <w:trPr>
          <w:trHeight w:hRule="exact" w:val="280"/>
        </w:trPr>
        <w:tc>
          <w:tcPr>
            <w:tcW w:type="dxa" w:w="400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108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Shares</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Amount</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Amount</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0"/>
            </w:tcMar>
            <w:vMerge w:val="continue"/>
            <w:tcBorders>
              <w:bottom w:val="single" w:sz="8"/>
            </w:tcBorders>
            <w:hMerge w:val="continue"/>
          </w:tcPr>
          <w:p>
            <w:pPr>
              <w:jc w:val="left"/>
              <w:keepNext/>
              <w:keepLines/>
              <w:spacing w:before="40" w:after="40" w:line="240" w:lineRule="auto"/>
              <w:rPr/>
            </w:pPr>
            <w:r>
              <w:rPr/>
            </w:r>
          </w:p>
        </w:tc>
        <w:tc>
          <w:tcPr>
            <w:tcMar>
              <w:left w:type="dxa" w:w="0"/>
              <w:right w:type="dxa" w:w="0"/>
            </w:tcMar>
            <w:vMerge w:val="continue"/>
            <w:tcBorders>
              <w:bottom w:val="single" w:sz="8"/>
            </w:tcBorders>
            <w:hMerge w:val="continue"/>
          </w:tcPr>
          <w:p/>
        </w:tc>
        <w:tc>
          <w:tcPr>
            <w:tcW w:type="dxa" w:w="80"/>
            <w:tcMar>
              <w:left w:type="dxa" w:w="0"/>
              <w:right w:type="dxa" w:w="0"/>
            </w:tcMar>
            <w:vMerge w:val="restart"/>
            <w:tcBorders/>
            <w:vAlign w:val="bottom"/>
          </w:tcPr>
          <w:p>
            <w:pPr>
              <w:jc w:val="left"/>
              <w:keepNext/>
              <w:keepLines/>
              <w:spacing w:before="40" w:after="40" w:line="240" w:lineRule="auto"/>
              <w:rPr/>
            </w:pPr>
            <w:r>
              <w:rPr/>
            </w:r>
          </w:p>
        </w:tc>
        <w:tc>
          <w:tcPr>
            <w:tcW w:type="dxa" w:w="0"/>
            <w:tcMar>
              <w:left w:type="dxa" w:w="60"/>
              <w:right w:type="dxa" w:w="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0"/>
            </w:tcMar>
            <w:vMerge w:val="continue"/>
            <w:tcBorders>
              <w:bottom w:val="single" w:sz="8"/>
            </w:tcBorders>
            <w:hMerge w:val="continue"/>
          </w:tcPr>
          <w:p>
            <w:pPr>
              <w:jc w:val="left"/>
              <w:keepNext/>
              <w:keepLines/>
              <w:spacing w:before="40" w:after="40" w:line="240" w:lineRule="auto"/>
              <w:rPr/>
            </w:pPr>
            <w:r>
              <w:rPr/>
            </w:r>
          </w:p>
        </w:tc>
        <w:tc>
          <w:tcPr>
            <w:tcMar>
              <w:left w:type="dxa" w:w="0"/>
              <w:right w:type="dxa" w:w="0"/>
            </w:tcMar>
            <w:vMerge w:val="continue"/>
            <w:tcBorders>
              <w:bottom w:val="single" w:sz="8"/>
            </w:tcBorders>
            <w:hMerge w:val="continue"/>
          </w:tcPr>
          <w:p/>
        </w:tc>
        <w:tc>
          <w:tcPr>
            <w:tcW w:type="dxa" w:w="80"/>
            <w:tcMar>
              <w:left w:type="dxa" w:w="0"/>
              <w:right w:type="dxa" w:w="0"/>
            </w:tcMar>
            <w:vMerge w:val="restart"/>
            <w:tcBorders/>
            <w:vAlign w:val="bottom"/>
          </w:tcPr>
          <w:p>
            <w:pPr>
              <w:jc w:val="left"/>
              <w:keepNext/>
              <w:keepLines/>
              <w:spacing w:before="40" w:after="40" w:line="240" w:lineRule="auto"/>
              <w:rPr/>
            </w:pPr>
            <w:r>
              <w:rPr/>
            </w:r>
          </w:p>
        </w:tc>
        <w:tc>
          <w:tcPr>
            <w:tcW w:type="dxa" w:w="0"/>
            <w:tcMar>
              <w:left w:type="dxa" w:w="60"/>
              <w:right w:type="dxa" w:w="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0"/>
            </w:tcMar>
            <w:vMerge w:val="continue"/>
            <w:tcBorders>
              <w:bottom w:val="single" w:sz="8"/>
            </w:tcBorders>
            <w:hMerge w:val="continue"/>
          </w:tcPr>
          <w:p>
            <w:pPr>
              <w:jc w:val="left"/>
              <w:keepNext/>
              <w:keepLines/>
              <w:spacing w:before="40" w:after="40" w:line="240" w:lineRule="auto"/>
              <w:rPr/>
            </w:pPr>
            <w:r>
              <w:rPr/>
            </w:r>
          </w:p>
        </w:tc>
        <w:tc>
          <w:tcPr>
            <w:tcMar>
              <w:left w:type="dxa" w:w="0"/>
              <w:right w:type="dxa" w:w="0"/>
            </w:tcMar>
            <w:vMerge w:val="continue"/>
            <w:tcBorders>
              <w:bottom w:val="single" w:sz="8"/>
            </w:tcBorders>
            <w:hMerge w:val="continue"/>
          </w:tcPr>
          <w:p/>
        </w:tc>
      </w:tr>
      <w:tr>
        <w:trPr>
          <w:trHeight w:hRule="exact" w:val="300"/>
        </w:trPr>
        <w:tc>
          <w:tcPr>
            <w:tcW w:type="dxa" w:w="4000"/>
            <w:tcMar>
              <w:left w:type="dxa" w:w="60"/>
              <w:right w:type="dxa" w:w="40"/>
            </w:tcMar>
            <w:vMerge w:val="restart"/>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Balance at March 31, 2018</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5,819,246</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582</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53,116,619</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3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(49,421,362</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3,695,839</w:t>
            </w:r>
          </w:p>
        </w:tc>
        <w:tc>
          <w:tcPr>
            <w:tcW w:type="dxa" w:w="77"/>
            <w:tcMar>
              <w:left w:type="dxa" w:w="0"/>
              <w:right w:type="dxa" w:w="0"/>
            </w:tcMar>
            <w:tcBorders>
              <w:top w:val="single" w:sz="8" w:space="0"/>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purchase plan issuances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11,189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9,035</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issuance costs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net</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30,498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210,276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210,276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210,279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210,279</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Net loss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(1,647,755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(1,647,755</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(1,647,755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(1,647,755</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0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Balance at June 30, 2018</w:t>
            </w:r>
          </w:p>
        </w:tc>
        <w:tc>
          <w:tcPr>
            <w:tcW w:type="dxa" w:w="80"/>
            <w:tcMar>
              <w:left w:type="dxa" w:w="0"/>
              <w:right w:type="dxa" w:w="60"/>
            </w:tcMar>
            <w:tcBorders/>
            <w:vAlign w:val="bottom"/>
          </w:tcPr>
          <w:p>
            <w:pPr>
              <w:jc w:val="left"/>
              <w:keepLines/>
              <w:spacing w:before="40" w:after="40" w:line="240" w:lineRule="auto"/>
              <w:rPr/>
            </w:pPr>
            <w:r>
              <w:rPr/>
            </w:r>
          </w:p>
        </w:tc>
        <w:tc>
          <w:tcPr>
            <w:tcW w:type="dxa" w:w="108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5,860,933</w:t>
            </w:r>
          </w:p>
        </w:tc>
        <w:tc>
          <w:tcPr>
            <w:tcW w:type="dxa" w:w="77"/>
            <w:tcMar>
              <w:left w:type="dxa" w:w="0"/>
              <w:right w:type="dxa" w:w="0"/>
            </w:tcMar>
            <w:tcBorders>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586</w:t>
            </w:r>
          </w:p>
        </w:tc>
        <w:tc>
          <w:tcPr>
            <w:tcW w:type="dxa" w:w="77"/>
            <w:tcMar>
              <w:left w:type="dxa" w:w="0"/>
              <w:right w:type="dxa" w:w="0"/>
            </w:tcMar>
            <w:tcBorders>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53,335,845</w:t>
            </w:r>
          </w:p>
        </w:tc>
        <w:tc>
          <w:tcPr>
            <w:tcW w:type="dxa" w:w="77"/>
            <w:tcMar>
              <w:left w:type="dxa" w:w="0"/>
              <w:right w:type="dxa" w:w="0"/>
            </w:tcMar>
            <w:tcBorders>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3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(51,069,117</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2,267,314</w:t>
            </w:r>
          </w:p>
        </w:tc>
        <w:tc>
          <w:tcPr>
            <w:tcW w:type="dxa" w:w="77"/>
            <w:tcMar>
              <w:left w:type="dxa" w:w="0"/>
              <w:right w:type="dxa" w:w="0"/>
            </w:tcMar>
            <w:tcBorders>
              <w:bottom w:val="double" w:sz="4"/>
            </w:tcBorders>
          </w:tcPr>
          <w:p/>
        </w:tc>
      </w:tr>
    </w:tbl>
    <w:p>
      <w:pPr>
        <w:jc w:val="left"/>
        <w:spacing w:line="300" w:lineRule="exact"/>
        <w:rPr/>
      </w:pPr>
      <w:r>
        <w:rPr/>
      </w:r>
    </w:p>
    <w:tbl>
      <w:tblPr>
        <w:tblW w:type="dxa" w:w="10240"/>
        <w:tblLayout w:type="fixed"/>
        <w:jc w:val="center"/>
      </w:tblPr>
      <w:tblGrid>
        <w:gridCol w:w="4000"/>
        <w:gridCol w:w="80"/>
        <w:gridCol w:w="1083"/>
        <w:gridCol w:w="77"/>
        <w:gridCol w:w="80"/>
        <w:gridCol w:w="110"/>
        <w:gridCol w:w="813"/>
        <w:gridCol w:w="77"/>
        <w:gridCol w:w="80"/>
        <w:gridCol w:w="110"/>
        <w:gridCol w:w="1013"/>
        <w:gridCol w:w="77"/>
        <w:gridCol w:w="80"/>
        <w:gridCol w:w="110"/>
        <w:gridCol w:w="1133"/>
        <w:gridCol w:w="77"/>
        <w:gridCol w:w="80"/>
        <w:gridCol w:w="110"/>
        <w:gridCol w:w="973"/>
        <w:gridCol w:w="77"/>
      </w:tblGrid>
      <w:tr>
        <w:trPr>
          <w:trHeight w:hRule="exact" w:val="300"/>
        </w:trPr>
        <w:tc>
          <w:tcPr>
            <w:tcW w:type="dxa" w:w="400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976"/>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Common Stock</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 Paid-In Capital</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 Paid-In Capital</w:t>
            </w:r>
          </w:p>
        </w:tc>
        <w:tc>
          <w:tcPr>
            <w:tcMar>
              <w:left w:type="dxa" w:w="0"/>
              <w:right w:type="dxa" w:w="60"/>
            </w:tcMar>
            <w:vMerge w:val="restart"/>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Accumulated Deficit</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Accumulated Deficit</w:t>
            </w:r>
          </w:p>
        </w:tc>
        <w:tc>
          <w:tcPr>
            <w:tcMar>
              <w:left w:type="dxa" w:w="0"/>
              <w:right w:type="dxa" w:w="60"/>
            </w:tcMar>
            <w:vMerge w:val="restart"/>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 Stockholders’ Equity</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 Stockholders’ Equity</w:t>
            </w:r>
          </w:p>
        </w:tc>
        <w:tc>
          <w:tcPr>
            <w:tcMar>
              <w:left w:type="dxa" w:w="0"/>
              <w:right w:type="dxa" w:w="60"/>
            </w:tcMar>
            <w:vMerge w:val="restart"/>
            <w:tcBorders/>
            <w:hMerge w:val="continue"/>
          </w:tcPr>
          <w:p/>
        </w:tc>
      </w:tr>
      <w:tr>
        <w:trPr>
          <w:trHeight w:hRule="exact" w:val="300"/>
        </w:trPr>
        <w:tc>
          <w:tcPr>
            <w:tcW w:type="dxa" w:w="400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108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Shares</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Amount</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Amount</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0"/>
            </w:tcMar>
            <w:vMerge w:val="continue"/>
            <w:tcBorders>
              <w:bottom w:val="single" w:sz="8"/>
            </w:tcBorders>
            <w:hMerge w:val="continue"/>
          </w:tcPr>
          <w:p>
            <w:pPr>
              <w:jc w:val="left"/>
              <w:keepNext/>
              <w:keepLines/>
              <w:spacing w:before="40" w:after="40" w:line="240" w:lineRule="auto"/>
              <w:rPr/>
            </w:pPr>
            <w:r>
              <w:rPr/>
            </w:r>
          </w:p>
        </w:tc>
        <w:tc>
          <w:tcPr>
            <w:tcMar>
              <w:left w:type="dxa" w:w="0"/>
              <w:right w:type="dxa" w:w="0"/>
            </w:tcMar>
            <w:vMerge w:val="continue"/>
            <w:tcBorders>
              <w:bottom w:val="single" w:sz="8"/>
            </w:tcBorders>
            <w:hMerge w:val="continue"/>
          </w:tcPr>
          <w:p/>
        </w:tc>
        <w:tc>
          <w:tcPr>
            <w:tcW w:type="dxa" w:w="80"/>
            <w:tcMar>
              <w:left w:type="dxa" w:w="0"/>
              <w:right w:type="dxa" w:w="0"/>
            </w:tcMar>
            <w:vMerge w:val="restart"/>
            <w:tcBorders/>
            <w:vAlign w:val="bottom"/>
          </w:tcPr>
          <w:p>
            <w:pPr>
              <w:jc w:val="left"/>
              <w:keepNext/>
              <w:keepLines/>
              <w:spacing w:before="40" w:after="40" w:line="240" w:lineRule="auto"/>
              <w:rPr/>
            </w:pPr>
            <w:r>
              <w:rPr/>
            </w:r>
          </w:p>
        </w:tc>
        <w:tc>
          <w:tcPr>
            <w:tcW w:type="dxa" w:w="0"/>
            <w:tcMar>
              <w:left w:type="dxa" w:w="60"/>
              <w:right w:type="dxa" w:w="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0"/>
            </w:tcMar>
            <w:vMerge w:val="continue"/>
            <w:tcBorders>
              <w:bottom w:val="single" w:sz="8"/>
            </w:tcBorders>
            <w:hMerge w:val="continue"/>
          </w:tcPr>
          <w:p>
            <w:pPr>
              <w:jc w:val="left"/>
              <w:keepNext/>
              <w:keepLines/>
              <w:spacing w:before="40" w:after="40" w:line="240" w:lineRule="auto"/>
              <w:rPr/>
            </w:pPr>
            <w:r>
              <w:rPr/>
            </w:r>
          </w:p>
        </w:tc>
        <w:tc>
          <w:tcPr>
            <w:tcMar>
              <w:left w:type="dxa" w:w="0"/>
              <w:right w:type="dxa" w:w="0"/>
            </w:tcMar>
            <w:vMerge w:val="continue"/>
            <w:tcBorders>
              <w:bottom w:val="single" w:sz="8"/>
            </w:tcBorders>
            <w:hMerge w:val="continue"/>
          </w:tcPr>
          <w:p/>
        </w:tc>
        <w:tc>
          <w:tcPr>
            <w:tcW w:type="dxa" w:w="80"/>
            <w:tcMar>
              <w:left w:type="dxa" w:w="0"/>
              <w:right w:type="dxa" w:w="0"/>
            </w:tcMar>
            <w:vMerge w:val="restart"/>
            <w:tcBorders/>
            <w:vAlign w:val="bottom"/>
          </w:tcPr>
          <w:p>
            <w:pPr>
              <w:jc w:val="left"/>
              <w:keepNext/>
              <w:keepLines/>
              <w:spacing w:before="40" w:after="40" w:line="240" w:lineRule="auto"/>
              <w:rPr/>
            </w:pPr>
            <w:r>
              <w:rPr/>
            </w:r>
          </w:p>
        </w:tc>
        <w:tc>
          <w:tcPr>
            <w:tcW w:type="dxa" w:w="0"/>
            <w:tcMar>
              <w:left w:type="dxa" w:w="60"/>
              <w:right w:type="dxa" w:w="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0"/>
            </w:tcMar>
            <w:vMerge w:val="continue"/>
            <w:tcBorders>
              <w:bottom w:val="single" w:sz="8"/>
            </w:tcBorders>
            <w:hMerge w:val="continue"/>
          </w:tcPr>
          <w:p>
            <w:pPr>
              <w:jc w:val="left"/>
              <w:keepNext/>
              <w:keepLines/>
              <w:spacing w:before="40" w:after="40" w:line="240" w:lineRule="auto"/>
              <w:rPr/>
            </w:pPr>
            <w:r>
              <w:rPr/>
            </w:r>
          </w:p>
        </w:tc>
        <w:tc>
          <w:tcPr>
            <w:tcMar>
              <w:left w:type="dxa" w:w="0"/>
              <w:right w:type="dxa" w:w="0"/>
            </w:tcMar>
            <w:vMerge w:val="continue"/>
            <w:tcBorders>
              <w:bottom w:val="single" w:sz="8"/>
            </w:tcBorders>
            <w:hMerge w:val="continue"/>
          </w:tcPr>
          <w:p/>
        </w:tc>
      </w:tr>
      <w:tr>
        <w:trPr>
          <w:trHeight w:hRule="exact" w:val="300"/>
        </w:trPr>
        <w:tc>
          <w:tcPr>
            <w:tcW w:type="dxa" w:w="4000"/>
            <w:tcMar>
              <w:left w:type="dxa" w:w="60"/>
              <w:right w:type="dxa" w:w="40"/>
            </w:tcMar>
            <w:vMerge w:val="restart"/>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Balance at December 31, 2018</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12,075,708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60,311,756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(53,094,649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7,218,315</w:t>
            </w:r>
          </w:p>
        </w:tc>
        <w:tc>
          <w:tcPr>
            <w:tcW w:type="dxa" w:w="77"/>
            <w:tcMar>
              <w:left w:type="dxa" w:w="0"/>
              <w:right w:type="dxa" w:w="0"/>
            </w:tcMar>
            <w:tcBorders/>
          </w:tcPr>
          <w:p/>
        </w:tc>
      </w:tr>
      <w:tr>
        <w:trPr>
          <w:trHeight w:hRule="exact" w:val="5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issued for payment of acquisition liability</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660,136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1,075,956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1,075,956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1,076,022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1,076,022</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purchase plan issuances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7,099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3,096</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issued for payment of services, net</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44,379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74,991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74,991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74,995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74,995</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issuance costs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(6,647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(6,647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net</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15,177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158,674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158,674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158,675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158,675</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Secondary offering</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14,285,714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9,230,661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9,230,661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9,232,090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9,232,090</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Net loss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(3,822,966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(3,822,966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(3,822,966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(3,822,966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0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Balance at June 30, 2019</w:t>
            </w:r>
          </w:p>
        </w:tc>
        <w:tc>
          <w:tcPr>
            <w:tcW w:type="dxa" w:w="80"/>
            <w:tcMar>
              <w:left w:type="dxa" w:w="60"/>
              <w:right w:type="dxa" w:w="0"/>
            </w:tcMar>
            <w:tcBorders/>
            <w:vAlign w:val="bottom"/>
          </w:tcPr>
          <w:p>
            <w:pPr>
              <w:jc w:val="left"/>
              <w:keepLines/>
              <w:spacing w:before="40" w:after="40" w:line="240" w:lineRule="auto"/>
              <w:rPr/>
            </w:pPr>
            <w:r>
              <w:rPr/>
            </w:r>
          </w:p>
        </w:tc>
        <w:tc>
          <w:tcPr>
            <w:tcW w:type="dxa" w:w="108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27,088,213</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2,709</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70,848,486</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(56,917,615</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13,933,580</w:t>
            </w:r>
          </w:p>
        </w:tc>
        <w:tc>
          <w:tcPr>
            <w:tcW w:type="dxa" w:w="77"/>
            <w:tcMar>
              <w:left w:type="dxa" w:w="0"/>
              <w:right w:type="dxa" w:w="0"/>
            </w:tcMar>
            <w:tcBorders>
              <w:top w:val="single" w:sz="8" w:space="0"/>
              <w:bottom w:val="double" w:sz="4"/>
            </w:tcBorders>
          </w:tcPr>
          <w:p/>
        </w:tc>
      </w:tr>
    </w:tbl>
    <w:p>
      <w:pPr>
        <w:jc w:val="left"/>
        <w:spacing w:line="300" w:lineRule="exact"/>
        <w:rPr/>
      </w:pPr>
      <w:r>
        <w:rPr/>
      </w:r>
    </w:p>
    <w:tbl>
      <w:tblPr>
        <w:tblW w:type="dxa" w:w="10240"/>
        <w:tblLayout w:type="fixed"/>
        <w:jc w:val="center"/>
      </w:tblPr>
      <w:tblGrid>
        <w:gridCol w:w="4000"/>
        <w:gridCol w:w="80"/>
        <w:gridCol w:w="1083"/>
        <w:gridCol w:w="77"/>
        <w:gridCol w:w="80"/>
        <w:gridCol w:w="110"/>
        <w:gridCol w:w="813"/>
        <w:gridCol w:w="77"/>
        <w:gridCol w:w="80"/>
        <w:gridCol w:w="110"/>
        <w:gridCol w:w="1013"/>
        <w:gridCol w:w="77"/>
        <w:gridCol w:w="80"/>
        <w:gridCol w:w="110"/>
        <w:gridCol w:w="1133"/>
        <w:gridCol w:w="77"/>
        <w:gridCol w:w="80"/>
        <w:gridCol w:w="110"/>
        <w:gridCol w:w="973"/>
        <w:gridCol w:w="77"/>
      </w:tblGrid>
      <w:tr>
        <w:trPr>
          <w:trHeight w:hRule="exact" w:val="260"/>
        </w:trPr>
        <w:tc>
          <w:tcPr>
            <w:tcW w:type="dxa" w:w="400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976"/>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Common Stock</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Additional Paid-In Capital</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Additional Paid-In Capital</w:t>
            </w:r>
          </w:p>
        </w:tc>
        <w:tc>
          <w:tcPr>
            <w:tcMar>
              <w:left w:type="dxa" w:w="0"/>
              <w:right w:type="dxa" w:w="60"/>
            </w:tcMar>
            <w:vMerge w:val="restart"/>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 Deficit</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 Deficit</w:t>
            </w:r>
          </w:p>
        </w:tc>
        <w:tc>
          <w:tcPr>
            <w:tcMar>
              <w:left w:type="dxa" w:w="0"/>
              <w:right w:type="dxa" w:w="60"/>
            </w:tcMar>
            <w:vMerge w:val="restart"/>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restart"/>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Total Stockholders’ Equity</w:t>
            </w:r>
          </w:p>
        </w:tc>
        <w:tc>
          <w:tcPr>
            <w:tcMar>
              <w:left w:type="dxa" w:w="60"/>
              <w:right w:type="dxa" w:w="60"/>
            </w:tcMar>
            <w:vMerge w:val="restart"/>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Total Stockholders’ Equity</w:t>
            </w:r>
          </w:p>
        </w:tc>
        <w:tc>
          <w:tcPr>
            <w:tcMar>
              <w:left w:type="dxa" w:w="0"/>
              <w:right w:type="dxa" w:w="60"/>
            </w:tcMar>
            <w:vMerge w:val="restart"/>
            <w:tcBorders/>
            <w:hMerge w:val="continue"/>
          </w:tcPr>
          <w:p/>
        </w:tc>
      </w:tr>
      <w:tr>
        <w:trPr>
          <w:trHeight w:hRule="exact" w:val="300"/>
        </w:trPr>
        <w:tc>
          <w:tcPr>
            <w:tcW w:type="dxa" w:w="4000"/>
            <w:tcMar>
              <w:left w:type="dxa" w:w="60"/>
              <w:right w:type="dxa" w:w="6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Shares</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60"/>
            </w:tcMar>
            <w:vMerge w:val="continue"/>
            <w:tcBorders>
              <w:bottom w:val="single" w:sz="8"/>
            </w:tcBorders>
            <w:hMerge w:val="continue"/>
          </w:tcPr>
          <w:p>
            <w:pPr>
              <w:jc w:val="left"/>
              <w:keepNext/>
              <w:keepLines/>
              <w:spacing w:before="40" w:after="40" w:line="240" w:lineRule="auto"/>
              <w:rPr/>
            </w:pPr>
            <w:r>
              <w:rPr/>
            </w:r>
          </w:p>
        </w:tc>
        <w:tc>
          <w:tcPr>
            <w:tcMar>
              <w:left w:type="dxa" w:w="0"/>
              <w:right w:type="dxa" w:w="60"/>
            </w:tcMar>
            <w:vMerge w:val="continue"/>
            <w:tcBorders>
              <w:bottom w:val="single" w:sz="8"/>
            </w:tcBorders>
            <w:hMerge w:val="continue"/>
          </w:tcPr>
          <w:p/>
        </w:tc>
        <w:tc>
          <w:tcPr>
            <w:tcW w:type="dxa" w:w="80"/>
            <w:tcMar>
              <w:left w:type="dxa" w:w="0"/>
              <w:right w:type="dxa" w:w="0"/>
            </w:tcMar>
            <w:vMerge w:val="restart"/>
            <w:tcBorders/>
            <w:vAlign w:val="bottom"/>
          </w:tcPr>
          <w:p>
            <w:pPr>
              <w:jc w:val="left"/>
              <w:keepNext/>
              <w:keepLines/>
              <w:spacing w:before="40" w:after="40" w:line="240" w:lineRule="auto"/>
              <w:rPr/>
            </w:pPr>
            <w:r>
              <w:rPr/>
            </w:r>
          </w:p>
        </w:tc>
        <w:tc>
          <w:tcPr>
            <w:tcW w:type="dxa" w:w="0"/>
            <w:tcMar>
              <w:left w:type="dxa" w:w="60"/>
              <w:right w:type="dxa" w:w="6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60"/>
            </w:tcMar>
            <w:vMerge w:val="continue"/>
            <w:tcBorders>
              <w:bottom w:val="single" w:sz="8"/>
            </w:tcBorders>
            <w:hMerge w:val="continue"/>
          </w:tcPr>
          <w:p>
            <w:pPr>
              <w:jc w:val="left"/>
              <w:keepNext/>
              <w:keepLines/>
              <w:spacing w:before="40" w:after="40" w:line="240" w:lineRule="auto"/>
              <w:rPr/>
            </w:pPr>
            <w:r>
              <w:rPr/>
            </w:r>
          </w:p>
        </w:tc>
        <w:tc>
          <w:tcPr>
            <w:tcMar>
              <w:left w:type="dxa" w:w="0"/>
              <w:right w:type="dxa" w:w="60"/>
            </w:tcMar>
            <w:vMerge w:val="continue"/>
            <w:tcBorders>
              <w:bottom w:val="single" w:sz="8"/>
            </w:tcBorders>
            <w:hMerge w:val="continue"/>
          </w:tcPr>
          <w:p/>
        </w:tc>
        <w:tc>
          <w:tcPr>
            <w:tcW w:type="dxa" w:w="80"/>
            <w:tcMar>
              <w:left w:type="dxa" w:w="0"/>
              <w:right w:type="dxa" w:w="0"/>
            </w:tcMar>
            <w:vMerge w:val="restart"/>
            <w:tcBorders/>
            <w:vAlign w:val="bottom"/>
          </w:tcPr>
          <w:p>
            <w:pPr>
              <w:jc w:val="left"/>
              <w:keepNext/>
              <w:keepLines/>
              <w:spacing w:before="40" w:after="40" w:line="240" w:lineRule="auto"/>
              <w:rPr/>
            </w:pPr>
            <w:r>
              <w:rPr/>
            </w:r>
          </w:p>
        </w:tc>
        <w:tc>
          <w:tcPr>
            <w:tcW w:type="dxa" w:w="0"/>
            <w:tcMar>
              <w:left w:type="dxa" w:w="60"/>
              <w:right w:type="dxa" w:w="60"/>
            </w:tcMar>
            <w:vMerge w:val="continue"/>
            <w:tcBorders>
              <w:bottom w:val="single" w:sz="8"/>
            </w:tcBorders>
            <w:vAlign w:val="bottom"/>
            <w:hMerge w:val="restart"/>
          </w:tcPr>
          <w:p>
            <w:pPr>
              <w:jc w:val="left"/>
              <w:keepNext/>
              <w:keepLines/>
              <w:spacing w:before="40" w:after="40" w:line="240" w:lineRule="auto"/>
              <w:rPr/>
            </w:pPr>
            <w:r>
              <w:rPr/>
            </w:r>
          </w:p>
        </w:tc>
        <w:tc>
          <w:tcPr>
            <w:tcMar>
              <w:left w:type="dxa" w:w="60"/>
              <w:right w:type="dxa" w:w="60"/>
            </w:tcMar>
            <w:vMerge w:val="continue"/>
            <w:tcBorders>
              <w:bottom w:val="single" w:sz="8"/>
            </w:tcBorders>
            <w:hMerge w:val="continue"/>
          </w:tcPr>
          <w:p>
            <w:pPr>
              <w:jc w:val="left"/>
              <w:keepNext/>
              <w:keepLines/>
              <w:spacing w:before="40" w:after="40" w:line="240" w:lineRule="auto"/>
              <w:rPr/>
            </w:pPr>
            <w:r>
              <w:rPr/>
            </w:r>
          </w:p>
        </w:tc>
        <w:tc>
          <w:tcPr>
            <w:tcMar>
              <w:left w:type="dxa" w:w="0"/>
              <w:right w:type="dxa" w:w="60"/>
            </w:tcMar>
            <w:vMerge w:val="continue"/>
            <w:tcBorders>
              <w:bottom w:val="single" w:sz="8"/>
            </w:tcBorders>
            <w:hMerge w:val="continue"/>
          </w:tcPr>
          <w:p/>
        </w:tc>
      </w:tr>
      <w:tr>
        <w:trPr>
          <w:trHeight w:hRule="exact" w:val="300"/>
        </w:trPr>
        <w:tc>
          <w:tcPr>
            <w:tcW w:type="dxa" w:w="4000"/>
            <w:tcMar>
              <w:left w:type="dxa" w:w="60"/>
              <w:right w:type="dxa" w:w="40"/>
            </w:tcMar>
            <w:vMerge w:val="restart"/>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Balance at December 31, 2017</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5,733,981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52,570,432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(47,277,420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5,293,585</w:t>
            </w:r>
          </w:p>
        </w:tc>
        <w:tc>
          <w:tcPr>
            <w:tcW w:type="dxa" w:w="77"/>
            <w:tcMar>
              <w:left w:type="dxa" w:w="0"/>
              <w:right w:type="dxa" w:w="0"/>
            </w:tcMar>
            <w:tcBorders/>
          </w:tcPr>
          <w:p/>
        </w:tc>
      </w:tr>
      <w:tr>
        <w:trPr>
          <w:trHeight w:hRule="exact" w:val="46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Cumulative effect of change in accounting policy to ASC 606</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(98,822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(98,822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(98,822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(98,822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purchase plan issuances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11,189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9,035</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issued for payment of services, net</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30,265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124,997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124,997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125,000</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issuance costs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net</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85,498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632,082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632,082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632,091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632,091</w:t>
            </w:r>
          </w:p>
        </w:tc>
        <w:tc>
          <w:tcPr>
            <w:tcW w:type="dxa" w:w="77"/>
            <w:tcMar>
              <w:left w:type="dxa" w:w="0"/>
              <w:right w:type="dxa" w:w="0"/>
            </w:tcMar>
            <w:tcBorders/>
          </w:tcPr>
          <w:p/>
        </w:tc>
      </w:tr>
      <w:tr>
        <w:trPr>
          <w:trHeight w:hRule="exact" w:val="300"/>
        </w:trPr>
        <w:tc>
          <w:tcPr>
            <w:tcW w:type="dxa" w:w="4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Net loss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(3,692,875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(3,692,875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(3,692,875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(3,692,875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0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Balance at June 30, 2018</w:t>
            </w:r>
          </w:p>
        </w:tc>
        <w:tc>
          <w:tcPr>
            <w:tcW w:type="dxa" w:w="80"/>
            <w:tcMar>
              <w:left w:type="dxa" w:w="60"/>
              <w:right w:type="dxa" w:w="0"/>
            </w:tcMar>
            <w:tcBorders/>
            <w:vAlign w:val="bottom"/>
          </w:tcPr>
          <w:p>
            <w:pPr>
              <w:jc w:val="left"/>
              <w:keepLines/>
              <w:spacing w:before="40" w:after="40" w:line="240" w:lineRule="auto"/>
              <w:rPr/>
            </w:pPr>
            <w:r>
              <w:rPr/>
            </w:r>
          </w:p>
        </w:tc>
        <w:tc>
          <w:tcPr>
            <w:tcW w:type="dxa" w:w="108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5,860,933</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586</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53,335,845</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(51,069,117</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2,267,314</w:t>
            </w:r>
          </w:p>
        </w:tc>
        <w:tc>
          <w:tcPr>
            <w:tcW w:type="dxa" w:w="77"/>
            <w:tcMar>
              <w:left w:type="dxa" w:w="0"/>
              <w:right w:type="dxa" w:w="0"/>
            </w:tcMar>
            <w:tcBorders>
              <w:top w:val="single" w:sz="8" w:space="0"/>
              <w:bottom w:val="double" w:sz="4"/>
            </w:tcBorders>
          </w:tcPr>
          <w:p/>
        </w:tc>
      </w:tr>
    </w:tbl>
    <w:p>
      <w:pPr>
        <w:sectPr>
          <w:pgNumType w:fmt="decimal" w:chapSep="period"/>
          <w:pgSz w:w="12240" w:h="15840"/>
          <w:pgMar w:top="860" w:left="1000" w:right="1000" w:bottom="860" w:footer="460" w:gutter="0" w:header="160"/>
          <w:headerReference r:id="rId1" w:type="default"/>
          <w:footerReference r:id="rId8" w:type="default"/>
        </w:sectPr>
      </w:pPr>
    </w:p>
    <w:p>
      <w:pPr>
        <w:tabs>
          <w:tab w:val="left" w:pos="7920"/>
        </w:tabs>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40586" w:name="Consolidated_Statements_of_Cash_Flows"/>
      <w:bookmarkEnd w:id="40586"/>
    </w:p>
    <w:p>
      <w:pPr>
        <w:jc w:val="center"/>
        <w:spacing w:line="288" w:lineRule="auto" w:after="140"/>
        <w:rPr>
          <w:rFonts w:ascii="Times New Roman" w:hAnsi="Times New Roman" w:eastAsia="Times New Roman" w:cs="Times New Roman"/>
          <w:sz w:val="20"/>
        </w:rPr>
        <w:keepNext/>
      </w:pPr>
      <w:r>
        <w:rPr>
          <w:rFonts w:ascii="Times New Roman" w:hAnsi="Times New Roman" w:eastAsia="Times New Roman" w:cs="Times New Roman"/>
          <w:sz w:val="20"/>
        </w:rPr>
        <w:t xml:space="preserve">Unaudited Consolidated Statements of Cash Flows</w:t>
      </w:r>
    </w:p>
    <w:tbl>
      <w:tblPr>
        <w:tblW w:type="dxa" w:w="10240"/>
        <w:tblLayout w:type="fixed"/>
        <w:jc w:val="center"/>
      </w:tblPr>
      <w:tblGrid>
        <w:gridCol w:w="7280"/>
        <w:gridCol w:w="105"/>
        <w:gridCol w:w="1261"/>
        <w:gridCol w:w="74"/>
        <w:gridCol w:w="80"/>
        <w:gridCol w:w="105"/>
        <w:gridCol w:w="1261"/>
        <w:gridCol w:w="74"/>
      </w:tblGrid>
      <w:tr>
        <w:trPr>
          <w:trHeight w:hRule="exact" w:val="280"/>
        </w:trPr>
        <w:tc>
          <w:tcPr>
            <w:tcW w:type="dxa" w:w="72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240"/>
        </w:trPr>
        <w:tc>
          <w:tcPr>
            <w:tcW w:type="dxa" w:w="728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r>
      <w:tr>
        <w:trPr>
          <w:trHeight w:hRule="exact" w:val="26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rPr>
              <w:t xml:space="preserve">Cash flows from operating activities: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Net loss</w:t>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(3,822,966</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(3,692,875</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8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rPr>
              <w:t xml:space="preserve">Adjustments to reconcile net loss to net cash used for operating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Depreciation and amortization</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74,423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74,423</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112,866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112,866</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Amortization of software development costs and other intangible assets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809,907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809,907</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363,280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363,280</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Gain on disposal of equipment</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(515</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(1,400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(1,400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Change in provision for losses on accounts receivable</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(29,940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(29,940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Stock-based compensation, net</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318,205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318,205</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349,632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349,632</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Fair value of stock issued for payment of services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74,995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74,995</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62,490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62,490</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Decrease in fair value of contingent acquisition costs payable</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(485,747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(485,747</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Loss on settlement of acquisition costs payable</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191,439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191,439</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Change in fair value of derivatives, net</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11,794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11,794</w:t>
            </w:r>
          </w:p>
        </w:tc>
        <w:tc>
          <w:tcPr>
            <w:tcW w:type="dxa" w:w="74"/>
            <w:tcMar>
              <w:left w:type="dxa" w:w="0"/>
              <w:right w:type="dxa" w:w="0"/>
            </w:tcMar>
            <w:tcBorders/>
          </w:tcPr>
          <w:p/>
        </w:tc>
      </w:tr>
      <w:tr>
        <w:trPr>
          <w:trHeight w:hRule="exact" w:val="26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rPr>
              <w:t xml:space="preserve">Changes in operating assets and liabilities, net of effects of business acquired:</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Accounts receivable</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2,916,339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2,916,339</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825,624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825,624</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Prepaid expenses and other current assets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(279,353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(279,353</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64,717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64,717</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Accounts payable</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(879,507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(879,507</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(229,302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(229,302</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Accrued expenses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(367,733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(367,733</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(607,402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(607,402</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Contract liabilities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876,408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876,408</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1,265,303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1,265,303</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Right-of-use asset</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(25,428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(25,428</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Deferred rent</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(17,420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(17,420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(22,239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(22,239</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rPr>
              <w:t xml:space="preserve">Net cash used for operating activities</w:t>
            </w:r>
          </w:p>
        </w:tc>
        <w:tc>
          <w:tcPr>
            <w:tcW w:type="dxa" w:w="105"/>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(161,146</w:t>
            </w:r>
          </w:p>
        </w:tc>
        <w:tc>
          <w:tcPr>
            <w:tcW w:type="dxa" w:w="74"/>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(1,983,259</w:t>
            </w:r>
          </w:p>
        </w:tc>
        <w:tc>
          <w:tcPr>
            <w:tcW w:type="dxa" w:w="74"/>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rPr>
              <w:t xml:space="preserve">Cash flows from investing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Purchase of equipment</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(15,535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(15,535</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(141,410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(141,410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Software development costs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(451,619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(451,619</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(257,654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(257,654</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Security deposits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2,893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2,893</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535</w:t>
            </w:r>
          </w:p>
        </w:tc>
        <w:tc>
          <w:tcPr>
            <w:tcW w:type="dxa" w:w="74"/>
            <w:tcMar>
              <w:left w:type="dxa" w:w="0"/>
              <w:right w:type="dxa" w:w="0"/>
            </w:tcMar>
            <w:tcBorders/>
          </w:tcPr>
          <w:p/>
        </w:tc>
      </w:tr>
      <w:tr>
        <w:trPr>
          <w:trHeight w:hRule="exact" w:val="260"/>
        </w:trPr>
        <w:tc>
          <w:tcPr>
            <w:tcW w:type="dxa" w:w="728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rPr>
              <w:t xml:space="preserve">Net cash used for investing activities</w:t>
            </w:r>
          </w:p>
        </w:tc>
        <w:tc>
          <w:tcPr>
            <w:tcW w:type="dxa" w:w="105"/>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(464,261</w:t>
            </w:r>
          </w:p>
        </w:tc>
        <w:tc>
          <w:tcPr>
            <w:tcW w:type="dxa" w:w="74"/>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(398,529</w:t>
            </w:r>
          </w:p>
        </w:tc>
        <w:tc>
          <w:tcPr>
            <w:tcW w:type="dxa" w:w="74"/>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rPr>
              <w:t xml:space="preserve">Cash flows from financing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Line of credit, net of repayments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(1,246,343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(1,246,343</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344,815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344,815</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Proceeds from secondary offering, net</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9,232,090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9,232,090</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Proceeds from stock purchase plan issuances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3,096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3,096</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9,035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9,035</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Stock issuance costs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(6,647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(6,647</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(700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rPr>
              <w:t xml:space="preserve">Net cash provided by financing activities</w:t>
            </w:r>
          </w:p>
        </w:tc>
        <w:tc>
          <w:tcPr>
            <w:tcW w:type="dxa" w:w="105"/>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7,982,196</w:t>
            </w:r>
          </w:p>
        </w:tc>
        <w:tc>
          <w:tcPr>
            <w:tcW w:type="dxa" w:w="74"/>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353,150</w:t>
            </w:r>
          </w:p>
        </w:tc>
        <w:tc>
          <w:tcPr>
            <w:tcW w:type="dxa" w:w="74"/>
            <w:tcMar>
              <w:left w:type="dxa" w:w="0"/>
              <w:right w:type="dxa" w:w="0"/>
            </w:tcMar>
            <w:tcBorders>
              <w:top w:val="single" w:sz="8" w:space="0"/>
              <w:bottom w:val="single" w:sz="8"/>
            </w:tcBorders>
          </w:tcPr>
          <w:p/>
        </w:tc>
      </w:tr>
      <w:tr>
        <w:trPr>
          <w:trHeight w:hRule="exact" w:val="260"/>
        </w:trPr>
        <w:tc>
          <w:tcPr>
            <w:tcW w:type="dxa" w:w="72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6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Net increase (decrease) in cash and cash equivalents</w:t>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7,356,789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7,356,789</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(2,028,638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(2,028,638</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6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Cash and cash equivalents, beginning of year</w:t>
            </w:r>
          </w:p>
        </w:tc>
        <w:tc>
          <w:tcPr>
            <w:tcW w:type="dxa" w:w="136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1,968,403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1,968,403</w:t>
            </w:r>
          </w:p>
        </w:tc>
        <w:tc>
          <w:tcPr>
            <w:tcW w:type="dxa" w:w="74"/>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3,906,797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3,906,797</w:t>
            </w:r>
          </w:p>
        </w:tc>
        <w:tc>
          <w:tcPr>
            <w:tcW w:type="dxa" w:w="74"/>
            <w:tcMar>
              <w:left w:type="dxa" w:w="0"/>
              <w:right w:type="dxa" w:w="0"/>
            </w:tcMar>
            <w:tcBorders>
              <w:bottom w:val="single" w:sz="8"/>
            </w:tcBorders>
          </w:tcPr>
          <w:p/>
        </w:tc>
      </w:tr>
      <w:tr>
        <w:trPr>
          <w:trHeight w:hRule="exact" w:val="26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rPr>
              <w:t xml:space="preserve">Cash and cash equivalents, end of period</w:t>
            </w:r>
          </w:p>
        </w:tc>
        <w:tc>
          <w:tcPr>
            <w:tcW w:type="dxa" w:w="105"/>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9,325,192</w:t>
            </w:r>
          </w:p>
        </w:tc>
        <w:tc>
          <w:tcPr>
            <w:tcW w:type="dxa" w:w="74"/>
            <w:tcMar>
              <w:left w:type="dxa" w:w="0"/>
              <w:right w:type="dxa" w:w="0"/>
            </w:tcMar>
            <w:tcBorders>
              <w:bottom w:val="double" w:sz="4"/>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1,878,159</w:t>
            </w:r>
          </w:p>
        </w:tc>
        <w:tc>
          <w:tcPr>
            <w:tcW w:type="dxa" w:w="74"/>
            <w:tcMar>
              <w:left w:type="dxa" w:w="0"/>
              <w:right w:type="dxa" w:w="0"/>
            </w:tcMar>
            <w:tcBorders>
              <w:bottom w:val="double" w:sz="4"/>
            </w:tcBorders>
          </w:tcPr>
          <w:p/>
        </w:tc>
      </w:tr>
      <w:tr>
        <w:trPr>
          <w:trHeight w:hRule="exact" w:val="260"/>
        </w:trPr>
        <w:tc>
          <w:tcPr>
            <w:tcW w:type="dxa" w:w="72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u w:val="single" w:color="000000"/>
              </w:rPr>
              <w:t xml:space="preserve">Supplemental cash flow information:</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Cash paid for interest</w:t>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223,757</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52,756</w:t>
            </w:r>
          </w:p>
        </w:tc>
        <w:tc>
          <w:tcPr>
            <w:tcW w:type="dxa" w:w="74"/>
            <w:tcMar>
              <w:left w:type="dxa" w:w="0"/>
              <w:right w:type="dxa" w:w="0"/>
            </w:tcMar>
            <w:tcBorders/>
          </w:tcPr>
          <w:p/>
        </w:tc>
      </w:tr>
      <w:tr>
        <w:trPr>
          <w:trHeight w:hRule="exact" w:val="260"/>
        </w:trPr>
        <w:tc>
          <w:tcPr>
            <w:tcW w:type="dxa" w:w="72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b w:val="true"/>
              </w:rPr>
            </w:pPr>
            <w:r>
              <w:rPr>
                <w:rFonts w:ascii="Times New Roman" w:hAnsi="Times New Roman" w:eastAsia="Times New Roman" w:cs="Times New Roman"/>
                <w:sz w:val="19"/>
                <w:b w:val="true"/>
                <w:color w:val="000000"/>
                <w:u w:val="single" w:color="000000"/>
              </w:rPr>
              <w:t xml:space="preserve">Non-cash financing and investing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2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Common stock issued for payment of acquisition liability</w:t>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1,076,022</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26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r>
      <w:tr>
        <w:trPr>
          <w:trHeight w:hRule="exact" w:val="260"/>
        </w:trPr>
        <w:tc>
          <w:tcPr>
            <w:tcW w:type="dxa" w:w="728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Fair value of common stock issued for future services, net</w:t>
            </w:r>
          </w:p>
        </w:tc>
        <w:tc>
          <w:tcPr>
            <w:tcW w:type="dxa" w:w="1366"/>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74,995</w:t>
            </w:r>
          </w:p>
        </w:tc>
        <w:tc>
          <w:tcPr>
            <w:tcMar>
              <w:left w:type="dxa" w:w="0"/>
              <w:right w:type="dxa" w:w="0"/>
            </w:tcMar>
            <w:tcBorders/>
            <w:vAlign w:val="bottom"/>
            <w:hMerge w:val="continue"/>
          </w:tcPr>
          <w:p>
            <w:pPr>
              <w:jc w:val="righ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74,995</w:t>
            </w:r>
          </w:p>
        </w:tc>
        <w:tc>
          <w:tcPr>
            <w:tcW w:type="dxa" w:w="74"/>
            <w:tcMar>
              <w:left w:type="dxa" w:w="0"/>
              <w:right w:type="dxa" w:w="0"/>
            </w:tcMar>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366"/>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491,325</w:t>
            </w:r>
          </w:p>
        </w:tc>
        <w:tc>
          <w:tcPr>
            <w:tcMar>
              <w:left w:type="dxa" w:w="0"/>
              <w:right w:type="dxa" w:w="0"/>
            </w:tcMar>
            <w:tcBorders/>
            <w:vAlign w:val="bottom"/>
            <w:hMerge w:val="continue"/>
          </w:tcPr>
          <w:p>
            <w:pPr>
              <w:jc w:val="righ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491,325</w:t>
            </w:r>
          </w:p>
        </w:tc>
        <w:tc>
          <w:tcPr>
            <w:tcW w:type="dxa" w:w="74"/>
            <w:tcMar>
              <w:left w:type="dxa" w:w="0"/>
              <w:right w:type="dxa" w:w="0"/>
            </w:tcMar>
            <w:tcBorders/>
          </w:tcPr>
          <w:p/>
        </w:tc>
      </w:tr>
    </w:tbl>
    <w:p>
      <w:pPr>
        <w:jc w:val="center"/>
        <w:spacing w:before="6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pgSz w:w="12240" w:h="15840"/>
          <w:pgMar w:top="860" w:left="1000" w:right="1000" w:bottom="860" w:footer="460" w:gutter="0" w:header="160"/>
          <w:headerReference r:id="rId1" w:type="default"/>
          <w:footerReference r:id="rId9" w:type="default"/>
        </w:sectPr>
      </w:pP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bookmarkStart w:id="6689" w:name="Notes_to_the_Consolidated_Financial_Stat"/>
      <w:bookmarkEnd w:id="6689"/>
    </w:p>
    <w:p>
      <w:pPr>
        <w:sectPr>
          <w:pgNumType w:fmt="decimal" w:chapSep="period"/>
          <w:pgSz w:w="12240" w:h="15840"/>
          <w:pgMar w:top="1080" w:left="1000" w:right="1000" w:bottom="860" w:footer="460" w:gutter="0" w:header="160"/>
          <w:headerReference r:id="rId10" w:type="default"/>
          <w:footerReference r:id="rId11" w:type="default"/>
        </w:sectPr>
      </w:pPr>
    </w:p>
    <w:p>
      <w:pPr>
        <w:tabs>
          <w:tab w:val="left" w:pos="144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1.	COMPANY AND SUMMARY OF SIGNIFICANT ACCOUNTING POLICIES</w:t>
      </w:r>
      <w:bookmarkStart w:id="32316" w:name="NOTE_1___Company_and_Summary_Of_Signific"/>
      <w:bookmarkEnd w:id="32316"/>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Nature of Business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 (together with its wholly-owned subsidiaries, “we,” “us,” “our,” “IZEA” or the “Company”) is a public company incorporated in the state of Nevada. In January 2015, IZEA purchased all of the outstanding shares of capital stock of Ebyline, Inc. (“Ebyline”). In July 2016, IZEA purchased all the outstanding shares of capital stock of ZenContent, Inc. (“ZenContent”). The legal entity of ZenContent was dissolved in December 2017 after all assets and transactions were transferred to IZEA. In March 2016, the Company formed IZEA Canada, Inc., a wholly-owned subsidiary, incorporated in Ontario, Canada, to operate as a sales and support office for IZEA’s Canadian customers. On July 26, 2018, the Company merged with TapInfluence, Inc. (“TapInfluence”) pursuant to the terms of an Agreement and Plan of Merger dated as of July 11, 2018, and amended July 20, 2018.</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creates and operates online marketplaces that connect marketers with content creators. The creators are compensated for producing and distributing unique content such as long and short form text, videos, photos, status updates, and illustrations for marketers or distributing such content on behalf of marketers through their personal websites, blogs, and social media channels. Marketers receive influential consumer content and engaging, shareable stories that drive awareness.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primary technology platform, The IZEA Exchange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In addition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the Company operates the Ebyline and TapInfluence technology platforms. The Ebyline platform was originally designed as a self-service content marketplace to replace editorial newsrooms in the news agencies with a “virtual newsroom” to handle their content workflow. The TapInfluence platform performs in a similar manner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is being utilized by the majority of its customers as a self-service platform via a licensing arrangement, allowing access to the platform and its creators for self-managed marketing campaigns.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Unaudited Interim Financial Information</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accompanying consolidated balance sheet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consolidated statements of operations for the three and six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consolidated statements of stockholders’ equity for the three and six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and the consolidated statements of cash flows for the three and six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are unaudited but include all adjustments that are, in the opinion of management, necessary for a fair presentation of its financial position at such dates and its results of operations and cash flows for the periods then ended in conformity with generally accepted accounting principles in the United States (“GAAP”). The consolidated balance sheet as of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has been derived from the audited consolidated financial statements at that date but, in accordance with the rules and regulations of the Securities and Exchange Commission (“SEC”), does not include all of the information and notes required by GAAP for complete financial statements. Operating results for the three and six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are not necessarily indicative of results that may be expected for the entire fiscal year. These unaudited consolidated financial statements should be read in conjunction with the consolidated financial statements and notes thereto for the fiscal year ended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included in the Company’s Annual Report on Form 10-K filed with the SEC on March 28, 2019.</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Principles of Consolidation</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consolidated financial statements include the accounts of IZEA Worldwide, Inc. and its wholly-owned subsidiaries, subsequent to the subsidiaries’ individual acquisition, merger or formation dates, as applicable. All significant intercompany balances and transactions have been eliminated in consolidation.</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consolidated financial statements were prepared using the acquisition method of accounting with IZEA considered the accounting acquirer of Ebyline, ZenContent and TapInfluence. Under the acquisition method of accounting, the purchase price is allocated to the underlying tangible and intangible assets acquired and liabilities assumed based on their respective fair market values with any excess purchase price allocated to goodwill.</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Cash and Cash Equivalents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considers all highly liquid investments purchased with an original maturity of three months or less from the date of purchase to be cash equivalents.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Accounts Receivable and Concentration of Credit Risk</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Accounts receivable are customer obligations due under normal trade terms. Management considers an account to be delinquent when the customer has not paid an amount due by its associated due date. Uncollectibility of accounts receivable is not significant since most customers are bound by contract and are required to fund the Company for all the costs of an “opportunity,” defined as an order created by a marketer for a creator to develop or share content on behalf of a marketer. If a portion of the account balance is deemed uncollectible, the Company will either write-off the amount owed or provide a reserve based on its best estimate of the uncollectible portion of the account. Management determines the collectibility of accounts by regularly evaluating individual customer receivables and considering a customer’s financial condition, credit history and current economic conditions. The Company had a reserve of </w:t>
      </w:r>
      <w:r>
        <w:rPr>
          <w:rFonts w:ascii="Times New Roman" w:hAnsi="Times New Roman" w:eastAsia="Times New Roman" w:cs="Times New Roman"/>
          <w:sz w:val="20"/>
        </w:rPr>
        <w:t xml:space="preserve">$120,060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$278,190</w:t>
      </w:r>
      <w:r>
        <w:rPr>
          <w:rFonts w:ascii="Times New Roman" w:hAnsi="Times New Roman" w:eastAsia="Times New Roman" w:cs="Times New Roman"/>
          <w:sz w:val="20"/>
        </w:rPr>
        <w:t xml:space="preserve">, for doubtful accounts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respectively. Management believes that this estimate is reasonable, but there can be no assurance that the estimate will not change as a result of a change in economic conditions or business conditions within the industry, the individual customers or the Company. Any adjustments to this account are reflected in the consolidated statements of operations as a general and administrative expense. Bad debt expense was less than </w:t>
      </w:r>
      <w:r>
        <w:rPr>
          <w:rFonts w:ascii="Times New Roman" w:hAnsi="Times New Roman" w:eastAsia="Times New Roman" w:cs="Times New Roman"/>
          <w:sz w:val="20"/>
        </w:rPr>
        <w:t xml:space="preserve">1%</w:t>
      </w:r>
      <w:r>
        <w:rPr>
          <w:rFonts w:ascii="Times New Roman" w:hAnsi="Times New Roman" w:eastAsia="Times New Roman" w:cs="Times New Roman"/>
          <w:sz w:val="20"/>
        </w:rPr>
        <w:t xml:space="preserve"> of revenue for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Concentrations of credit risk with respect to accounts receivable were typically limited because a large number of geographically diverse customers make up the Company’s customer base, thus spreading the trade credit risk. However, with the Company’s acquisition of TapInfluence, it has increased credit exposure on certain customers who carry significant credit balances related to their marketplace spend. The Company controls credit risk through credit approvals, credit limits and monitoring procedures. The Company performs credit evaluations of its customers, but generally does not require collateral to support accounts receivable.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customer that accounted for </w:t>
      </w:r>
      <w:r>
        <w:rPr>
          <w:rFonts w:ascii="Times New Roman" w:hAnsi="Times New Roman" w:eastAsia="Times New Roman" w:cs="Times New Roman"/>
          <w:sz w:val="20"/>
        </w:rPr>
        <w:t xml:space="preserve">26%</w:t>
      </w:r>
      <w:r>
        <w:rPr>
          <w:rFonts w:ascii="Times New Roman" w:hAnsi="Times New Roman" w:eastAsia="Times New Roman" w:cs="Times New Roman"/>
          <w:sz w:val="20"/>
        </w:rPr>
        <w:t xml:space="preserve"> of total accounts receivable at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customers that together accounted for </w:t>
      </w:r>
      <w:r>
        <w:rPr>
          <w:rFonts w:ascii="Times New Roman" w:hAnsi="Times New Roman" w:eastAsia="Times New Roman" w:cs="Times New Roman"/>
          <w:sz w:val="20"/>
        </w:rPr>
        <w:t xml:space="preserve">36%</w:t>
      </w:r>
      <w:r>
        <w:rPr>
          <w:rFonts w:ascii="Times New Roman" w:hAnsi="Times New Roman" w:eastAsia="Times New Roman" w:cs="Times New Roman"/>
          <w:sz w:val="20"/>
        </w:rPr>
        <w:t xml:space="preserve"> at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had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customer that accounted for more than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its revenue during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customer that accounted for more than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its revenue during the three months ended </w:t>
      </w:r>
      <w:r>
        <w:rPr>
          <w:rFonts w:ascii="Times New Roman" w:hAnsi="Times New Roman" w:eastAsia="Times New Roman" w:cs="Times New Roman"/>
          <w:sz w:val="20"/>
        </w:rPr>
        <w:t xml:space="preserve">June 30, 2018</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customer that accounted for more than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its revenue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customer that accounted for more than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its revenue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2018</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Property and Equipment</w:t>
      </w:r>
    </w:p>
    <w:p>
      <w:pPr>
        <w:ind w:firstLine="720"/>
        <w:jc w:val="left"/>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Property and equipment are recorded at cost, or if acquired in a business combination, at the acquisition date fair value. Depreciation and amortization is computed using the straight-line method over the estimated useful lives of the assets as follows:</w:t>
      </w:r>
    </w:p>
    <w:tbl>
      <w:tblPr>
        <w:tblW w:type="dxa" w:w="10240"/>
        <w:tblLayout w:type="fixed"/>
        <w:jc w:val="left"/>
      </w:tblPr>
      <w:tblGrid>
        <w:gridCol w:w="9100"/>
        <w:gridCol w:w="1140"/>
      </w:tblGrid>
      <w:tr>
        <w:trPr>
          <w:trHeight w:hRule="exact" w:val="280"/>
        </w:trPr>
        <w:tc>
          <w:tcPr>
            <w:tcW w:type="dxa" w:w="91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Computer Equipment</w:t>
            </w:r>
          </w:p>
        </w:tc>
        <w:tc>
          <w:tcPr>
            <w:tcW w:type="dxa" w:w="114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 years</w:t>
            </w:r>
          </w:p>
        </w:tc>
      </w:tr>
      <w:tr>
        <w:trPr>
          <w:trHeight w:hRule="exact" w:val="280"/>
        </w:trPr>
        <w:tc>
          <w:tcPr>
            <w:tcW w:type="dxa" w:w="91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Office Equipment</w:t>
            </w:r>
          </w:p>
        </w:tc>
        <w:tc>
          <w:tcPr>
            <w:tcW w:type="dxa" w:w="114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3 - 10 years</w:t>
            </w:r>
          </w:p>
        </w:tc>
      </w:tr>
      <w:tr>
        <w:trPr>
          <w:trHeight w:hRule="exact" w:val="280"/>
        </w:trPr>
        <w:tc>
          <w:tcPr>
            <w:tcW w:type="dxa" w:w="91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Furniture and Fixtures</w:t>
            </w:r>
          </w:p>
        </w:tc>
        <w:tc>
          <w:tcPr>
            <w:tcW w:type="dxa" w:w="1140"/>
            <w:tcMar>
              <w:left w:type="dxa" w:w="0"/>
              <w:right w:type="dxa" w:w="60"/>
            </w:tcMar>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5 - 10 years</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Leasehold improvements are amortized over the shorter of the term of the lease or the estimated useful lives of the improvements. Expenditures for repairs and maintenance are charged to expense as incurred. Expenditures for betterments and major improvements are capitalized and depreciated over the remaining useful lives of the assets. The carrying amounts of assets sold or retired and the related accumulated depreciation are eliminated in the year of disposal, with resulting gains or losses included in General and administrative expense in the consolidated statements of operations. There were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material impairment charges associated with the Company’s long-lived tangible assets during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Goodwill and Business Combinations</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Goodwill represents the excess of the purchase consideration of an acquired business over the fair value of the underlying net tangible and intangible assets. The Company has goodwill in connection with its acquisitions of Ebyline, ZenContent and TapInfluence. Goodwill is not amortized but instead it is tested for impairment at least annually. In the event that management determines that the value of goodwill has become impaired, the Company will record a charge for the amount of impairment during the fiscal quarter in which the determination is made.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performs its annual impairment tests of goodwill as of October 1 of each year, or more frequently, if certain indicators are present. 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The Company has determined that it has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reporting units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See further discussion regarding segment reporting in Note 10.  Business Segments.</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there were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impairment charges related to goodwill.</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Intangible Assets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acquired the majority of its intangible assets through its acquisitions of Ebyline, ZenContent and TapInfluence. The Company is amortizing the identifiable intangible assets over periods of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60</w:t>
      </w:r>
      <w:r>
        <w:rPr>
          <w:rFonts w:ascii="Times New Roman" w:hAnsi="Times New Roman" w:eastAsia="Times New Roman" w:cs="Times New Roman"/>
          <w:sz w:val="20"/>
        </w:rPr>
        <w:t xml:space="preserve"> months. See Note 4. Intangible Assets for further details.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Management reviews long-lived assets, including property and equipment, software development costs and other intangible assets, for impairment whenever events or changes in circumstances indicate that their carrying amounts may not be recoverable. If an evaluation is required, the estimated future undiscounted cash flows associated with the asset are compared with the asset’s carrying amount to determine if there has been an impairment, which is calculated as the difference between the fair value of an asset and its carrying value. Estimates of future undiscounted cash flows are based on expected growth rates for the business, anticipated future economic conditions and estimates of residual values. Fair values take into consideration management estimates of risk-adjusted discount rates, which are believed to be consistent with assumptions that marketplace participants would use in their estimates of fair value. For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there were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impairment charges associated with the Company’s long-lived intangible assets.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Software Development Costs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accordance with Accounting Standards Codification (“ASC”) 350-40,</w:t>
      </w:r>
      <w:r>
        <w:rPr>
          <w:rFonts w:ascii="Times New Roman" w:hAnsi="Times New Roman" w:eastAsia="Times New Roman" w:cs="Times New Roman"/>
          <w:sz w:val="20"/>
          <w:i w:val="true"/>
        </w:rPr>
        <w:t xml:space="preserve"> Internal Use Software,</w:t>
      </w:r>
      <w:r>
        <w:rPr>
          <w:rFonts w:ascii="Times New Roman" w:hAnsi="Times New Roman" w:eastAsia="Times New Roman" w:cs="Times New Roman"/>
          <w:sz w:val="20"/>
        </w:rPr>
        <w:t xml:space="preserve"> the Company capitalizes certain internal use software development costs associated with creating and enhancing internally developed software related to its platforms. Software development activities generally consist of three stages (i) the research and planning stage, (ii) the application and development stage, and (iii) the post-implementation stage. Costs incurred in the research and planning stage and in the post-implementation stage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These software development and acquired technology costs are amortized on a straight-line basis over the estimated useful life of </w:t>
      </w:r>
      <w:r>
        <w:rPr>
          <w:rFonts w:ascii="Times New Roman" w:hAnsi="Times New Roman" w:eastAsia="Times New Roman" w:cs="Times New Roman"/>
          <w:sz w:val="20"/>
        </w:rPr>
        <w:t xml:space="preserve">five years</w:t>
      </w:r>
      <w:r>
        <w:rPr>
          <w:rFonts w:ascii="Times New Roman" w:hAnsi="Times New Roman" w:eastAsia="Times New Roman" w:cs="Times New Roman"/>
          <w:sz w:val="20"/>
        </w:rPr>
        <w:t xml:space="preserve"> upon initial release of the software or additional features. See Note 5. Software Development Costs for further details.</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Leases</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Effective January 1, 2019, the Company adopted Accounting Standards Update (“ASU”) No. 2016-02,</w:t>
      </w:r>
      <w:r>
        <w:rPr>
          <w:rFonts w:ascii="Times New Roman" w:hAnsi="Times New Roman" w:eastAsia="Times New Roman" w:cs="Times New Roman"/>
          <w:sz w:val="20"/>
          <w:i w:val="true"/>
        </w:rPr>
        <w:t xml:space="preserve"> Leases (Topic 842)</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As permitted under the standard, the Company elected the package of practical expedients which permit the Company to carryforward its prior conclusions about lease identification, lease classification and initial direct costs.</w:t>
      </w:r>
      <w:r>
        <w:rPr>
          <w:rFonts w:ascii="Times New Roman" w:hAnsi="Times New Roman" w:eastAsia="Times New Roman" w:cs="Times New Roman"/>
          <w:sz w:val="20"/>
        </w:rPr>
        <w:t xml:space="preserve"> Additionally, the Company adopted the practical expedient that allows comparative periods to be reported under the lease accounting guidance in effect at the time prior period financial statements were previously issued. Effectively, the Company elected to apply the guidance as of the adoption date whereas financial information for prior periods has not been updated, and the disclosures required under the new standard herein have not been provided for dates and periods before January 1, 2019.</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This ASU establishes a right-of-use model that requires a lessee to record a right-of-use asset and a right-of-use  liability on the balance sheet for all leases with terms longer than 12 months. Leases will be classified as either finance or operating, with classification affecting the pattern of expense recognition in the income statement. The Company has not recorded leases on the balance sheet that at the commencement date have a lease term of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months or less.</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its January 1, 2019 adoption of this standard, the Company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material lease greater than 12 months in duration which is associated with its Corporate headquarters in Winter Park, Florida. The adoption of this standard resulted in the Company recording a right-of-use asset of </w:t>
      </w:r>
      <w:r>
        <w:rPr>
          <w:rFonts w:ascii="Times New Roman" w:hAnsi="Times New Roman" w:eastAsia="Times New Roman" w:cs="Times New Roman"/>
          <w:sz w:val="20"/>
        </w:rPr>
        <w:t xml:space="preserve">$412,442</w:t>
      </w:r>
      <w:r>
        <w:rPr>
          <w:rFonts w:ascii="Times New Roman" w:hAnsi="Times New Roman" w:eastAsia="Times New Roman" w:cs="Times New Roman"/>
          <w:sz w:val="20"/>
        </w:rPr>
        <w:t xml:space="preserve"> and an associated right-of-use liability of </w:t>
      </w:r>
      <w:r>
        <w:rPr>
          <w:rFonts w:ascii="Times New Roman" w:hAnsi="Times New Roman" w:eastAsia="Times New Roman" w:cs="Times New Roman"/>
          <w:sz w:val="20"/>
        </w:rPr>
        <w:t xml:space="preserve">$400,977</w:t>
      </w:r>
      <w:r>
        <w:rPr>
          <w:rFonts w:ascii="Times New Roman" w:hAnsi="Times New Roman" w:eastAsia="Times New Roman" w:cs="Times New Roman"/>
          <w:sz w:val="20"/>
        </w:rPr>
        <w:t xml:space="preserve">. The right-of-use asset is being amortized to rent expense over the remaining term of the lease. The right-of-use liability was determined by discounting the Company’s remaining obligations under the lease using its average incremental borrowing rate and will be increased through the recording of interest expense and reduced by payments made under the lease.</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Revenue Recognition</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generates revenue from five primary sources: (1) revenue from its managed services when a marketer (typically a brand, agency or partner) pays the Company to provide custom content, influencer marketing, amplification or other consulting services (“Managed Services”); (2) revenue from fees charged to self-service customers on their marketplace spend within the Company’s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(“Marketplace Spend Fees”); (3) revenue from fees charged to access the </w:t>
      </w:r>
      <w:r>
        <w:rPr>
          <w:rFonts w:ascii="Times New Roman" w:hAnsi="Times New Roman" w:eastAsia="Times New Roman" w:cs="Times New Roman"/>
          <w:sz w:val="20"/>
          <w:i w:val="true"/>
        </w:rPr>
        <w:t xml:space="preserve">IZEAx, Ebyline,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(“License Fees”); (4) revenue from transactions generated by the self-service use of the Company’s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for professional custom content workflow (“Legacy Workflow Fees”); and (5) revenue derived from other fees such as inactivity fees, early cash-out fees, and plan fees charged to users of the Company’s platforms (“Other”).</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recognizes revenue in accordance with Accounting Standards Codification Topic 606, </w:t>
      </w:r>
      <w:r>
        <w:rPr>
          <w:rFonts w:ascii="Times New Roman" w:hAnsi="Times New Roman" w:eastAsia="Times New Roman" w:cs="Times New Roman"/>
          <w:sz w:val="20"/>
          <w:i w:val="true"/>
        </w:rPr>
        <w:t xml:space="preserve">Revenue from Contracts with Customers </w:t>
      </w:r>
      <w:r>
        <w:rPr>
          <w:rFonts w:ascii="Times New Roman" w:hAnsi="Times New Roman" w:eastAsia="Times New Roman" w:cs="Times New Roman"/>
          <w:sz w:val="20"/>
        </w:rPr>
        <w:t xml:space="preserve">(“ASC 606”). Under ASC 606, revenue is recognized based on a five-step model which are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is recognized when the transfer of promised goods or services to customers is made in an amount that reflects the consideration to which the entity expects to be entitled in exchange for those goods or services. The Company applies the five-step model to contracts when it is probable that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distinct performance obligations. The Company also determines whether it acts as an agent or a principal for each identified performance obligation. The determination of whether the Company acts as the principal or the agent is highly subjective and requires the Company to evaluate a number of indicators individually and as a whole in order to make its determination</w:t>
      </w:r>
      <w:r>
        <w:rPr>
          <w:rFonts w:ascii="Times New Roman" w:hAnsi="Times New Roman" w:eastAsia="Times New Roman" w:cs="Times New Roman"/>
          <w:sz w:val="22"/>
        </w:rPr>
        <w:t xml:space="preserve">. </w:t>
      </w:r>
      <w:r>
        <w:rPr>
          <w:rFonts w:ascii="Times New Roman" w:hAnsi="Times New Roman" w:eastAsia="Times New Roman" w:cs="Times New Roman"/>
          <w:sz w:val="20"/>
        </w:rPr>
        <w:t xml:space="preserve">For transactions in which the Company acts as a principal, revenue is reported on a gross basis as the amount paid by the marketer for the purchase of content or sponsorship, promotion and other related services and the Company records the amounts it pays to third-party creators as cost of revenue. For transactions in which the Company acts as an agent, revenue is reported on a net basis as the amount the Company charged to the self-service marketer using the Company’s platforms, less the amounts paid to the third-party creators providing the service.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maintains separate arrangements with each marketer and content creator either in the form of a master agreement or terms of service, which specify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the Company to manage their advertising campaigns or custom content requests may prepay for services or request credit terms. Payment terms are typically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 days from the invoice date. The agreement typically provides for either a non-refundable deposit, or a cancellation fee if the agreement is canceled by the customer prior to completion of services. Billings in advance of completed services are recorded as a contract liability until earned. The Company assesses collectibility based on a number of factors, including the creditworthiness of the customer and payment and transaction history. The allocation of the transaction price to the performance obligations in the contract is based on a cost-plus methodology.</w:t>
      </w:r>
    </w:p>
    <w:p>
      <w:pPr>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Managed Services Revenue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Managed Services Revenue, the Company enters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The Company may provide one type or a combination of all types of these performance obligations on a statement of work for a lump sum fee. The Company allocates revenue to each performance obligation in the contract at inception based on its relative standalone selling price. These performance obligations are to be provided over a stated period that generally ranges from one day to one year. Revenue is accounted for when the performance obligation has been satisfied depending on the type of service provided. The Company views its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the Company has no alternative for the custom content and the Company has an enforceable right to payment for performance completed to date under the contracts. The Company considers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the Company’s evaluations, revenue from Managed Services is reported on a gross basis because the Company has the primary obligation to fulfill the performance obligations and it creates, reviews and controls the services. The Company takes on the risk of payment to any third-party creators and it establishes the contract price directly with its customers based on the services requested in the statement of work.</w:t>
      </w:r>
    </w:p>
    <w:p>
      <w:pPr>
        <w:ind w:firstLine="720"/>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Marketplace Spend Fees and Legacy Workflow Fees Revenue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Marketplace Spend Fees and Legacy Workflow Fees Revenue, the self-service customer instructs creators found through the Company’s platforms to provide and/or distribute custom content for an agreed upon transaction price. The Company’s platforms control the contracting, description of services, acceptance of and payment for the requested content. This service is used primarily by news agencies or marketers to control the outsourcing of their content and advertising needs. The Company charges the self-service customer the transaction price plus a fee based on the contract. Revenue is recognized when the transaction is completed by the creator and accepted by the marketer. Based on the Company’s evaluations, Marketplace Spend Fee revenue is reported on a net basis since the Company is acting as an agent solely arranging for the third-party creator or influencer to provide the services directly to the self-service customer through the platform, and is typically recognized upon publishing or purchase of the marketplace spend by the creator and verification of the publishing by the marketer.</w:t>
      </w:r>
    </w:p>
    <w:p>
      <w:pPr>
        <w:ind w:firstLine="720"/>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License Fees Revenue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License Fees Revenue is generated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ind w:firstLine="720"/>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Other Revenue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Other Revenue is generated when fees are charged to customers primarily related to monthly plan fees, inactivity fees, and early cash-out fees. Plan fees are recognized within the month they relate to, inactivity fees are recognized at a point in time when the account is deemed inactive, and early cash-out fees are recognized when a cash-out either below certain minimum thresholds or with accelerated timing is requested.</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does not typically engage in contracts that are longer than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year. Therefore, the Company does not capitalize costs to obtain its customer contracts as these amounts generally would be recognized over a period of less than one year and are not material.</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Advertising Costs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Advertising costs are charged to expense as they are incurred, including payments to content creators to promote the Company. Advertising costs charged to operations for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were </w:t>
      </w:r>
      <w:r>
        <w:rPr>
          <w:rFonts w:ascii="Times New Roman" w:hAnsi="Times New Roman" w:eastAsia="Times New Roman" w:cs="Times New Roman"/>
          <w:sz w:val="20"/>
        </w:rPr>
        <w:t xml:space="preserve">$149,277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$216,410</w:t>
      </w:r>
      <w:r>
        <w:rPr>
          <w:rFonts w:ascii="Times New Roman" w:hAnsi="Times New Roman" w:eastAsia="Times New Roman" w:cs="Times New Roman"/>
          <w:sz w:val="20"/>
        </w:rPr>
        <w:t xml:space="preserve">, respectively.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advertising costs were </w:t>
      </w:r>
      <w:r>
        <w:rPr>
          <w:rFonts w:ascii="Times New Roman" w:hAnsi="Times New Roman" w:eastAsia="Times New Roman" w:cs="Times New Roman"/>
          <w:sz w:val="20"/>
        </w:rPr>
        <w:t xml:space="preserve">$227,355</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$318,330</w:t>
      </w:r>
      <w:r>
        <w:rPr>
          <w:rFonts w:ascii="Times New Roman" w:hAnsi="Times New Roman" w:eastAsia="Times New Roman" w:cs="Times New Roman"/>
          <w:sz w:val="20"/>
        </w:rPr>
        <w:t xml:space="preserve">, respectively. Advertising costs are included in Sales and marketing expense in the accompanying consolidated statements of operations.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Income Taxes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not recorded federal income tax expense due to the generation of net operating losses. Deferred income taxes are accounted for using the balance sheet approach, which requires recognition of deferred tax assets and liabilities for the expected future consequences of temporary differences between the financial reporting basis and the tax basis of assets and liabilities. A valuation allowance is provided when it is more likely than not that a deferred tax asset will not be realized. The Company incurs minimal state franchise tax in three states, which is included in General and administrative expense in the consolidated statements of operations.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identifies and evaluates uncertain tax positions, if any, and recognizes the impact of uncertain tax positions for which there is a less than more-likely-than-not probability of the position being upheld when reviewed by the relevant taxing authority. Such positions are deemed to be unrecognized tax benefits and a corresponding liability is established on the balance sheet. The Company has not recognized a liability for uncertain tax positions. If there were an unrecognized tax benefit, the Company would recognize interest accrued related to unrecognized tax benefits in interest expense and penalties in operating expenses. The Company’s tax years subject to examination by the Internal Revenue Service are 2015, 2016 and 2017.</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Fair Value of Financial Instruments</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financial instruments are recorded at fair value. Fair value is defined as the exchange price that would be received for an asset or paid to transfer a liability (an exit price) in the principal or most advantageous market for the asset or liability in an orderly transaction between market participants on the measurement date. The valuation techniques are based on observable and unobservable inputs. Observable inputs reflect readily obtainable data from independent sources, while unobservable inputs reflect certain market assumptions. There are three levels of inputs that may be used to measure fair value:</w:t>
      </w:r>
    </w:p>
    <w:p>
      <w:pPr>
        <w:ind w:left="720" w:firstLine="-360"/>
        <w:jc w:val="left"/>
        <w:spacing w:before="120" w:after="180" w:line="288" w:lineRule="auto"/>
        <w:rPr>
          <w:rFonts w:ascii="Times New Roman" w:hAnsi="Times New Roman" w:eastAsia="Times New Roman" w:cs="Times New Roman"/>
          <w:sz w:val="20"/>
          <w:rFonts w:ascii="Times New Roman" w:hAnsi="Times New Roman" w:eastAsia="Times New Roman" w:cs="Times New Roman"/>
          <w:sz w:val="20"/>
        </w:rPr>
        <w:numPr>
          <w:ilvl w:val="0"/>
          <w:numId w:val="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Level 1 </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Valuation based on quoted market prices in active markets for identical assets and liabilities.</w:t>
      </w:r>
    </w:p>
    <w:p>
      <w:pPr>
        <w:ind w:left="720" w:firstLine="-360"/>
        <w:jc w:val="left"/>
        <w:spacing w:after="180" w:line="288" w:lineRule="auto"/>
        <w:rPr>
          <w:rFonts w:ascii="Times New Roman" w:hAnsi="Times New Roman" w:eastAsia="Times New Roman" w:cs="Times New Roman"/>
          <w:sz w:val="20"/>
          <w:rFonts w:ascii="Times New Roman" w:hAnsi="Times New Roman" w:eastAsia="Times New Roman" w:cs="Times New Roman"/>
          <w:sz w:val="20"/>
        </w:rPr>
        <w:numPr>
          <w:ilvl w:val="0"/>
          <w:numId w:val="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Level 2 </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Valuation based on quoted market prices for similar assets and liabilities in active markets.</w:t>
      </w:r>
    </w:p>
    <w:p>
      <w:pPr>
        <w:ind w:left="720" w:firstLine="-360"/>
        <w:jc w:val="left"/>
        <w:spacing w:after="180" w:line="288" w:lineRule="auto"/>
        <w:rPr>
          <w:rFonts w:ascii="Times New Roman" w:hAnsi="Times New Roman" w:eastAsia="Times New Roman" w:cs="Times New Roman"/>
          <w:sz w:val="20"/>
          <w:rFonts w:ascii="Times New Roman" w:hAnsi="Times New Roman" w:eastAsia="Times New Roman" w:cs="Times New Roman"/>
          <w:sz w:val="20"/>
        </w:rPr>
        <w:numPr>
          <w:ilvl w:val="0"/>
          <w:numId w:val="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Level 3 </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Valuation based on unobservable inputs that are supported by little or no market activity, therefore requiring management’s best estimate of what market participants would use as fair value.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Fair value estimates discussed herein are based upon certain market assumptions and pertinent information available to management. The Company does not have any Level 1 or 2 financial assets or liabilities. The Company’s Level 3 financial liabilities measured at fair value included its acquisition cost liability (see Note 2. Business Combinations)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and its right-of-use liability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respective carrying values of certain on-balance-sheet financial instruments approximated their fair values due to the short-term nature of these instruments. These financial instruments include cash and cash equivalents, accounts receivable, accounts payable, contract liabilities, and accrued expenses.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Stock-Based Compensation</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cost related to stock options granted under the 2011 Equity Incentive Plan and the 2011 B Equity Incentive Plan (together, the “2011 Equity Incentive Plans”) (see Note 7. Stockholders’ Equity) is measured at the grant date, based on the fair value of the award, and is recognized as expense over the employee’s requisite service period on a straight-line basis. The Company estimates the fair value of each stock option award on the date of grant using a Black-Scholes option-pricing model that uses the assumptions noted in the table below. The Company uses the closing stock price of its common stock on the date of the grant as the associated fair value of its common stock. The Company estimates the volatility of its common stock at the date of grant based on the volatility of comparable peer companies that are publicly traded and have had a longer trading history than itself. The Company determines the expected life based on historical experience with similar awards, giving consideration to the contractual terms, vesting schedules and post-vesting forfeitures. The Company uses the risk-free interest rate on the implied yield currently available on U.S. Treasury issues with an equivalent remaining term approximately equal to the expected life of the award. The Company has never paid any cash dividends on its common stock and does not anticipate paying any cash dividends in the foreseeable future.</w:t>
      </w:r>
    </w:p>
    <w:p>
      <w:pPr>
        <w:ind w:firstLine="720"/>
        <w:jc w:val="left"/>
        <w:keepNext/>
        <w:keepLines/>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used the following assumptions for stock options granted under the 2011 Equity Incentive Plans during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tbl>
      <w:tblPr>
        <w:tblW w:type="dxa" w:w="10240"/>
        <w:tblLayout w:type="fixed"/>
        <w:jc w:val="left"/>
      </w:tblPr>
      <w:tblGrid>
        <w:gridCol w:w="4720"/>
        <w:gridCol w:w="80"/>
        <w:gridCol w:w="1300"/>
        <w:gridCol w:w="80"/>
        <w:gridCol w:w="1300"/>
        <w:gridCol w:w="80"/>
        <w:gridCol w:w="1300"/>
        <w:gridCol w:w="80"/>
        <w:gridCol w:w="1300"/>
      </w:tblGrid>
      <w:tr>
        <w:trPr>
          <w:trHeight w:hRule="exact" w:val="240"/>
        </w:trPr>
        <w:tc>
          <w:tcPr>
            <w:tcW w:type="dxa" w:w="472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268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60"/>
            </w:tcMar>
            <w:hMerge w:val="continue"/>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268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r>
      <w:tr>
        <w:trPr>
          <w:trHeight w:hRule="exact" w:val="280"/>
        </w:trPr>
        <w:tc>
          <w:tcPr>
            <w:tcW w:type="dxa" w:w="4720"/>
            <w:tcMar>
              <w:left w:type="dxa" w:w="60"/>
              <w:right w:type="dxa" w:w="0"/>
            </w:tcMar>
            <w:hMerge w:val="restart"/>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W w:type="dxa" w:w="80"/>
            <w:tcMar>
              <w:left w:type="dxa" w:w="0"/>
              <w:right w:type="dxa" w:w="0"/>
            </w:tcMar>
            <w:tcBorders>
              <w:top w:val="single" w:sz="8" w:space="0"/>
            </w:tcBorders>
            <w:vAlign w:val="top"/>
          </w:tcPr>
          <w:p>
            <w:pPr>
              <w:jc w:val="left"/>
              <w:keepNext/>
              <w:keepLines/>
              <w:spacing w:before="40" w:after="40" w:line="240" w:lineRule="auto"/>
              <w:rPr/>
            </w:pPr>
            <w:r>
              <w:rPr/>
            </w:r>
          </w:p>
        </w:tc>
        <w:tc>
          <w:tcPr>
            <w:tcW w:type="dxa" w:w="1300"/>
            <w:tcMar>
              <w:left w:type="dxa" w:w="60"/>
              <w:right w:type="dxa" w:w="60"/>
            </w:tcMar>
            <w:tcBorders>
              <w:top w:val="single" w:sz="8" w:space="0"/>
              <w:bottom w:val="single" w:sz="8"/>
            </w:tcBorders>
            <w:vAlign w:val="top"/>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Expected term</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 years</w:t>
            </w: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Weighted-average volatility</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61.85%</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57.70%</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62.01%</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59.07%</w:t>
            </w: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Weighted-average risk-free interest rate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2.38%</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2.83%</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2.67%</w:t>
            </w:r>
          </w:p>
        </w:tc>
      </w:tr>
      <w:tr>
        <w:trPr>
          <w:trHeight w:hRule="exact" w:val="300"/>
        </w:trPr>
        <w:tc>
          <w:tcPr>
            <w:tcW w:type="dxa" w:w="47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Expected dividends</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estimates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 For stock options granted during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weighted-average expected forfeiture rates were </w:t>
      </w:r>
      <w:r>
        <w:rPr>
          <w:rFonts w:ascii="Times New Roman" w:hAnsi="Times New Roman" w:eastAsia="Times New Roman" w:cs="Times New Roman"/>
          <w:sz w:val="20"/>
        </w:rPr>
        <w:t xml:space="preserve">5.92%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9.70%</w:t>
      </w:r>
      <w:r>
        <w:rPr>
          <w:rFonts w:ascii="Times New Roman" w:hAnsi="Times New Roman" w:eastAsia="Times New Roman" w:cs="Times New Roman"/>
          <w:sz w:val="20"/>
        </w:rPr>
        <w:t xml:space="preserve">, respectively. Weighted-average expected forfeiture rates were </w:t>
      </w:r>
      <w:r>
        <w:rPr>
          <w:rFonts w:ascii="Times New Roman" w:hAnsi="Times New Roman" w:eastAsia="Times New Roman" w:cs="Times New Roman"/>
          <w:sz w:val="20"/>
        </w:rPr>
        <w:t xml:space="preserve">6.12%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13.44%</w:t>
      </w:r>
      <w:r>
        <w:rPr>
          <w:rFonts w:ascii="Times New Roman" w:hAnsi="Times New Roman" w:eastAsia="Times New Roman" w:cs="Times New Roman"/>
          <w:sz w:val="20"/>
        </w:rPr>
        <w:t xml:space="preserve"> on stock options granted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ind w:firstLine="720"/>
        <w:jc w:val="left"/>
        <w:keepNex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granted </w:t>
      </w:r>
      <w:r>
        <w:rPr>
          <w:rFonts w:ascii="Times New Roman" w:hAnsi="Times New Roman" w:eastAsia="Times New Roman" w:cs="Times New Roman"/>
          <w:sz w:val="20"/>
        </w:rPr>
        <w:t xml:space="preserve">132,125</w:t>
      </w:r>
      <w:r>
        <w:rPr>
          <w:rFonts w:ascii="Times New Roman" w:hAnsi="Times New Roman" w:eastAsia="Times New Roman" w:cs="Times New Roman"/>
          <w:sz w:val="20"/>
        </w:rPr>
        <w:t xml:space="preserve"> restricted stock units under the 2011 Equity Incentive Plans during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restricted stock units under the 2011 Equity Incentive Plans were granted during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may issue shares of restricted stock or restricted stock units which vest over future periods. The value of shares issued to non-employees is required to be adjusted over the vesting period. See Note 7. Stockholders’ Equity for additional information related to these shares.</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Non-Employee Stock-Based Payments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accounting policy for equity instruments issued to consultants and vendors in exchange for goods and services follows the provisions of ASC 505, </w:t>
      </w:r>
      <w:r>
        <w:rPr>
          <w:rFonts w:ascii="Times New Roman" w:hAnsi="Times New Roman" w:eastAsia="Times New Roman" w:cs="Times New Roman"/>
          <w:sz w:val="20"/>
          <w:i w:val="true"/>
        </w:rPr>
        <w:t xml:space="preserve">“Equity-Based Payments to Non-Employees.” </w:t>
      </w:r>
      <w:r>
        <w:rPr>
          <w:rFonts w:ascii="Times New Roman" w:hAnsi="Times New Roman" w:eastAsia="Times New Roman" w:cs="Times New Roman"/>
          <w:sz w:val="20"/>
        </w:rPr>
        <w:t xml:space="preserve">The measurement date for the fair value of the equity instruments issued is determined at the earlier of (i) the date at which a commitment for performance by the consultant or vendor is reached or (ii) the date at which the consultant or vendor’s performance is complete. The fair value of equity instruments issued to consultants that vest immediately is expensed when issued. The fair value of equity instruments issued to consultants that have future vesting and are subject to forfeiture if performance does not occur is recognized as expense over the vesting period. Fair values for the unvested portion of issued instruments are adjusted each reporting period. The change in fair value is recorded in the accompanying consolidated statements of operations. Stock-based payments related to non-employees is accounted for based on the fair value of the related stock or the fair value of the services, whichever is more readily determinable.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Derivative Financial Instruments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Derivative financial instruments are defined as financial instruments or other contracts that contain a notional amount and one or more underlying factors (e.g., interest rate, security price or other variable), require no initial net investment and permit net settlement. Derivative financial instruments may be free-standing or embedded in other financial instruments. Further, derivative financial instruments are initially, and subsequently, measured at fair value and recorded as liabilities or assets. The Company accounts for derivative instruments in accordance with ASC 815, Derivatives and Hedging (“ASC 815”), which requires additional disclosures about the Company’s objectives and strategies for using derivative instruments, how the derivative instruments and related hedged items are accounted for, and how the derivative instruments and related hedging items affect the financial statements. The Company does not use derivative instruments to hedge exposures to cash flow, market or foreign currency risk. Terms of equity instruments are reviewed to determine whether or not they contain embedded derivative instruments that are required under ASC 815 to be accounted for separately from the host contract, and recorded on the balance sheet at fair value. The fair value of derivative liabilities, if any, is required to be revalued at each reporting date, with corresponding changes in fair value recorded in current period operating results. Pursuant to ASC 815, an evaluation of specifically identified conditions is made to determine whether the fair value of warrants issued is required to be classified as equity or as a derivative liability.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Use of Estimates</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Recently Issued Accounting Pronouncements</w:t>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Accounting Standards Not Yet Adopted</w:t>
      </w:r>
    </w:p>
    <w:p>
      <w:pPr>
        <w:ind w:firstLine="720"/>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color w:val="000000"/>
          <w:u w:val="single" w:color="000000"/>
        </w:rPr>
        <w:t xml:space="preserve">Fair Value Measurements:</w:t>
      </w:r>
      <w:r>
        <w:rPr>
          <w:rFonts w:ascii="Times New Roman" w:hAnsi="Times New Roman" w:eastAsia="Times New Roman" w:cs="Times New Roman"/>
          <w:sz w:val="20"/>
        </w:rPr>
        <w:t xml:space="preserve"> In August 2018, the Financial Accounting Standards Board (“FASB”) issued ASU No. 2018-13, </w:t>
      </w:r>
      <w:r>
        <w:rPr>
          <w:rFonts w:ascii="Times New Roman" w:hAnsi="Times New Roman" w:eastAsia="Times New Roman" w:cs="Times New Roman"/>
          <w:sz w:val="20"/>
          <w:i w:val="true"/>
        </w:rPr>
        <w:t xml:space="preserve">Fair Value Measurement (Topic 820): Disclosure Framework—Changes to the Disclosure Requirements for Fair Value Measurement </w:t>
      </w:r>
      <w:r>
        <w:rPr>
          <w:rFonts w:ascii="Times New Roman" w:hAnsi="Times New Roman" w:eastAsia="Times New Roman" w:cs="Times New Roman"/>
          <w:sz w:val="20"/>
        </w:rPr>
        <w:t xml:space="preserve">(“ASU 2018-13”)</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The new guidance amends the disclosure requirements for recurring and nonrecurring fair value measurements by removing, modifying, and adding certain disclosures on fair value measurements in ASC 820. The amendments on changes in unrealized gains and losses, the range and weighted average of significant unobservable inputs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The new guidance will be effective for the Company beginning January 1, 2020, with early adoption permitted. The Company does not plan to early adopt this ASU, and it is currently evaluating the expected impact of adopting ASU 2018-13 on its financial statements and disclosures.</w:t>
      </w:r>
    </w:p>
    <w:p>
      <w:pPr>
        <w:ind w:firstLine="720"/>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color w:val="000000"/>
          <w:u w:val="single" w:color="000000"/>
        </w:rPr>
        <w:t xml:space="preserve">Collaborative Arrangements</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In November 2018, the FASB issued ASU No. 2018-18, </w:t>
      </w:r>
      <w:r>
        <w:rPr>
          <w:rFonts w:ascii="Times New Roman" w:hAnsi="Times New Roman" w:eastAsia="Times New Roman" w:cs="Times New Roman"/>
          <w:sz w:val="20"/>
          <w:i w:val="true"/>
        </w:rPr>
        <w:t xml:space="preserve">Collaborative Arrangements (Topic 808): Clarifying the interaction between Topic 808 and Topic 606 </w:t>
      </w:r>
      <w:r>
        <w:rPr>
          <w:rFonts w:ascii="Times New Roman" w:hAnsi="Times New Roman" w:eastAsia="Times New Roman" w:cs="Times New Roman"/>
          <w:sz w:val="20"/>
        </w:rPr>
        <w:t xml:space="preserve">(“ASU 2018-18”). The guidance makes targeted improvements to GAAP for collaborative arrangements including: (i) clarifying that certain transactions between collaborative arrangement participants should be accounted for as revenue under ASC 606 when the collaborative arrangement participant is a customer in the context of a unit of account, (ii) adding unit-of-account guidance in ASC 808 to align with the guidance in ASC 606 (that is, a distinct good or service) when an entity is assessing whether the collaborative arrangement or a part of the arrangement is within the scope of ASC 606, and (iii) requiring that in a transaction with a collaborative arrangement participant that is not directly related to sales to third parties, presenting the transaction together with revenue recognized under ASC 606 is precluded if the collaborative arrangement participant is not a customer. The amendments in this update are effective for public entities for fiscal years beginning after December 15, 2019, and interim periods within those fiscal years. Early adoption is permitted. The amendments should be applied retrospectively to the date of initial application of ASC 606. An entity may elect to apply the amendments in this ASU retrospectively either to all contracts or only to contracts that are not completed at the date of initial application of ASC 606. An entity should disclose its election. An entity may elect to apply the practical expedient for contract modifications that is permitted for entities using the modified retrospective transition method in ASC 606. The Company is currently evaluating the expected impact of adopting ASU 2018-18 on its financial statements and disclosures.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1080" w:left="1000" w:right="1000" w:bottom="860" w:footer="460" w:gutter="0" w:header="160"/>
          <w:headerReference r:id="rId10" w:type="default"/>
          <w:footerReference r:id="rId12"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2. 	BUSINESS COMBINATIONS</w:t>
      </w:r>
      <w:bookmarkStart w:id="49488" w:name="NOTE_2___Business_Combinations"/>
      <w:bookmarkEnd w:id="49488"/>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TAPINFLUENCE, INC.</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26, 2018, IZEA completed its merger with TapInfluence, Inc., pursuant to the terms of the Agreement and Plan of Merger, dated as of July 11, 2018, by and among IZEA, IZEA Merger Sub, Inc., TapInfluence, certain stockholders of TapInfluence and the stockholders’ representative, as amended by Amendment No. 1 thereto, dated as of July 20, 2018 (the “Merger Agreement”). The merger was consummated, in part, to further consolidate the influencer marketing industry for IZEA, and for IZEA to obtain benefits from the acquisition of the TapInfluence technology platform and existing customer base, particularly from TapInfluence’s self-service customers.</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keepNext/>
        <w:keepLines/>
        <w:spacing w:after="26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summarizes the purchase price and acquisition costs payable associated with this acquisition:</w:t>
      </w:r>
    </w:p>
    <w:tbl>
      <w:tblPr>
        <w:tblW w:type="dxa" w:w="10240"/>
        <w:tblLayout w:type="fixed"/>
        <w:jc w:val="left"/>
      </w:tblPr>
      <w:tblGrid>
        <w:gridCol w:w="4060"/>
        <w:gridCol w:w="110"/>
        <w:gridCol w:w="1253"/>
        <w:gridCol w:w="77"/>
        <w:gridCol w:w="80"/>
        <w:gridCol w:w="110"/>
        <w:gridCol w:w="1253"/>
        <w:gridCol w:w="77"/>
        <w:gridCol w:w="80"/>
        <w:gridCol w:w="110"/>
        <w:gridCol w:w="1433"/>
        <w:gridCol w:w="77"/>
        <w:gridCol w:w="80"/>
        <w:gridCol w:w="110"/>
        <w:gridCol w:w="1253"/>
        <w:gridCol w:w="77"/>
      </w:tblGrid>
      <w:tr>
        <w:trPr>
          <w:trHeight w:hRule="exact" w:val="1000"/>
        </w:trPr>
        <w:tc>
          <w:tcPr>
            <w:tcW w:type="dxa" w:w="40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Estimated Gross Purchase Consideration</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Estimated Gross Purchase Consideration</w:t>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Estimated Initial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Estimated Initial Present and Fair Value</w:t>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Estimated Present</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and Fair Value of</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Acquisition Costs</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Payable</w:t>
            </w:r>
          </w:p>
        </w:tc>
        <w:tc>
          <w:tcPr>
            <w:tcMar>
              <w:left w:type="dxa" w:w="60"/>
              <w:right w:type="dxa" w:w="60"/>
            </w:tcMar>
            <w:tcBorders/>
            <w:vAlign w:val="bottom"/>
            <w:vAlign w:val="bottom"/>
            <w:vAlign w:val="bottom"/>
            <w:hMerge w:val="continue"/>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Estimated Present</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and Fair Value of</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Acquisition Costs</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Payable</w:t>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Estimated Remaining</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Fair Value of</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Acquisition Costs</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Payable</w:t>
            </w:r>
          </w:p>
        </w:tc>
        <w:tc>
          <w:tcPr>
            <w:tcMar>
              <w:left w:type="dxa" w:w="60"/>
              <w:right w:type="dxa" w:w="60"/>
            </w:tcMar>
            <w:tcBorders/>
            <w:vAlign w:val="bottom"/>
            <w:vAlign w:val="bottom"/>
            <w:vAlign w:val="bottom"/>
            <w:hMerge w:val="continue"/>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Estimated Remaining</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Fair Value of</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Acquisition Costs</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Payable</w:t>
            </w:r>
          </w:p>
        </w:tc>
        <w:tc>
          <w:tcPr>
            <w:tcMar>
              <w:left w:type="dxa" w:w="0"/>
              <w:right w:type="dxa" w:w="60"/>
            </w:tcMar>
            <w:tcBorders/>
            <w:hMerge w:val="continue"/>
          </w:tcPr>
          <w:p/>
        </w:tc>
      </w:tr>
      <w:tr>
        <w:trPr>
          <w:trHeight w:hRule="exact" w:val="280"/>
        </w:trPr>
        <w:tc>
          <w:tcPr>
            <w:tcW w:type="dxa" w:w="40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July 26,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July 26, 2018</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July 26,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July 26, 2018</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bottom w:val="single" w:sz="8"/>
            </w:tcBorders>
            <w:hMerge w:val="continue"/>
          </w:tcPr>
          <w:p/>
        </w:tc>
      </w:tr>
      <w:tr>
        <w:trPr>
          <w:trHeight w:hRule="exact" w:val="320"/>
        </w:trPr>
        <w:tc>
          <w:tcPr>
            <w:tcW w:type="dxa" w:w="40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Cash paid at closing </w:t>
            </w:r>
            <w:r>
              <w:rPr>
                <w:rFonts w:ascii="Times New Roman" w:hAnsi="Times New Roman" w:eastAsia="Times New Roman" w:cs="Times New Roman"/>
                <w:sz w:val="20"/>
                <w:vertAlign w:val="superscript"/>
              </w:rPr>
              <w:t xml:space="preserve">(a)</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1,500,000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1,500,000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3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8" w:space="0"/>
            </w:tcBorders>
          </w:tcPr>
          <w:p/>
        </w:tc>
      </w:tr>
      <w:tr>
        <w:trPr>
          <w:trHeight w:hRule="exact" w:val="320"/>
        </w:trPr>
        <w:tc>
          <w:tcPr>
            <w:tcW w:type="dxa" w:w="40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paid at closing </w:t>
            </w:r>
            <w:r>
              <w:rPr>
                <w:rFonts w:ascii="Times New Roman" w:hAnsi="Times New Roman" w:eastAsia="Times New Roman" w:cs="Times New Roman"/>
                <w:sz w:val="20"/>
                <w:vertAlign w:val="superscript"/>
              </w:rPr>
              <w:t xml:space="preserve">(a)</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40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Purchase price adjustment </w:t>
            </w:r>
            <w:r>
              <w:rPr>
                <w:rFonts w:ascii="Times New Roman" w:hAnsi="Times New Roman" w:eastAsia="Times New Roman" w:cs="Times New Roman"/>
                <w:sz w:val="20"/>
                <w:vertAlign w:val="superscript"/>
              </w:rPr>
              <w:t xml:space="preserve">(b)</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(439,610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(439,610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(555,026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(555,026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5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(115,416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(115,416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40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First deferred purchase price installment </w:t>
            </w:r>
            <w:r>
              <w:rPr>
                <w:rFonts w:ascii="Times New Roman" w:hAnsi="Times New Roman" w:eastAsia="Times New Roman" w:cs="Times New Roman"/>
                <w:sz w:val="20"/>
                <w:vertAlign w:val="superscript"/>
              </w:rPr>
              <w:t xml:space="preserve">(c)</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1,000,000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970,576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970,576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995,097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995,097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80"/>
        </w:trPr>
        <w:tc>
          <w:tcPr>
            <w:tcW w:type="dxa" w:w="40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Second deferred purchase price installment </w:t>
            </w:r>
            <w:r>
              <w:rPr>
                <w:rFonts w:ascii="Times New Roman" w:hAnsi="Times New Roman" w:eastAsia="Times New Roman" w:cs="Times New Roman"/>
                <w:sz w:val="20"/>
                <w:vertAlign w:val="superscript"/>
              </w:rPr>
              <w:t xml:space="preserve">(c)</w:t>
            </w:r>
          </w:p>
        </w:tc>
        <w:tc>
          <w:tcPr>
            <w:tcW w:type="dxa" w:w="13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3,500,000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3,500,000</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3,271,028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3,271,028</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5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3,366,433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3,366,433</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3,480,919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3,480,919</w:t>
            </w:r>
          </w:p>
        </w:tc>
        <w:tc>
          <w:tcPr>
            <w:tcW w:type="dxa" w:w="77"/>
            <w:tcMar>
              <w:left w:type="dxa" w:w="0"/>
              <w:right w:type="dxa" w:w="0"/>
            </w:tcMar>
            <w:tcBorders>
              <w:bottom w:val="single" w:sz="8"/>
            </w:tcBorders>
          </w:tcPr>
          <w:p/>
        </w:tc>
      </w:tr>
      <w:tr>
        <w:trPr>
          <w:trHeight w:hRule="exact" w:val="280"/>
        </w:trPr>
        <w:tc>
          <w:tcPr>
            <w:tcW w:type="dxa" w:w="406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7,319,890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6,946,078</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4,246,114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3,480,919</w:t>
            </w:r>
          </w:p>
        </w:tc>
        <w:tc>
          <w:tcPr>
            <w:tcW w:type="dxa" w:w="77"/>
            <w:tcMar>
              <w:left w:type="dxa" w:w="0"/>
              <w:right w:type="dxa" w:w="0"/>
            </w:tcMar>
            <w:tcBorders>
              <w:top w:val="single" w:sz="8" w:space="0"/>
              <w:bottom w:val="double" w:sz="4"/>
            </w:tcBorders>
          </w:tcPr>
          <w:p/>
        </w:tc>
      </w:tr>
    </w:tbl>
    <w:p>
      <w:pPr>
        <w:tabs>
          <w:tab w:val="left" w:pos="360"/>
        </w:tabs>
        <w:ind w:left="360" w:firstLine="-360"/>
        <w:jc w:val="left"/>
        <w:spacing w:before="180" w:line="288" w:lineRule="auto"/>
        <w:rPr>
          <w:rFonts w:ascii="Times New Roman" w:hAnsi="Times New Roman" w:eastAsia="Times New Roman" w:cs="Times New Roman"/>
          <w:sz w:val="20"/>
          <w:vertAlign w:val="superscript"/>
        </w:rPr>
      </w:pPr>
      <w:r>
        <w:rPr>
          <w:rFonts w:ascii="Times New Roman" w:hAnsi="Times New Roman" w:eastAsia="Times New Roman" w:cs="Times New Roman"/>
          <w:sz w:val="20"/>
          <w:vertAlign w:val="superscript"/>
        </w:rPr>
        <w:t xml:space="preserve">(a) </w:t>
      </w:r>
      <w:r>
        <w:rPr>
          <w:rFonts w:ascii="Times New Roman" w:hAnsi="Times New Roman" w:eastAsia="Times New Roman" w:cs="Times New Roman"/>
          <w:sz w:val="20"/>
        </w:rPr>
        <w:t xml:space="preserve">	The aggregate consideration paid at closing for the acquisition of TapInfluence consisted of a cash payment of </w:t>
      </w:r>
      <w:r>
        <w:rPr>
          <w:rFonts w:ascii="Times New Roman" w:hAnsi="Times New Roman" w:eastAsia="Times New Roman" w:cs="Times New Roman"/>
          <w:sz w:val="20"/>
        </w:rPr>
        <w:t xml:space="preserve">$1,500,000</w:t>
      </w:r>
      <w:r>
        <w:rPr>
          <w:rFonts w:ascii="Times New Roman" w:hAnsi="Times New Roman" w:eastAsia="Times New Roman" w:cs="Times New Roman"/>
          <w:sz w:val="20"/>
        </w:rPr>
        <w:t xml:space="preserve"> and the issuance of </w:t>
      </w:r>
      <w:r>
        <w:rPr>
          <w:rFonts w:ascii="Times New Roman" w:hAnsi="Times New Roman" w:eastAsia="Times New Roman" w:cs="Times New Roman"/>
          <w:sz w:val="20"/>
        </w:rPr>
        <w:t xml:space="preserve">1,150,000</w:t>
      </w:r>
      <w:r>
        <w:rPr>
          <w:rFonts w:ascii="Times New Roman" w:hAnsi="Times New Roman" w:eastAsia="Times New Roman" w:cs="Times New Roman"/>
          <w:sz w:val="20"/>
        </w:rPr>
        <w:t xml:space="preserve"> shares of IZEA common stock valued at </w:t>
      </w:r>
      <w:r>
        <w:rPr>
          <w:rFonts w:ascii="Times New Roman" w:hAnsi="Times New Roman" w:eastAsia="Times New Roman" w:cs="Times New Roman"/>
          <w:sz w:val="20"/>
        </w:rPr>
        <w:t xml:space="preserve">$1,759,500</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$1.53</w:t>
      </w:r>
      <w:r>
        <w:rPr>
          <w:rFonts w:ascii="Times New Roman" w:hAnsi="Times New Roman" w:eastAsia="Times New Roman" w:cs="Times New Roman"/>
          <w:sz w:val="20"/>
        </w:rPr>
        <w:t xml:space="preserve"> per share.</w:t>
      </w:r>
    </w:p>
    <w:p>
      <w:pPr>
        <w:tabs>
          <w:tab w:val="left" w:pos="360"/>
        </w:tabs>
        <w:ind w:left="360" w:firstLine="-360"/>
        <w:jc w:val="left"/>
        <w:keepLines/>
        <w:spacing w:before="120" w:line="288" w:lineRule="auto"/>
        <w:rPr>
          <w:rFonts w:ascii="Times New Roman" w:hAnsi="Times New Roman" w:eastAsia="Times New Roman" w:cs="Times New Roman"/>
          <w:sz w:val="20"/>
          <w:vertAlign w:val="superscript"/>
        </w:rPr>
      </w:pPr>
      <w:r>
        <w:rPr>
          <w:rFonts w:ascii="Times New Roman" w:hAnsi="Times New Roman" w:eastAsia="Times New Roman" w:cs="Times New Roman"/>
          <w:sz w:val="20"/>
          <w:vertAlign w:val="superscript"/>
        </w:rPr>
        <w:t xml:space="preserve">(b) </w:t>
      </w:r>
      <w:r>
        <w:rPr>
          <w:rFonts w:ascii="Times New Roman" w:hAnsi="Times New Roman" w:eastAsia="Times New Roman" w:cs="Times New Roman"/>
          <w:sz w:val="20"/>
        </w:rPr>
        <w:t xml:space="preserve">	Per the terms of the Merger Agreement, the initial cash payment due at closing of </w:t>
      </w:r>
      <w:r>
        <w:rPr>
          <w:rFonts w:ascii="Times New Roman" w:hAnsi="Times New Roman" w:eastAsia="Times New Roman" w:cs="Times New Roman"/>
          <w:sz w:val="20"/>
        </w:rPr>
        <w:t xml:space="preserve">$1,500,000</w:t>
      </w:r>
      <w:r>
        <w:rPr>
          <w:rFonts w:ascii="Times New Roman" w:hAnsi="Times New Roman" w:eastAsia="Times New Roman" w:cs="Times New Roman"/>
          <w:sz w:val="20"/>
        </w:rPr>
        <w:t xml:space="preserve"> was to be adjusted as follows: reduced for seller transaction expenses and closing date indebtedness, increased by closing date cash and cash equivalents of TapInfluence, and reduced or increased by an estimated working capital amount. These adjustments resulted in a net reduction in the purchase price of </w:t>
      </w:r>
      <w:r>
        <w:rPr>
          <w:rFonts w:ascii="Times New Roman" w:hAnsi="Times New Roman" w:eastAsia="Times New Roman" w:cs="Times New Roman"/>
          <w:sz w:val="20"/>
        </w:rPr>
        <w:t xml:space="preserve">$439,610</w:t>
      </w:r>
      <w:r>
        <w:rPr>
          <w:rFonts w:ascii="Times New Roman" w:hAnsi="Times New Roman" w:eastAsia="Times New Roman" w:cs="Times New Roman"/>
          <w:sz w:val="20"/>
        </w:rPr>
        <w:t xml:space="preserve">, which included a negative estimated working capital adjustment of </w:t>
      </w:r>
      <w:r>
        <w:rPr>
          <w:rFonts w:ascii="Times New Roman" w:hAnsi="Times New Roman" w:eastAsia="Times New Roman" w:cs="Times New Roman"/>
          <w:sz w:val="20"/>
        </w:rPr>
        <w:t xml:space="preserve">$181,633</w:t>
      </w:r>
      <w:r>
        <w:rPr>
          <w:rFonts w:ascii="Times New Roman" w:hAnsi="Times New Roman" w:eastAsia="Times New Roman" w:cs="Times New Roman"/>
          <w:sz w:val="20"/>
        </w:rPr>
        <w:t xml:space="preserve">.</w:t>
      </w:r>
    </w:p>
    <w:p>
      <w:pPr>
        <w:tabs>
          <w:tab w:val="left" w:pos="360"/>
        </w:tabs>
        <w:ind w:left="360" w:firstLine="-360"/>
        <w:jc w:val="left"/>
        <w:spacing w:before="120" w:line="288" w:lineRule="auto"/>
        <w:rPr>
          <w:rFonts w:ascii="Times New Roman" w:hAnsi="Times New Roman" w:eastAsia="Times New Roman" w:cs="Times New Roman"/>
          <w:sz w:val="20"/>
          <w:vertAlign w:val="superscript"/>
        </w:rPr>
      </w:pPr>
      <w:r>
        <w:rPr>
          <w:rFonts w:ascii="Times New Roman" w:hAnsi="Times New Roman" w:eastAsia="Times New Roman" w:cs="Times New Roman"/>
          <w:sz w:val="20"/>
          <w:vertAlign w:val="superscript"/>
        </w:rPr>
        <w:t xml:space="preserve">(c) </w:t>
      </w:r>
      <w:r>
        <w:rPr>
          <w:rFonts w:ascii="Times New Roman" w:hAnsi="Times New Roman" w:eastAsia="Times New Roman" w:cs="Times New Roman"/>
          <w:sz w:val="20"/>
        </w:rPr>
        <w:t xml:space="preserve">	Aggregate post-acquisition date consideration consists of additional payments totaling </w:t>
      </w:r>
      <w:r>
        <w:rPr>
          <w:rFonts w:ascii="Times New Roman" w:hAnsi="Times New Roman" w:eastAsia="Times New Roman" w:cs="Times New Roman"/>
          <w:sz w:val="20"/>
        </w:rPr>
        <w:t xml:space="preserve">$4,500,000</w:t>
      </w:r>
      <w:r>
        <w:rPr>
          <w:rFonts w:ascii="Times New Roman" w:hAnsi="Times New Roman" w:eastAsia="Times New Roman" w:cs="Times New Roman"/>
          <w:sz w:val="20"/>
        </w:rPr>
        <w:t xml:space="preserve">, less any remaining adjustment related to the final working capital adjustment calculation. The payments will be made in the form of cash, common stock or a combination thereof, at IZEA’s option. The first of these installments was paid in January 2019, and the second of the two installments was paid in July 2019. See Note 11. Subsequent Events. Following the closing, IZEA calculated the final working capital as of the closing date as a negative </w:t>
      </w:r>
      <w:r>
        <w:rPr>
          <w:rFonts w:ascii="Times New Roman" w:hAnsi="Times New Roman" w:eastAsia="Times New Roman" w:cs="Times New Roman"/>
          <w:sz w:val="20"/>
        </w:rPr>
        <w:t xml:space="preserve">$297,049</w:t>
      </w:r>
      <w:r>
        <w:rPr>
          <w:rFonts w:ascii="Times New Roman" w:hAnsi="Times New Roman" w:eastAsia="Times New Roman" w:cs="Times New Roman"/>
          <w:sz w:val="20"/>
        </w:rPr>
        <w:t xml:space="preserve">, which was </w:t>
      </w:r>
      <w:r>
        <w:rPr>
          <w:rFonts w:ascii="Times New Roman" w:hAnsi="Times New Roman" w:eastAsia="Times New Roman" w:cs="Times New Roman"/>
          <w:sz w:val="20"/>
        </w:rPr>
        <w:t xml:space="preserve">$115,416</w:t>
      </w:r>
      <w:r>
        <w:rPr>
          <w:rFonts w:ascii="Times New Roman" w:hAnsi="Times New Roman" w:eastAsia="Times New Roman" w:cs="Times New Roman"/>
          <w:sz w:val="20"/>
        </w:rPr>
        <w:t xml:space="preserve"> lower than the original estimate of negative </w:t>
      </w:r>
      <w:r>
        <w:rPr>
          <w:rFonts w:ascii="Times New Roman" w:hAnsi="Times New Roman" w:eastAsia="Times New Roman" w:cs="Times New Roman"/>
          <w:sz w:val="20"/>
        </w:rPr>
        <w:t xml:space="preserve">$181,633</w:t>
      </w:r>
      <w:r>
        <w:rPr>
          <w:rFonts w:ascii="Times New Roman" w:hAnsi="Times New Roman" w:eastAsia="Times New Roman" w:cs="Times New Roman"/>
          <w:sz w:val="20"/>
        </w:rPr>
        <w:t xml:space="preserve">. Therefore, the purchase price was reduced by an additional </w:t>
      </w:r>
      <w:r>
        <w:rPr>
          <w:rFonts w:ascii="Times New Roman" w:hAnsi="Times New Roman" w:eastAsia="Times New Roman" w:cs="Times New Roman"/>
          <w:sz w:val="20"/>
        </w:rPr>
        <w:t xml:space="preserve">$115,416</w:t>
      </w:r>
      <w:r>
        <w:rPr>
          <w:rFonts w:ascii="Times New Roman" w:hAnsi="Times New Roman" w:eastAsia="Times New Roman" w:cs="Times New Roman"/>
          <w:sz w:val="20"/>
        </w:rPr>
        <w:t xml:space="preserve">, which was deducted from the six-month installment payment paid in January 2019. On January 26, 2019, the Company issued </w:t>
      </w:r>
      <w:r>
        <w:rPr>
          <w:rFonts w:ascii="Times New Roman" w:hAnsi="Times New Roman" w:eastAsia="Times New Roman" w:cs="Times New Roman"/>
          <w:sz w:val="20"/>
        </w:rPr>
        <w:t xml:space="preserve">660,136</w:t>
      </w:r>
      <w:r>
        <w:rPr>
          <w:rFonts w:ascii="Times New Roman" w:hAnsi="Times New Roman" w:eastAsia="Times New Roman" w:cs="Times New Roman"/>
          <w:sz w:val="20"/>
        </w:rPr>
        <w:t xml:space="preserve"> shares of its common stock valued at </w:t>
      </w:r>
      <w:r>
        <w:rPr>
          <w:rFonts w:ascii="Times New Roman" w:hAnsi="Times New Roman" w:eastAsia="Times New Roman" w:cs="Times New Roman"/>
          <w:sz w:val="20"/>
        </w:rPr>
        <w:t xml:space="preserve">$884,583</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$1.34</w:t>
      </w:r>
      <w:r>
        <w:rPr>
          <w:rFonts w:ascii="Times New Roman" w:hAnsi="Times New Roman" w:eastAsia="Times New Roman" w:cs="Times New Roman"/>
          <w:sz w:val="20"/>
        </w:rPr>
        <w:t xml:space="preserve"> per share, using a thirty (30) trading day volume-weighted average closing price (the “30-day VWAP”) as reported by the Nasdaq Capital Market prior to the issuance date. The Company recorded a </w:t>
      </w:r>
      <w:r>
        <w:rPr>
          <w:rFonts w:ascii="Times New Roman" w:hAnsi="Times New Roman" w:eastAsia="Times New Roman" w:cs="Times New Roman"/>
          <w:sz w:val="20"/>
        </w:rPr>
        <w:t xml:space="preserve">$191,439</w:t>
      </w:r>
      <w:r>
        <w:rPr>
          <w:rFonts w:ascii="Times New Roman" w:hAnsi="Times New Roman" w:eastAsia="Times New Roman" w:cs="Times New Roman"/>
          <w:sz w:val="20"/>
        </w:rPr>
        <w:t xml:space="preserve"> loss on the settlement of this acquisition cost payable as a result of the difference between the actual closing market price of the common stock of </w:t>
      </w:r>
      <w:r>
        <w:rPr>
          <w:rFonts w:ascii="Times New Roman" w:hAnsi="Times New Roman" w:eastAsia="Times New Roman" w:cs="Times New Roman"/>
          <w:sz w:val="20"/>
        </w:rPr>
        <w:t xml:space="preserve">$1.63</w:t>
      </w:r>
      <w:r>
        <w:rPr>
          <w:rFonts w:ascii="Times New Roman" w:hAnsi="Times New Roman" w:eastAsia="Times New Roman" w:cs="Times New Roman"/>
          <w:sz w:val="20"/>
        </w:rPr>
        <w:t xml:space="preserve"> on the settlement date and the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-day average price of the common stock of </w:t>
      </w:r>
      <w:r>
        <w:rPr>
          <w:rFonts w:ascii="Times New Roman" w:hAnsi="Times New Roman" w:eastAsia="Times New Roman" w:cs="Times New Roman"/>
          <w:sz w:val="20"/>
        </w:rPr>
        <w:t xml:space="preserve">$1.34</w:t>
      </w:r>
      <w:r>
        <w:rPr>
          <w:rFonts w:ascii="Times New Roman" w:hAnsi="Times New Roman" w:eastAsia="Times New Roman" w:cs="Times New Roman"/>
          <w:sz w:val="20"/>
        </w:rPr>
        <w:t xml:space="preserve"> required by the Merger Agreement.</w:t>
      </w:r>
    </w:p>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consolidated revenue associated with TapInfluence operations for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$611,759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$1,340,397</w:t>
      </w:r>
      <w:r>
        <w:rPr>
          <w:rFonts w:ascii="Times New Roman" w:hAnsi="Times New Roman" w:eastAsia="Times New Roman" w:cs="Times New Roman"/>
          <w:sz w:val="20"/>
        </w:rPr>
        <w:t xml:space="preserve">, respectively. The Company is unable to determine net loss specifically related to TapInfluence operations as the majority of operational resources are shared with IZEA, and we continue to migrate certain former TapInfluence customers to the IZEAx platform.</w:t>
      </w:r>
    </w:p>
    <w:p>
      <w:pPr>
        <w:ind w:firstLine="720"/>
        <w:jc w:val="left"/>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unaudited pro forma summary presents consolidated information of the Company as if the business combination with TapInfluence had occurred on January 1, 2018:</w:t>
      </w:r>
    </w:p>
    <w:tbl>
      <w:tblPr>
        <w:tblW w:type="dxa" w:w="10260"/>
        <w:tblLayout w:type="fixed"/>
        <w:jc w:val="left"/>
      </w:tblPr>
      <w:tblGrid>
        <w:gridCol w:w="6620"/>
        <w:gridCol w:w="80"/>
        <w:gridCol w:w="110"/>
        <w:gridCol w:w="1553"/>
        <w:gridCol w:w="77"/>
        <w:gridCol w:w="80"/>
        <w:gridCol w:w="110"/>
        <w:gridCol w:w="1553"/>
        <w:gridCol w:w="77"/>
      </w:tblGrid>
      <w:tr>
        <w:trPr>
          <w:trHeight w:hRule="exact" w:val="300"/>
        </w:trPr>
        <w:tc>
          <w:tcPr>
            <w:tcW w:type="dxa" w:w="662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Pro Forma</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Pro Forma</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460"/>
        </w:trPr>
        <w:tc>
          <w:tcPr>
            <w:tcW w:type="dxa" w:w="6620"/>
            <w:tcMar>
              <w:left w:type="dxa" w:w="60"/>
              <w:right w:type="dxa" w:w="60"/>
            </w:tcMar>
            <w:hMerge w:val="restart"/>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 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 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Six Months Ended June 30, 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Six Months Ended June 30, 2018</w:t>
            </w:r>
          </w:p>
        </w:tc>
        <w:tc>
          <w:tcPr>
            <w:tcMar>
              <w:left w:type="dxa" w:w="0"/>
              <w:right w:type="dxa" w:w="60"/>
            </w:tcMar>
            <w:tcBorders>
              <w:top w:val="single" w:sz="8" w:space="0"/>
              <w:bottom w:val="single" w:sz="8"/>
            </w:tcBorders>
            <w:hMerge w:val="continue"/>
          </w:tcPr>
          <w:p/>
        </w:tc>
      </w:tr>
      <w:tr>
        <w:trPr>
          <w:trHeight w:hRule="exact" w:val="300"/>
        </w:trPr>
        <w:tc>
          <w:tcPr>
            <w:tcW w:type="dxa" w:w="66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revenue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5,305,444</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10,259,897</w:t>
            </w:r>
          </w:p>
        </w:tc>
        <w:tc>
          <w:tcPr>
            <w:tcW w:type="dxa" w:w="77"/>
            <w:tcMar>
              <w:left w:type="dxa" w:w="0"/>
              <w:right w:type="dxa" w:w="0"/>
            </w:tcMar>
            <w:tcBorders/>
          </w:tcPr>
          <w:p/>
        </w:tc>
      </w:tr>
      <w:tr>
        <w:trPr>
          <w:trHeight w:hRule="exact" w:val="300"/>
        </w:trPr>
        <w:tc>
          <w:tcPr>
            <w:tcW w:type="dxa" w:w="66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cost of revenue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6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(2,096,254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(2,096,254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6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(4,426,138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(4,426,138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66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gross profit</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5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3,209,190</w:t>
            </w:r>
          </w:p>
        </w:tc>
        <w:tc>
          <w:tcPr>
            <w:tcW w:type="dxa" w:w="77"/>
            <w:tcMar>
              <w:left w:type="dxa" w:w="0"/>
              <w:right w:type="dxa" w:w="0"/>
            </w:tcMar>
            <w:tcBorders>
              <w:top w:val="single" w:sz="8" w:space="0"/>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5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5,833,759</w:t>
            </w:r>
          </w:p>
        </w:tc>
        <w:tc>
          <w:tcPr>
            <w:tcW w:type="dxa" w:w="77"/>
            <w:tcMar>
              <w:left w:type="dxa" w:w="0"/>
              <w:right w:type="dxa" w:w="0"/>
            </w:tcMar>
            <w:tcBorders>
              <w:top w:val="single" w:sz="8" w:space="0"/>
              <w:bottom w:val="single" w:sz="8"/>
            </w:tcBorders>
          </w:tcPr>
          <w:p/>
        </w:tc>
      </w:tr>
      <w:tr>
        <w:trPr>
          <w:trHeight w:hRule="exact" w:val="160"/>
        </w:trPr>
        <w:tc>
          <w:tcPr>
            <w:tcW w:type="dxa" w:w="662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300"/>
        </w:trPr>
        <w:tc>
          <w:tcPr>
            <w:tcW w:type="dxa" w:w="66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net loss prior to adjustments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(2,309,924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(5,056,723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66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adjustment to net loss: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300"/>
        </w:trPr>
        <w:tc>
          <w:tcPr>
            <w:tcW w:type="dxa" w:w="66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Difference in amortization of acquired identifiable intangible assets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6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(258,916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(258,916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6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(517,833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(517,833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66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net loss combined</w:t>
            </w: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(2,568,840</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(5,574,556</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business combination was accounted for under the acquisition method of accounting in accordance with ASC Topic 805, </w:t>
      </w:r>
      <w:r>
        <w:rPr>
          <w:rFonts w:ascii="Times New Roman" w:hAnsi="Times New Roman" w:eastAsia="Times New Roman" w:cs="Times New Roman"/>
          <w:sz w:val="20"/>
          <w:i w:val="true"/>
        </w:rPr>
        <w:t xml:space="preserve">Business Combinations</w:t>
      </w:r>
      <w:r>
        <w:rPr>
          <w:rFonts w:ascii="Times New Roman" w:hAnsi="Times New Roman" w:eastAsia="Times New Roman" w:cs="Times New Roman"/>
          <w:sz w:val="20"/>
        </w:rPr>
        <w:t xml:space="preserve">. As the acquirer for accounting purposes, IZEA is in the process of finalizing its estimated fair value of TapInfluence’s assets acquired and liabilities assumed and conforming the accounting policies of TapInfluence to its own accounting policies. The Company does not expect there to be any material changes to its acquisition accounting based upon its final review procedures. However, differences between these preliminary estimates and the final purchase price accounting may occur, and these differences could have a material impact on the Company’s consolidated financial statements.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ZENCONTENT, INC.</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31, 2016, the Company purchased all of the outstanding shares of capital stock of ZenContent pursuant to the terms of a Stock Purchase Agreement, by and among IZEA, ZenContent and the stockholders of ZenContent (the “ZenContent Stock Purchase Agreement”) for a maximum purchase price to be paid over three years of </w:t>
      </w:r>
      <w:r>
        <w:rPr>
          <w:rFonts w:ascii="Times New Roman" w:hAnsi="Times New Roman" w:eastAsia="Times New Roman" w:cs="Times New Roman"/>
          <w:sz w:val="20"/>
        </w:rPr>
        <w:t xml:space="preserve">$4,500,000</w:t>
      </w:r>
      <w:r>
        <w:rPr>
          <w:rFonts w:ascii="Times New Roman" w:hAnsi="Times New Roman" w:eastAsia="Times New Roman" w:cs="Times New Roman"/>
          <w:sz w:val="20"/>
        </w:rPr>
        <w:t xml:space="preserve">. Upon closing, the Company paid a cash payment of </w:t>
      </w:r>
      <w:r>
        <w:rPr>
          <w:rFonts w:ascii="Times New Roman" w:hAnsi="Times New Roman" w:eastAsia="Times New Roman" w:cs="Times New Roman"/>
          <w:sz w:val="20"/>
        </w:rPr>
        <w:t xml:space="preserve">$400,000</w:t>
      </w:r>
      <w:r>
        <w:rPr>
          <w:rFonts w:ascii="Times New Roman" w:hAnsi="Times New Roman" w:eastAsia="Times New Roman" w:cs="Times New Roman"/>
          <w:sz w:val="20"/>
        </w:rPr>
        <w:t xml:space="preserve"> and issued </w:t>
      </w:r>
      <w:r>
        <w:rPr>
          <w:rFonts w:ascii="Times New Roman" w:hAnsi="Times New Roman" w:eastAsia="Times New Roman" w:cs="Times New Roman"/>
          <w:sz w:val="20"/>
        </w:rPr>
        <w:t xml:space="preserve">86,207</w:t>
      </w:r>
      <w:r>
        <w:rPr>
          <w:rFonts w:ascii="Times New Roman" w:hAnsi="Times New Roman" w:eastAsia="Times New Roman" w:cs="Times New Roman"/>
          <w:sz w:val="20"/>
        </w:rPr>
        <w:t xml:space="preserve"> shares of the Company’s common stock valued at </w:t>
      </w:r>
      <w:r>
        <w:rPr>
          <w:rFonts w:ascii="Times New Roman" w:hAnsi="Times New Roman" w:eastAsia="Times New Roman" w:cs="Times New Roman"/>
          <w:sz w:val="20"/>
        </w:rPr>
        <w:t xml:space="preserve">$600,000</w:t>
      </w:r>
      <w:r>
        <w:rPr>
          <w:rFonts w:ascii="Times New Roman" w:hAnsi="Times New Roman" w:eastAsia="Times New Roman" w:cs="Times New Roman"/>
          <w:sz w:val="20"/>
        </w:rPr>
        <w:t xml:space="preserve">. The ZenContent Stock Purchase Agreement also requires (i) three equal annual installment payments totaling </w:t>
      </w:r>
      <w:r>
        <w:rPr>
          <w:rFonts w:ascii="Times New Roman" w:hAnsi="Times New Roman" w:eastAsia="Times New Roman" w:cs="Times New Roman"/>
          <w:sz w:val="20"/>
        </w:rPr>
        <w:t xml:space="preserve">$1,000,000</w:t>
      </w:r>
      <w:r>
        <w:rPr>
          <w:rFonts w:ascii="Times New Roman" w:hAnsi="Times New Roman" w:eastAsia="Times New Roman" w:cs="Times New Roman"/>
          <w:sz w:val="20"/>
        </w:rPr>
        <w:t xml:space="preserve">, subject to a working capital adjustment, commencing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months following the closing and (ii) contingent performance payments of up to an aggregate of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over the three consecutive 12-month periods following the closing, based upon ZenContent achieving certain minimum revenue thresholds. Of these payments, </w:t>
      </w:r>
      <w:r>
        <w:rPr>
          <w:rFonts w:ascii="Times New Roman" w:hAnsi="Times New Roman" w:eastAsia="Times New Roman" w:cs="Times New Roman"/>
          <w:sz w:val="20"/>
        </w:rPr>
        <w:t xml:space="preserve">33%</w:t>
      </w:r>
      <w:r>
        <w:rPr>
          <w:rFonts w:ascii="Times New Roman" w:hAnsi="Times New Roman" w:eastAsia="Times New Roman" w:cs="Times New Roman"/>
          <w:sz w:val="20"/>
        </w:rPr>
        <w:t xml:space="preserve"> of each such annual installment or contingent performance payment will be in the form of cash and the remainder of such payment will be in the form of either cash or additional shares of the Company’s common stock (determined at the Company’s option). In July 2018, pursuant to an amendment to the ZenContent Stock Purchase Agreement, the parties agreed to fix the amount payable for any further contingent performance payments at </w:t>
      </w:r>
      <w:r>
        <w:rPr>
          <w:rFonts w:ascii="Times New Roman" w:hAnsi="Times New Roman" w:eastAsia="Times New Roman" w:cs="Times New Roman"/>
          <w:sz w:val="20"/>
        </w:rPr>
        <w:t xml:space="preserve">$90,000</w:t>
      </w:r>
      <w:r>
        <w:rPr>
          <w:rFonts w:ascii="Times New Roman" w:hAnsi="Times New Roman" w:eastAsia="Times New Roman" w:cs="Times New Roman"/>
          <w:sz w:val="20"/>
        </w:rPr>
        <w:t xml:space="preserve">, of which </w:t>
      </w:r>
      <w:r>
        <w:rPr>
          <w:rFonts w:ascii="Times New Roman" w:hAnsi="Times New Roman" w:eastAsia="Times New Roman" w:cs="Times New Roman"/>
          <w:sz w:val="20"/>
        </w:rPr>
        <w:t xml:space="preserve">$45,000</w:t>
      </w:r>
      <w:r>
        <w:rPr>
          <w:rFonts w:ascii="Times New Roman" w:hAnsi="Times New Roman" w:eastAsia="Times New Roman" w:cs="Times New Roman"/>
          <w:sz w:val="20"/>
        </w:rPr>
        <w:t xml:space="preserve"> was paid in cash on November 1, 2018, and </w:t>
      </w:r>
      <w:r>
        <w:rPr>
          <w:rFonts w:ascii="Times New Roman" w:hAnsi="Times New Roman" w:eastAsia="Times New Roman" w:cs="Times New Roman"/>
          <w:sz w:val="20"/>
        </w:rPr>
        <w:t xml:space="preserve">$45,000</w:t>
      </w:r>
      <w:r>
        <w:rPr>
          <w:rFonts w:ascii="Times New Roman" w:hAnsi="Times New Roman" w:eastAsia="Times New Roman" w:cs="Times New Roman"/>
          <w:sz w:val="20"/>
        </w:rPr>
        <w:t xml:space="preserve"> is due on November 1, 2019 and is payable in cash or stock at the Company’s option.</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summarizes the purchase price and acquisition costs payable associated with this acquisition:</w:t>
      </w:r>
    </w:p>
    <w:p>
      <w:pPr>
        <w:jc w:val="left"/>
        <w:keepNext/>
        <w:keepLines/>
        <w:spacing w:after="1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tbl>
      <w:tblPr>
        <w:tblW w:type="dxa" w:w="10240"/>
        <w:tblLayout w:type="fixed"/>
        <w:jc w:val="left"/>
      </w:tblPr>
      <w:tblGrid>
        <w:gridCol w:w="4280"/>
        <w:gridCol w:w="110"/>
        <w:gridCol w:w="1173"/>
        <w:gridCol w:w="77"/>
        <w:gridCol w:w="80"/>
        <w:gridCol w:w="110"/>
        <w:gridCol w:w="1173"/>
        <w:gridCol w:w="77"/>
        <w:gridCol w:w="80"/>
        <w:gridCol w:w="110"/>
        <w:gridCol w:w="1453"/>
        <w:gridCol w:w="77"/>
        <w:gridCol w:w="80"/>
        <w:gridCol w:w="110"/>
        <w:gridCol w:w="1173"/>
        <w:gridCol w:w="77"/>
      </w:tblGrid>
      <w:tr>
        <w:trPr>
          <w:trHeight w:hRule="exact" w:val="1180"/>
        </w:trPr>
        <w:tc>
          <w:tcPr>
            <w:tcW w:type="dxa" w:w="428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Estimated Gross Purchase Consideration</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Estimated Gross Purchase Consideration</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Estimated Initial Present and Fair Value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Estimated Initial Present and Fair Value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Estimated Present</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and Fair Value of</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Acquisition Costs</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Payable</w:t>
            </w:r>
          </w:p>
        </w:tc>
        <w:tc>
          <w:tcPr>
            <w:tcMar>
              <w:left w:type="dxa" w:w="60"/>
              <w:right w:type="dxa" w:w="60"/>
            </w:tcMar>
            <w:tcBorders>
              <w:bottom w:val="single" w:sz="8"/>
            </w:tcBorders>
            <w:vAlign w:val="bottom"/>
            <w:vAlign w:val="bottom"/>
            <w:vAlign w:val="bottom"/>
            <w:hMerge w:val="continue"/>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Estimated Present</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and Fair Value of</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Acquisition Costs</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Payable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Estimated Remaining</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Fair Value of</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Acquisition Costs</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Payable</w:t>
            </w:r>
          </w:p>
        </w:tc>
        <w:tc>
          <w:tcPr>
            <w:tcMar>
              <w:left w:type="dxa" w:w="60"/>
              <w:right w:type="dxa" w:w="60"/>
            </w:tcMar>
            <w:tcBorders>
              <w:bottom w:val="single" w:sz="8"/>
            </w:tcBorders>
            <w:vAlign w:val="bottom"/>
            <w:vAlign w:val="bottom"/>
            <w:vAlign w:val="bottom"/>
            <w:hMerge w:val="continue"/>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Estimated Remaining</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Fair Value of</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Acquisition Costs</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Payable</w:t>
            </w:r>
          </w:p>
        </w:tc>
        <w:tc>
          <w:tcPr>
            <w:tcMar>
              <w:left w:type="dxa" w:w="0"/>
              <w:right w:type="dxa" w:w="60"/>
            </w:tcMar>
            <w:tcBorders>
              <w:bottom w:val="single" w:sz="8"/>
            </w:tcBorders>
            <w:hMerge w:val="continue"/>
          </w:tcPr>
          <w:p/>
        </w:tc>
      </w:tr>
      <w:tr>
        <w:trPr>
          <w:trHeight w:hRule="exact" w:val="280"/>
        </w:trPr>
        <w:tc>
          <w:tcPr>
            <w:tcW w:type="dxa" w:w="428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July 31, 2016</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July 31, 2016</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July 31, 2016</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July 31, 2016</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bottom w:val="single" w:sz="8"/>
            </w:tcBorders>
            <w:hMerge w:val="continue"/>
          </w:tcPr>
          <w:p/>
        </w:tc>
      </w:tr>
      <w:tr>
        <w:trPr>
          <w:trHeight w:hRule="exact" w:val="320"/>
        </w:trPr>
        <w:tc>
          <w:tcPr>
            <w:tcW w:type="dxa" w:w="4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Cash paid at closing </w:t>
            </w:r>
            <w:r>
              <w:rPr>
                <w:rFonts w:ascii="Times New Roman" w:hAnsi="Times New Roman" w:eastAsia="Times New Roman" w:cs="Times New Roman"/>
                <w:sz w:val="20"/>
                <w:vertAlign w:val="superscript"/>
              </w:rPr>
              <w:t xml:space="preserve">(a)</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400,000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400,000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4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 paid at closing </w:t>
            </w:r>
            <w:r>
              <w:rPr>
                <w:rFonts w:ascii="Times New Roman" w:hAnsi="Times New Roman" w:eastAsia="Times New Roman" w:cs="Times New Roman"/>
                <w:sz w:val="20"/>
                <w:vertAlign w:val="superscript"/>
              </w:rPr>
              <w:t xml:space="preserve">(a)</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4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Guaranteed purchase price </w:t>
            </w:r>
            <w:r>
              <w:rPr>
                <w:rFonts w:ascii="Times New Roman" w:hAnsi="Times New Roman" w:eastAsia="Times New Roman" w:cs="Times New Roman"/>
                <w:sz w:val="20"/>
                <w:vertAlign w:val="superscript"/>
              </w:rPr>
              <w:t xml:space="preserve">(b)</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933,565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933,565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566,547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566,547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321,740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321,740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331,678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331,678</w:t>
            </w:r>
          </w:p>
        </w:tc>
        <w:tc>
          <w:tcPr>
            <w:tcW w:type="dxa" w:w="77"/>
            <w:tcMar>
              <w:left w:type="dxa" w:w="0"/>
              <w:right w:type="dxa" w:w="0"/>
            </w:tcMar>
            <w:tcBorders/>
          </w:tcPr>
          <w:p/>
        </w:tc>
      </w:tr>
      <w:tr>
        <w:trPr>
          <w:trHeight w:hRule="exact" w:val="280"/>
        </w:trPr>
        <w:tc>
          <w:tcPr>
            <w:tcW w:type="dxa" w:w="42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Contingent performance payments </w:t>
            </w:r>
            <w:r>
              <w:rPr>
                <w:rFonts w:ascii="Times New Roman" w:hAnsi="Times New Roman" w:eastAsia="Times New Roman" w:cs="Times New Roman"/>
                <w:sz w:val="20"/>
                <w:vertAlign w:val="superscript"/>
              </w:rPr>
              <w:t xml:space="preserve">(c)</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2,500,000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230,000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5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43,639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43,639</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44,805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44,805</w:t>
            </w:r>
          </w:p>
        </w:tc>
        <w:tc>
          <w:tcPr>
            <w:tcW w:type="dxa" w:w="77"/>
            <w:tcMar>
              <w:left w:type="dxa" w:w="0"/>
              <w:right w:type="dxa" w:w="0"/>
            </w:tcMar>
            <w:tcBorders>
              <w:bottom w:val="single" w:sz="8"/>
            </w:tcBorders>
          </w:tcPr>
          <w:p/>
        </w:tc>
      </w:tr>
      <w:tr>
        <w:trPr>
          <w:trHeight w:hRule="exact" w:val="280"/>
        </w:trPr>
        <w:tc>
          <w:tcPr>
            <w:tcW w:type="dxa" w:w="428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4,433,565</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1,796,547</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365,379</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376,483</w:t>
            </w:r>
          </w:p>
        </w:tc>
        <w:tc>
          <w:tcPr>
            <w:tcW w:type="dxa" w:w="77"/>
            <w:tcMar>
              <w:left w:type="dxa" w:w="0"/>
              <w:right w:type="dxa" w:w="0"/>
            </w:tcMar>
            <w:tcBorders>
              <w:top w:val="single" w:sz="8" w:space="0"/>
              <w:bottom w:val="double" w:sz="4"/>
            </w:tcBorders>
          </w:tcPr>
          <w:p/>
        </w:tc>
      </w:tr>
    </w:tbl>
    <w:p>
      <w:pPr>
        <w:tabs>
          <w:tab w:val="left" w:pos="0"/>
        </w:tabs>
        <w:ind w:left="360" w:firstLine="-360"/>
        <w:jc w:val="left"/>
        <w:keepNext/>
        <w:keepLines/>
        <w:spacing w:before="180" w:line="288" w:lineRule="auto"/>
        <w:rPr>
          <w:rFonts w:ascii="Times New Roman" w:hAnsi="Times New Roman" w:eastAsia="Times New Roman" w:cs="Times New Roman"/>
          <w:sz w:val="20"/>
          <w:vertAlign w:val="superscript"/>
        </w:rPr>
      </w:pPr>
      <w:r>
        <w:rPr>
          <w:rFonts w:ascii="Times New Roman" w:hAnsi="Times New Roman" w:eastAsia="Times New Roman" w:cs="Times New Roman"/>
          <w:sz w:val="20"/>
          <w:vertAlign w:val="superscript"/>
        </w:rPr>
        <w:t xml:space="preserve">(a) </w:t>
      </w:r>
      <w:r>
        <w:rPr>
          <w:rFonts w:ascii="Times New Roman" w:hAnsi="Times New Roman" w:eastAsia="Times New Roman" w:cs="Times New Roman"/>
          <w:sz w:val="20"/>
        </w:rPr>
        <w:t xml:space="preserve">	The aggregate consideration paid at closing for the acquisition of ZenContent consisted of a cash payment of </w:t>
      </w:r>
      <w:r>
        <w:rPr>
          <w:rFonts w:ascii="Times New Roman" w:hAnsi="Times New Roman" w:eastAsia="Times New Roman" w:cs="Times New Roman"/>
          <w:sz w:val="20"/>
        </w:rPr>
        <w:t xml:space="preserve">$400,000</w:t>
      </w:r>
      <w:r>
        <w:rPr>
          <w:rFonts w:ascii="Times New Roman" w:hAnsi="Times New Roman" w:eastAsia="Times New Roman" w:cs="Times New Roman"/>
          <w:sz w:val="20"/>
        </w:rPr>
        <w:t xml:space="preserve"> and the issuance of </w:t>
      </w:r>
      <w:r>
        <w:rPr>
          <w:rFonts w:ascii="Times New Roman" w:hAnsi="Times New Roman" w:eastAsia="Times New Roman" w:cs="Times New Roman"/>
          <w:sz w:val="20"/>
        </w:rPr>
        <w:t xml:space="preserve">86,207</w:t>
      </w:r>
      <w:r>
        <w:rPr>
          <w:rFonts w:ascii="Times New Roman" w:hAnsi="Times New Roman" w:eastAsia="Times New Roman" w:cs="Times New Roman"/>
          <w:sz w:val="20"/>
        </w:rPr>
        <w:t xml:space="preserve"> shares of IZEA common stock valued at </w:t>
      </w:r>
      <w:r>
        <w:rPr>
          <w:rFonts w:ascii="Times New Roman" w:hAnsi="Times New Roman" w:eastAsia="Times New Roman" w:cs="Times New Roman"/>
          <w:sz w:val="20"/>
        </w:rPr>
        <w:t xml:space="preserve">$600,000</w:t>
      </w:r>
      <w:r>
        <w:rPr>
          <w:rFonts w:ascii="Times New Roman" w:hAnsi="Times New Roman" w:eastAsia="Times New Roman" w:cs="Times New Roman"/>
          <w:sz w:val="20"/>
        </w:rPr>
        <w:t xml:space="preserve">.</w:t>
      </w:r>
    </w:p>
    <w:p>
      <w:pPr>
        <w:ind w:left="360" w:firstLine="-360"/>
        <w:jc w:val="left"/>
        <w:keepLines/>
        <w:spacing w:before="120" w:line="288" w:lineRule="auto"/>
        <w:rPr>
          <w:rFonts w:ascii="Times New Roman" w:hAnsi="Times New Roman" w:eastAsia="Times New Roman" w:cs="Times New Roman"/>
          <w:sz w:val="20"/>
          <w:vertAlign w:val="superscript"/>
        </w:rPr>
      </w:pPr>
      <w:r>
        <w:rPr>
          <w:rFonts w:ascii="Times New Roman" w:hAnsi="Times New Roman" w:eastAsia="Times New Roman" w:cs="Times New Roman"/>
          <w:sz w:val="20"/>
          <w:vertAlign w:val="superscript"/>
        </w:rPr>
        <w:t xml:space="preserve">(b) </w:t>
      </w:r>
      <w:r>
        <w:rPr>
          <w:rFonts w:ascii="Times New Roman" w:hAnsi="Times New Roman" w:eastAsia="Times New Roman" w:cs="Times New Roman"/>
          <w:sz w:val="20"/>
        </w:rPr>
        <w:t xml:space="preserve">	Aggregate post-acquisition date consideration consists of (i) </w:t>
      </w:r>
      <w:r>
        <w:rPr>
          <w:rFonts w:ascii="Times New Roman" w:hAnsi="Times New Roman" w:eastAsia="Times New Roman" w:cs="Times New Roman"/>
          <w:sz w:val="20"/>
        </w:rPr>
        <w:t xml:space="preserve">three equal annual installment payments totaling $1,000,000</w:t>
      </w:r>
      <w:r>
        <w:rPr>
          <w:rFonts w:ascii="Times New Roman" w:hAnsi="Times New Roman" w:eastAsia="Times New Roman" w:cs="Times New Roman"/>
          <w:sz w:val="20"/>
        </w:rPr>
        <w:t xml:space="preserve">, commencing 12 months following the closing, less a reduction of </w:t>
      </w:r>
      <w:r>
        <w:rPr>
          <w:rFonts w:ascii="Times New Roman" w:hAnsi="Times New Roman" w:eastAsia="Times New Roman" w:cs="Times New Roman"/>
          <w:sz w:val="20"/>
        </w:rPr>
        <w:t xml:space="preserve">$66,435</w:t>
      </w:r>
      <w:r>
        <w:rPr>
          <w:rFonts w:ascii="Times New Roman" w:hAnsi="Times New Roman" w:eastAsia="Times New Roman" w:cs="Times New Roman"/>
          <w:sz w:val="20"/>
        </w:rPr>
        <w:t xml:space="preserve"> due to a customary closing date working capital adjustment (“guaranteed purchase price”), and (ii) contingent performance payments up to an aggregate of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over the three consecutive 12-month periods following the closing. These payments are also subject to a downward adjustment up to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 if ZenContent’s co-founder was terminated by IZEA for cause or if she terminated her employment without good reason. As a result, the Company initially reduced its acquisition cost liability by </w:t>
      </w:r>
      <w:r>
        <w:rPr>
          <w:rFonts w:ascii="Times New Roman" w:hAnsi="Times New Roman" w:eastAsia="Times New Roman" w:cs="Times New Roman"/>
          <w:sz w:val="20"/>
        </w:rPr>
        <w:t xml:space="preserve">$300,000</w:t>
      </w:r>
      <w:r>
        <w:rPr>
          <w:rFonts w:ascii="Times New Roman" w:hAnsi="Times New Roman" w:eastAsia="Times New Roman" w:cs="Times New Roman"/>
          <w:sz w:val="20"/>
        </w:rPr>
        <w:t xml:space="preserve"> to be accrued as compensation expense over the </w:t>
      </w:r>
      <w:r>
        <w:rPr>
          <w:rFonts w:ascii="Times New Roman" w:hAnsi="Times New Roman" w:eastAsia="Times New Roman" w:cs="Times New Roman"/>
          <w:sz w:val="20"/>
        </w:rPr>
        <w:t xml:space="preserve">three-year</w:t>
      </w:r>
      <w:r>
        <w:rPr>
          <w:rFonts w:ascii="Times New Roman" w:hAnsi="Times New Roman" w:eastAsia="Times New Roman" w:cs="Times New Roman"/>
          <w:sz w:val="20"/>
        </w:rPr>
        <w:t xml:space="preserve"> term rather than allocated to the initial purchase price in accordance with ASC 805-10-55-25. The initial guaranteed purchase price consideration was discounted to present value using the Company’s borrowing rate of prime plus </w:t>
      </w:r>
      <w:r>
        <w:rPr>
          <w:rFonts w:ascii="Times New Roman" w:hAnsi="Times New Roman" w:eastAsia="Times New Roman" w:cs="Times New Roman"/>
          <w:sz w:val="20"/>
        </w:rPr>
        <w:t xml:space="preserve">2%</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5.5%</w:t>
      </w:r>
      <w:r>
        <w:rPr>
          <w:rFonts w:ascii="Times New Roman" w:hAnsi="Times New Roman" w:eastAsia="Times New Roman" w:cs="Times New Roman"/>
          <w:sz w:val="20"/>
        </w:rPr>
        <w:t xml:space="preserve"> on July 31, 2016). On July 31, 2017, the Company paid </w:t>
      </w:r>
      <w:r>
        <w:rPr>
          <w:rFonts w:ascii="Times New Roman" w:hAnsi="Times New Roman" w:eastAsia="Times New Roman" w:cs="Times New Roman"/>
          <w:sz w:val="20"/>
        </w:rPr>
        <w:t xml:space="preserve">$266,898</w:t>
      </w:r>
      <w:r>
        <w:rPr>
          <w:rFonts w:ascii="Times New Roman" w:hAnsi="Times New Roman" w:eastAsia="Times New Roman" w:cs="Times New Roman"/>
          <w:sz w:val="20"/>
        </w:rPr>
        <w:t xml:space="preserve"> in cash for the first annual installment of </w:t>
      </w:r>
      <w:r>
        <w:rPr>
          <w:rFonts w:ascii="Times New Roman" w:hAnsi="Times New Roman" w:eastAsia="Times New Roman" w:cs="Times New Roman"/>
          <w:sz w:val="20"/>
        </w:rPr>
        <w:t xml:space="preserve">$333,333</w:t>
      </w:r>
      <w:r>
        <w:rPr>
          <w:rFonts w:ascii="Times New Roman" w:hAnsi="Times New Roman" w:eastAsia="Times New Roman" w:cs="Times New Roman"/>
          <w:sz w:val="20"/>
        </w:rPr>
        <w:t xml:space="preserve"> less </w:t>
      </w:r>
      <w:r>
        <w:rPr>
          <w:rFonts w:ascii="Times New Roman" w:hAnsi="Times New Roman" w:eastAsia="Times New Roman" w:cs="Times New Roman"/>
          <w:sz w:val="20"/>
        </w:rPr>
        <w:t xml:space="preserve">$66,435</w:t>
      </w:r>
      <w:r>
        <w:rPr>
          <w:rFonts w:ascii="Times New Roman" w:hAnsi="Times New Roman" w:eastAsia="Times New Roman" w:cs="Times New Roman"/>
          <w:sz w:val="20"/>
        </w:rPr>
        <w:t xml:space="preserve"> in working capital adjustments. On July 31, 2018, the Company paid the second annual installment, comprised of </w:t>
      </w:r>
      <w:r>
        <w:rPr>
          <w:rFonts w:ascii="Times New Roman" w:hAnsi="Times New Roman" w:eastAsia="Times New Roman" w:cs="Times New Roman"/>
          <w:sz w:val="20"/>
        </w:rPr>
        <w:t xml:space="preserve">$111,112</w:t>
      </w:r>
      <w:r>
        <w:rPr>
          <w:rFonts w:ascii="Times New Roman" w:hAnsi="Times New Roman" w:eastAsia="Times New Roman" w:cs="Times New Roman"/>
          <w:sz w:val="20"/>
        </w:rPr>
        <w:t xml:space="preserve"> in cash and </w:t>
      </w:r>
      <w:r>
        <w:rPr>
          <w:rFonts w:ascii="Times New Roman" w:hAnsi="Times New Roman" w:eastAsia="Times New Roman" w:cs="Times New Roman"/>
          <w:sz w:val="20"/>
        </w:rPr>
        <w:t xml:space="preserve">$222,221</w:t>
      </w:r>
      <w:r>
        <w:rPr>
          <w:rFonts w:ascii="Times New Roman" w:hAnsi="Times New Roman" w:eastAsia="Times New Roman" w:cs="Times New Roman"/>
          <w:sz w:val="20"/>
        </w:rPr>
        <w:t xml:space="preserve"> in stock using </w:t>
      </w:r>
      <w:r>
        <w:rPr>
          <w:rFonts w:ascii="Times New Roman" w:hAnsi="Times New Roman" w:eastAsia="Times New Roman" w:cs="Times New Roman"/>
          <w:sz w:val="20"/>
        </w:rPr>
        <w:t xml:space="preserve">98,765</w:t>
      </w:r>
      <w:r>
        <w:rPr>
          <w:rFonts w:ascii="Times New Roman" w:hAnsi="Times New Roman" w:eastAsia="Times New Roman" w:cs="Times New Roman"/>
          <w:sz w:val="20"/>
        </w:rPr>
        <w:t xml:space="preserve"> shares of its common stock valued at </w:t>
      </w:r>
      <w:r>
        <w:rPr>
          <w:rFonts w:ascii="Times New Roman" w:hAnsi="Times New Roman" w:eastAsia="Times New Roman" w:cs="Times New Roman"/>
          <w:sz w:val="20"/>
        </w:rPr>
        <w:t xml:space="preserve">$2.25</w:t>
      </w:r>
      <w:r>
        <w:rPr>
          <w:rFonts w:ascii="Times New Roman" w:hAnsi="Times New Roman" w:eastAsia="Times New Roman" w:cs="Times New Roman"/>
          <w:sz w:val="20"/>
        </w:rPr>
        <w:t xml:space="preserve"> per share, using the 30-day VWAP as reported by the Nasdaq Capital Market prior to the issuance date. In July 2019, we made the third and final annual installment payment under the ZenContent Stock Purchase Agreement. See Note 11. Subsequent Events.</w:t>
      </w:r>
    </w:p>
    <w:p>
      <w:pPr>
        <w:tabs>
          <w:tab w:val="left" w:pos="360"/>
        </w:tabs>
        <w:ind w:left="360" w:firstLine="-360"/>
        <w:jc w:val="left"/>
        <w:spacing w:before="120" w:line="288" w:lineRule="auto"/>
        <w:rPr>
          <w:rFonts w:ascii="Times New Roman" w:hAnsi="Times New Roman" w:eastAsia="Times New Roman" w:cs="Times New Roman"/>
          <w:sz w:val="20"/>
          <w:vertAlign w:val="superscript"/>
        </w:rPr>
      </w:pPr>
      <w:r>
        <w:rPr>
          <w:rFonts w:ascii="Times New Roman" w:hAnsi="Times New Roman" w:eastAsia="Times New Roman" w:cs="Times New Roman"/>
          <w:sz w:val="20"/>
          <w:vertAlign w:val="superscript"/>
        </w:rPr>
        <w:t xml:space="preserve">(c)</w:t>
      </w:r>
      <w:r>
        <w:rPr>
          <w:rFonts w:ascii="Times New Roman" w:hAnsi="Times New Roman" w:eastAsia="Times New Roman" w:cs="Times New Roman"/>
          <w:sz w:val="20"/>
        </w:rPr>
        <w:t xml:space="preserve">	The contingent performance payments were subject to ZenContent achieving certain minimum revenue thresholds over </w:t>
      </w:r>
      <w:r>
        <w:rPr>
          <w:rFonts w:ascii="Times New Roman" w:hAnsi="Times New Roman" w:eastAsia="Times New Roman" w:cs="Times New Roman"/>
          <w:sz w:val="20"/>
        </w:rPr>
        <w:t xml:space="preserve">36 months</w:t>
      </w:r>
      <w:r>
        <w:rPr>
          <w:rFonts w:ascii="Times New Roman" w:hAnsi="Times New Roman" w:eastAsia="Times New Roman" w:cs="Times New Roman"/>
          <w:sz w:val="20"/>
        </w:rPr>
        <w:t xml:space="preserve">. On July 31, 2016, the Company initially determined the fair value of the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contingent payments to be </w:t>
      </w:r>
      <w:r>
        <w:rPr>
          <w:rFonts w:ascii="Times New Roman" w:hAnsi="Times New Roman" w:eastAsia="Times New Roman" w:cs="Times New Roman"/>
          <w:sz w:val="20"/>
        </w:rPr>
        <w:t xml:space="preserve">$230,000</w:t>
      </w:r>
      <w:r>
        <w:rPr>
          <w:rFonts w:ascii="Times New Roman" w:hAnsi="Times New Roman" w:eastAsia="Times New Roman" w:cs="Times New Roman"/>
          <w:sz w:val="20"/>
        </w:rPr>
        <w:t xml:space="preserve">. The fair value of the contingent performance payments was required to be revalued each quarter and was calculated using a Monte-Carlo simulation to simulate revenue over the future periods. Since the contingent consideration has an option like structure, a risk-neutral framework was considered appropriate for the valuation. The Company started with a risk-adjusted measure of forecasted revenue (using a risk-adjusted discount rate of </w:t>
      </w:r>
      <w:r>
        <w:rPr>
          <w:rFonts w:ascii="Times New Roman" w:hAnsi="Times New Roman" w:eastAsia="Times New Roman" w:cs="Times New Roman"/>
          <w:sz w:val="20"/>
        </w:rPr>
        <w:t xml:space="preserve">17%</w:t>
      </w:r>
      <w:r>
        <w:rPr>
          <w:rFonts w:ascii="Times New Roman" w:hAnsi="Times New Roman" w:eastAsia="Times New Roman" w:cs="Times New Roman"/>
          <w:sz w:val="20"/>
        </w:rPr>
        <w:t xml:space="preserve">) and assumed it would follow geometric Brownian motion to simulate the revenue at future dates. Once the initial revenue was estimated based off of projections, payout was calculated for each year and present valued to incorporate the credit risk associated with these payments. The Company’s fair value conclusion was based on the average payment from </w:t>
      </w:r>
      <w:r>
        <w:rPr>
          <w:rFonts w:ascii="Times New Roman" w:hAnsi="Times New Roman" w:eastAsia="Times New Roman" w:cs="Times New Roman"/>
          <w:sz w:val="20"/>
        </w:rPr>
        <w:t xml:space="preserve">250,000</w:t>
      </w:r>
      <w:r>
        <w:rPr>
          <w:rFonts w:ascii="Times New Roman" w:hAnsi="Times New Roman" w:eastAsia="Times New Roman" w:cs="Times New Roman"/>
          <w:sz w:val="20"/>
        </w:rPr>
        <w:t xml:space="preserve"> simulation trials. The volatility used for the simulation was </w:t>
      </w:r>
      <w:r>
        <w:rPr>
          <w:rFonts w:ascii="Times New Roman" w:hAnsi="Times New Roman" w:eastAsia="Times New Roman" w:cs="Times New Roman"/>
          <w:sz w:val="20"/>
        </w:rPr>
        <w:t xml:space="preserve">45%</w:t>
      </w:r>
      <w:r>
        <w:rPr>
          <w:rFonts w:ascii="Times New Roman" w:hAnsi="Times New Roman" w:eastAsia="Times New Roman" w:cs="Times New Roman"/>
          <w:sz w:val="20"/>
        </w:rPr>
        <w:t xml:space="preserve">. The interest rate used for the simulation was the Company’s current borrowing rate of prime plus </w:t>
      </w:r>
      <w:r>
        <w:rPr>
          <w:rFonts w:ascii="Times New Roman" w:hAnsi="Times New Roman" w:eastAsia="Times New Roman" w:cs="Times New Roman"/>
          <w:sz w:val="20"/>
        </w:rPr>
        <w:t xml:space="preserve">2%</w:t>
      </w:r>
      <w:r>
        <w:rPr>
          <w:rFonts w:ascii="Times New Roman" w:hAnsi="Times New Roman" w:eastAsia="Times New Roman" w:cs="Times New Roman"/>
          <w:sz w:val="20"/>
        </w:rPr>
        <w:t xml:space="preserve"> at the time of valuation. The Company revised its estimate of the contingent performance payments based on the fixed payments agreed upon in the July 2018 amendment to the ZenContent Stock Purchase Agreement.</w:t>
      </w:r>
    </w:p>
    <w:p>
      <w:pPr>
        <w:tabs>
          <w:tab w:val="left" w:pos="360"/>
        </w:tabs>
        <w:ind w:left="360" w:firstLine="-36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4"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3. 	PROPERTY AND EQUIPMENT</w:t>
      </w:r>
      <w:bookmarkStart w:id="48605" w:name="NOTE_3___Property_and_Equipment"/>
      <w:bookmarkEnd w:id="48605"/>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keepLines/>
        <w:spacing w:line="288" w:lineRule="auto" w:after="140"/>
        <w:rPr>
          <w:rFonts w:ascii="Times New Roman" w:hAnsi="Times New Roman" w:eastAsia="Times New Roman" w:cs="Times New Roman"/>
          <w:sz w:val="20"/>
        </w:rPr>
        <w:keepNext/>
      </w:pPr>
      <w:r>
        <w:rPr>
          <w:rFonts w:ascii="Times New Roman" w:hAnsi="Times New Roman" w:eastAsia="Times New Roman" w:cs="Times New Roman"/>
          <w:sz w:val="20"/>
        </w:rPr>
        <w:t xml:space="preserve">Property and equipment consists of the following: </w:t>
      </w:r>
    </w:p>
    <w:tbl>
      <w:tblPr>
        <w:tblW w:type="dxa" w:w="10240"/>
        <w:tblLayout w:type="fixed"/>
        <w:jc w:val="left"/>
        <w:tblInd w:type="dxa" w:w="720"/>
      </w:tblPr>
      <w:tblGrid>
        <w:gridCol w:w="7000"/>
        <w:gridCol w:w="110"/>
        <w:gridCol w:w="1393"/>
        <w:gridCol w:w="77"/>
        <w:gridCol w:w="80"/>
        <w:gridCol w:w="110"/>
        <w:gridCol w:w="1393"/>
        <w:gridCol w:w="77"/>
      </w:tblGrid>
      <w:tr>
        <w:trPr>
          <w:trHeight w:hRule="exact" w:val="280"/>
        </w:trPr>
        <w:tc>
          <w:tcPr>
            <w:tcW w:type="dxa" w:w="700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0"/>
              <w:right w:type="dxa" w:w="60"/>
            </w:tcMar>
            <w:tcBorders>
              <w:bottom w:val="single" w:sz="8"/>
            </w:tcBorders>
            <w:hMerge w:val="continue"/>
          </w:tcPr>
          <w:p/>
        </w:tc>
      </w:tr>
      <w:tr>
        <w:trPr>
          <w:trHeight w:hRule="exact" w:val="300"/>
        </w:trPr>
        <w:tc>
          <w:tcPr>
            <w:tcW w:type="dxa" w:w="7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Furniture and fixtures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293,777</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293,777</w:t>
            </w:r>
          </w:p>
        </w:tc>
        <w:tc>
          <w:tcPr>
            <w:tcW w:type="dxa" w:w="77"/>
            <w:tcMar>
              <w:left w:type="dxa" w:w="0"/>
              <w:right w:type="dxa" w:w="0"/>
            </w:tcMar>
            <w:tcBorders>
              <w:top w:val="single" w:sz="8" w:space="0"/>
            </w:tcBorders>
          </w:tcPr>
          <w:p/>
        </w:tc>
      </w:tr>
      <w:tr>
        <w:trPr>
          <w:trHeight w:hRule="exact" w:val="300"/>
        </w:trPr>
        <w:tc>
          <w:tcPr>
            <w:tcW w:type="dxa" w:w="7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Office equipment</w:t>
            </w:r>
          </w:p>
        </w:tc>
        <w:tc>
          <w:tcPr>
            <w:tcW w:type="dxa" w:w="15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80,336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80,336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5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77,194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77,194</w:t>
            </w:r>
          </w:p>
        </w:tc>
        <w:tc>
          <w:tcPr>
            <w:tcW w:type="dxa" w:w="77"/>
            <w:tcMar>
              <w:left w:type="dxa" w:w="0"/>
              <w:right w:type="dxa" w:w="0"/>
            </w:tcMar>
            <w:tcBorders/>
          </w:tcPr>
          <w:p/>
        </w:tc>
      </w:tr>
      <w:tr>
        <w:trPr>
          <w:trHeight w:hRule="exact" w:val="300"/>
        </w:trPr>
        <w:tc>
          <w:tcPr>
            <w:tcW w:type="dxa" w:w="7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Computer equipment</w:t>
            </w:r>
          </w:p>
        </w:tc>
        <w:tc>
          <w:tcPr>
            <w:tcW w:type="dxa" w:w="15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490,704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490,704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5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561,812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561,812</w:t>
            </w:r>
          </w:p>
        </w:tc>
        <w:tc>
          <w:tcPr>
            <w:tcW w:type="dxa" w:w="77"/>
            <w:tcMar>
              <w:left w:type="dxa" w:w="0"/>
              <w:right w:type="dxa" w:w="0"/>
            </w:tcMar>
            <w:tcBorders/>
          </w:tcPr>
          <w:p/>
        </w:tc>
      </w:tr>
      <w:tr>
        <w:trPr>
          <w:trHeight w:hRule="exact" w:val="300"/>
        </w:trPr>
        <w:tc>
          <w:tcPr>
            <w:tcW w:type="dxa" w:w="7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Leasehold improvements</w:t>
            </w:r>
          </w:p>
        </w:tc>
        <w:tc>
          <w:tcPr>
            <w:tcW w:type="dxa" w:w="15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338,018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338,018</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5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338,018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338,018</w:t>
            </w:r>
          </w:p>
        </w:tc>
        <w:tc>
          <w:tcPr>
            <w:tcW w:type="dxa" w:w="77"/>
            <w:tcMar>
              <w:left w:type="dxa" w:w="0"/>
              <w:right w:type="dxa" w:w="0"/>
            </w:tcMar>
            <w:tcBorders>
              <w:bottom w:val="single" w:sz="8"/>
            </w:tcBorders>
          </w:tcPr>
          <w:p/>
        </w:tc>
      </w:tr>
      <w:tr>
        <w:trPr>
          <w:trHeight w:hRule="exact" w:val="300"/>
        </w:trPr>
        <w:tc>
          <w:tcPr>
            <w:tcW w:type="dxa" w:w="7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50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1,202,835</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1,202,835</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50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1,270,801</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1,270,801</w:t>
            </w:r>
          </w:p>
        </w:tc>
        <w:tc>
          <w:tcPr>
            <w:tcW w:type="dxa" w:w="77"/>
            <w:tcMar>
              <w:left w:type="dxa" w:w="0"/>
              <w:right w:type="dxa" w:w="0"/>
            </w:tcMar>
            <w:tcBorders>
              <w:top w:val="single" w:sz="8" w:space="0"/>
            </w:tcBorders>
          </w:tcPr>
          <w:p/>
        </w:tc>
      </w:tr>
      <w:tr>
        <w:trPr>
          <w:trHeight w:hRule="exact" w:val="300"/>
        </w:trPr>
        <w:tc>
          <w:tcPr>
            <w:tcW w:type="dxa" w:w="7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Less accumulated depreciation and amortization</w:t>
            </w:r>
          </w:p>
        </w:tc>
        <w:tc>
          <w:tcPr>
            <w:tcW w:type="dxa" w:w="15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(1,026,367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(1,026,367</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5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(998,562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(998,562</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00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Property and equipment, net</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9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176,468</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9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272,239</w:t>
            </w:r>
          </w:p>
        </w:tc>
        <w:tc>
          <w:tcPr>
            <w:tcW w:type="dxa" w:w="77"/>
            <w:tcMar>
              <w:left w:type="dxa" w:w="0"/>
              <w:right w:type="dxa" w:w="0"/>
            </w:tcMar>
            <w:tcBorders>
              <w:top w:val="single" w:sz="8" w:space="0"/>
              <w:bottom w:val="double" w:sz="4"/>
            </w:tcBorders>
          </w:tcP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Depreciation and amortization expense on property and equipment recorded in Depreciation and amortization expense in the consolidated statements of operations was </w:t>
      </w:r>
      <w:r>
        <w:rPr>
          <w:rFonts w:ascii="Times New Roman" w:hAnsi="Times New Roman" w:eastAsia="Times New Roman" w:cs="Times New Roman"/>
          <w:sz w:val="20"/>
        </w:rPr>
        <w:t xml:space="preserve">$35,946</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$56,828</w:t>
      </w:r>
      <w:r>
        <w:rPr>
          <w:rFonts w:ascii="Times New Roman" w:hAnsi="Times New Roman" w:eastAsia="Times New Roman" w:cs="Times New Roman"/>
          <w:sz w:val="20"/>
        </w:rPr>
        <w:t xml:space="preserve"> for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depreciation and amortization expense on property and equipment recorded in Depreciation and amortization expense in the consolidated statements of operations was </w:t>
      </w:r>
      <w:r>
        <w:rPr>
          <w:rFonts w:ascii="Times New Roman" w:hAnsi="Times New Roman" w:eastAsia="Times New Roman" w:cs="Times New Roman"/>
          <w:sz w:val="20"/>
        </w:rPr>
        <w:t xml:space="preserve">$74,423</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$112,866</w:t>
      </w:r>
      <w:r>
        <w:rPr>
          <w:rFonts w:ascii="Times New Roman" w:hAnsi="Times New Roman" w:eastAsia="Times New Roman" w:cs="Times New Roman"/>
          <w:sz w:val="20"/>
        </w:rPr>
        <w:t xml:space="preserve">, respectively.</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5" w:type="default"/>
          <w:footerReference r:id="rId16"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4. 	INTANGIBLE ASSETS</w:t>
      </w:r>
      <w:bookmarkStart w:id="13149" w:name="NOTE_4___Intangible_Assets"/>
      <w:bookmarkEnd w:id="13149"/>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ind w:firstLine="720"/>
        <w:jc w:val="left"/>
        <w:keepNext/>
        <w:keepLines/>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identifiable intangible assets, other than Goodwill, consists of the following assets:	</w:t>
      </w:r>
    </w:p>
    <w:tbl>
      <w:tblPr>
        <w:tblW w:type="dxa" w:w="10240"/>
        <w:tblLayout w:type="fixed"/>
        <w:jc w:val="left"/>
      </w:tblPr>
      <w:tblGrid>
        <w:gridCol w:w="3240"/>
        <w:gridCol w:w="110"/>
        <w:gridCol w:w="1213"/>
        <w:gridCol w:w="77"/>
        <w:gridCol w:w="80"/>
        <w:gridCol w:w="110"/>
        <w:gridCol w:w="1213"/>
        <w:gridCol w:w="77"/>
        <w:gridCol w:w="80"/>
        <w:gridCol w:w="110"/>
        <w:gridCol w:w="1213"/>
        <w:gridCol w:w="77"/>
        <w:gridCol w:w="80"/>
        <w:gridCol w:w="110"/>
        <w:gridCol w:w="1213"/>
        <w:gridCol w:w="77"/>
        <w:gridCol w:w="80"/>
        <w:gridCol w:w="1080"/>
      </w:tblGrid>
      <w:tr>
        <w:trPr>
          <w:trHeight w:hRule="exact" w:val="460"/>
        </w:trPr>
        <w:tc>
          <w:tcPr>
            <w:tcW w:type="dxa" w:w="32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Balance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Balance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Accumulated Amortization</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Accumulated Amortization</w:t>
            </w:r>
          </w:p>
        </w:tc>
        <w:tc>
          <w:tcPr>
            <w:tcMar>
              <w:left w:type="dxa" w:w="0"/>
              <w:right w:type="dxa" w:w="60"/>
            </w:tcMar>
            <w:tcBorders>
              <w:bottom w:val="single" w:sz="8"/>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Balance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Balance</w:t>
            </w:r>
          </w:p>
        </w:tc>
        <w:tc>
          <w:tcPr>
            <w:tcMar>
              <w:left w:type="dxa" w:w="0"/>
              <w:right w:type="dxa" w:w="60"/>
            </w:tcMar>
            <w:tcBorders>
              <w:bottom w:val="single" w:sz="8"/>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Accumulated Amortization</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Accumulated Amortization</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080"/>
            <w:tcMar>
              <w:left w:type="dxa" w:w="60"/>
              <w:right w:type="dxa" w:w="60"/>
            </w:tcMar>
            <w:v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Useful Life   (in years)</w:t>
            </w:r>
          </w:p>
        </w:tc>
      </w:tr>
      <w:tr>
        <w:trPr>
          <w:trHeight w:hRule="exact" w:val="280"/>
        </w:trPr>
        <w:tc>
          <w:tcPr>
            <w:tcW w:type="dxa" w:w="32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1080"/>
            <w:tcMar>
              <w:left w:type="dxa" w:w="60"/>
              <w:right w:type="dxa" w:w="0"/>
            </w:tcMar>
            <w:vMerge w:val="continue"/>
            <w:tcBorders>
              <w:bottom w:val="single" w:sz="8"/>
            </w:tcBorders>
            <w:vAlign w:val="bottom"/>
          </w:tcPr>
          <w:p>
            <w:pPr>
              <w:jc w:val="left"/>
              <w:keepNext/>
              <w:keepLines/>
              <w:spacing w:before="40" w:after="40" w:line="240" w:lineRule="auto"/>
              <w:rPr/>
            </w:pPr>
            <w:r>
              <w:rPr/>
            </w:r>
          </w:p>
        </w:tc>
      </w:tr>
      <w:tr>
        <w:trPr>
          <w:trHeight w:hRule="exact" w:val="280"/>
        </w:trPr>
        <w:tc>
          <w:tcPr>
            <w:tcW w:type="dxa" w:w="3240"/>
            <w:tcMar>
              <w:left w:type="dxa" w:w="60"/>
              <w:right w:type="dxa" w:w="40"/>
            </w:tcMar>
            <w:vMerge w:val="restart"/>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Content provider networks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r>
      <w:tr>
        <w:trPr>
          <w:trHeight w:hRule="exact" w:val="280"/>
        </w:trPr>
        <w:tc>
          <w:tcPr>
            <w:tcW w:type="dxa" w:w="3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Trade names</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(84,083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(84,083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(66,583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(66,583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r>
      <w:tr>
        <w:trPr>
          <w:trHeight w:hRule="exact" w:val="280"/>
        </w:trPr>
        <w:tc>
          <w:tcPr>
            <w:tcW w:type="dxa" w:w="3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Developed technology</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(509,167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(509,167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(396,167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(396,167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r>
      <w:tr>
        <w:trPr>
          <w:trHeight w:hRule="exact" w:val="280"/>
        </w:trPr>
        <w:tc>
          <w:tcPr>
            <w:tcW w:type="dxa" w:w="3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Self-service content customers</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(1,004,444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(1,004,444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(571,111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(571,111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r>
      <w:tr>
        <w:trPr>
          <w:trHeight w:hRule="exact" w:val="280"/>
        </w:trPr>
        <w:tc>
          <w:tcPr>
            <w:tcW w:type="dxa" w:w="3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content customers</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(2,130,278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(2,130,278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(2,071,945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(2,071,945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r>
      <w:tr>
        <w:trPr>
          <w:trHeight w:hRule="exact" w:val="280"/>
        </w:trPr>
        <w:tc>
          <w:tcPr>
            <w:tcW w:type="dxa" w:w="3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Domains</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(116,528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(116,528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(99,881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(99,881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r>
      <w:tr>
        <w:trPr>
          <w:trHeight w:hRule="exact" w:val="280"/>
        </w:trPr>
        <w:tc>
          <w:tcPr>
            <w:tcW w:type="dxa" w:w="3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Embedded non-compete provision</w:t>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(12,834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(12,834</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(5,833</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r>
      <w:tr>
        <w:trPr>
          <w:trHeight w:hRule="exact" w:val="300"/>
        </w:trPr>
        <w:tc>
          <w:tcPr>
            <w:tcW w:type="dxa" w:w="324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(4,017,334</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(3,371,520</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080"/>
            <w:tcMar>
              <w:left w:type="dxa" w:w="0"/>
              <w:right w:type="dxa" w:w="60"/>
            </w:tcMar>
            <w:tcBorders/>
            <w:vAlign w:val="bottom"/>
          </w:tcPr>
          <w:p>
            <w:pPr>
              <w:jc w:val="left"/>
              <w:keepLines/>
              <w:spacing w:before="40" w:after="40" w:line="240" w:lineRule="auto"/>
              <w:rPr/>
            </w:pPr>
            <w:r>
              <w:rPr/>
            </w:r>
          </w:p>
        </w:tc>
      </w:tr>
    </w:tbl>
    <w:p>
      <w:pPr>
        <w:ind w:firstLine="720"/>
        <w:jc w:val="left"/>
        <w:keepNext/>
        <w:keepLines/>
        <w:spacing w:before="18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Total identifiable intangible assets, other than Goodwill, from the Company’s acquisitions and other acquired assets net of accumulated amortization thereon consists of the following:</w:t>
      </w:r>
    </w:p>
    <w:tbl>
      <w:tblPr>
        <w:tblW w:type="dxa" w:w="10240"/>
        <w:tblLayout w:type="fixed"/>
        <w:jc w:val="left"/>
      </w:tblPr>
      <w:tblGrid>
        <w:gridCol w:w="7040"/>
        <w:gridCol w:w="110"/>
        <w:gridCol w:w="1373"/>
        <w:gridCol w:w="77"/>
        <w:gridCol w:w="80"/>
        <w:gridCol w:w="110"/>
        <w:gridCol w:w="1373"/>
        <w:gridCol w:w="77"/>
      </w:tblGrid>
      <w:tr>
        <w:trPr>
          <w:trHeight w:hRule="exact" w:val="280"/>
        </w:trPr>
        <w:tc>
          <w:tcPr>
            <w:tcW w:type="dxa" w:w="704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0"/>
              <w:right w:type="dxa" w:w="60"/>
            </w:tcMar>
            <w:tcBorders>
              <w:bottom w:val="single" w:sz="8"/>
            </w:tcBorders>
            <w:hMerge w:val="continue"/>
          </w:tcPr>
          <w:p/>
        </w:tc>
      </w:tr>
      <w:tr>
        <w:trPr>
          <w:trHeight w:hRule="exact" w:val="300"/>
        </w:trPr>
        <w:tc>
          <w:tcPr>
            <w:tcW w:type="dxa" w:w="70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Ebyline intangible assets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2,370,000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2,370,000</w:t>
            </w:r>
          </w:p>
        </w:tc>
        <w:tc>
          <w:tcPr>
            <w:tcW w:type="dxa" w:w="77"/>
            <w:tcMar>
              <w:left w:type="dxa" w:w="0"/>
              <w:right w:type="dxa" w:w="0"/>
            </w:tcMar>
            <w:tcBorders/>
          </w:tcPr>
          <w:p/>
        </w:tc>
      </w:tr>
      <w:tr>
        <w:trPr>
          <w:trHeight w:hRule="exact" w:val="300"/>
        </w:trPr>
        <w:tc>
          <w:tcPr>
            <w:tcW w:type="dxa" w:w="70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ZenContent intangible assets</w:t>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W w:type="dxa" w:w="77"/>
            <w:tcMar>
              <w:left w:type="dxa" w:w="0"/>
              <w:right w:type="dxa" w:w="0"/>
            </w:tcMar>
            <w:tcBorders/>
          </w:tcPr>
          <w:p/>
        </w:tc>
      </w:tr>
      <w:tr>
        <w:trPr>
          <w:trHeight w:hRule="exact" w:val="300"/>
        </w:trPr>
        <w:tc>
          <w:tcPr>
            <w:tcW w:type="dxa" w:w="70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TapInfluence intangible assets</w:t>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W w:type="dxa" w:w="77"/>
            <w:tcMar>
              <w:left w:type="dxa" w:w="0"/>
              <w:right w:type="dxa" w:w="0"/>
            </w:tcMar>
            <w:tcBorders/>
          </w:tcPr>
          <w:p/>
        </w:tc>
      </w:tr>
      <w:tr>
        <w:trPr>
          <w:trHeight w:hRule="exact" w:val="300"/>
        </w:trPr>
        <w:tc>
          <w:tcPr>
            <w:tcW w:type="dxa" w:w="70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Domains</w:t>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r>
      <w:tr>
        <w:trPr>
          <w:trHeight w:hRule="exact" w:val="300"/>
        </w:trPr>
        <w:tc>
          <w:tcPr>
            <w:tcW w:type="dxa" w:w="70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4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tcBorders>
          </w:tcPr>
          <w:p/>
        </w:tc>
      </w:tr>
      <w:tr>
        <w:trPr>
          <w:trHeight w:hRule="exact" w:val="300"/>
        </w:trPr>
        <w:tc>
          <w:tcPr>
            <w:tcW w:type="dxa" w:w="70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Less accumulated amortization</w:t>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(4,017,334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(4,017,334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(3,371,520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(3,371,520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04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Intangible assets, net</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2,504,135</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3,149,949</w:t>
            </w:r>
          </w:p>
        </w:tc>
        <w:tc>
          <w:tcPr>
            <w:tcW w:type="dxa" w:w="77"/>
            <w:tcMar>
              <w:left w:type="dxa" w:w="0"/>
              <w:right w:type="dxa" w:w="0"/>
            </w:tcMar>
            <w:tcBorders>
              <w:top w:val="single" w:sz="8" w:space="0"/>
              <w:bottom w:val="double" w:sz="4"/>
            </w:tcBorders>
          </w:tcPr>
          <w:p/>
        </w:tc>
      </w:tr>
    </w:tbl>
    <w:p>
      <w:pPr>
        <w:jc w:val="left"/>
        <w:spacing w:line="40" w:lineRule="exact"/>
        <w:rPr/>
      </w:pPr>
      <w:r>
        <w:rPr/>
      </w:r>
    </w:p>
    <w:p>
      <w:pPr>
        <w:ind w:firstLine="720"/>
        <w:jc w:val="left"/>
        <w:keepNex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is amortizing the identifiable intangible assets over a weighted-average period of </w:t>
      </w:r>
      <w:r>
        <w:rPr>
          <w:rFonts w:ascii="Times New Roman" w:hAnsi="Times New Roman" w:eastAsia="Times New Roman" w:cs="Times New Roman"/>
          <w:sz w:val="20"/>
        </w:rPr>
        <w:t xml:space="preserve">three years</w:t>
      </w:r>
      <w:r>
        <w:rPr>
          <w:rFonts w:ascii="Times New Roman" w:hAnsi="Times New Roman" w:eastAsia="Times New Roman" w:cs="Times New Roman"/>
          <w:sz w:val="20"/>
        </w:rPr>
        <w:t xml:space="preserve">. Amortization expense recorded in Depreciation and amortization in the accompanying consolidated statements of operations was </w:t>
      </w:r>
      <w:r>
        <w:rPr>
          <w:rFonts w:ascii="Times New Roman" w:hAnsi="Times New Roman" w:eastAsia="Times New Roman" w:cs="Times New Roman"/>
          <w:sz w:val="20"/>
        </w:rPr>
        <w:t xml:space="preserve">$322,907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$80,241</w:t>
      </w:r>
      <w:r>
        <w:rPr>
          <w:rFonts w:ascii="Times New Roman" w:hAnsi="Times New Roman" w:eastAsia="Times New Roman" w:cs="Times New Roman"/>
          <w:sz w:val="20"/>
        </w:rPr>
        <w:t xml:space="preserve"> for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amortization expense recorded in Depreciation and amortization was </w:t>
      </w:r>
      <w:r>
        <w:rPr>
          <w:rFonts w:ascii="Times New Roman" w:hAnsi="Times New Roman" w:eastAsia="Times New Roman" w:cs="Times New Roman"/>
          <w:sz w:val="20"/>
        </w:rPr>
        <w:t xml:space="preserve">$645,814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$216,036</w:t>
      </w:r>
      <w:r>
        <w:rPr>
          <w:rFonts w:ascii="Times New Roman" w:hAnsi="Times New Roman" w:eastAsia="Times New Roman" w:cs="Times New Roman"/>
          <w:sz w:val="20"/>
        </w:rPr>
        <w:t xml:space="preserve">, respectively.</w:t>
      </w:r>
    </w:p>
    <w:p>
      <w:pPr>
        <w:ind w:firstLine="720"/>
        <w:jc w:val="left"/>
        <w:keepNex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portion of this amortization expense specifically related to the costs of acquired technology for its platforms that is presented separately from cost of revenue was </w:t>
      </w:r>
      <w:r>
        <w:rPr>
          <w:rFonts w:ascii="Times New Roman" w:hAnsi="Times New Roman" w:eastAsia="Times New Roman" w:cs="Times New Roman"/>
          <w:sz w:val="20"/>
        </w:rPr>
        <w:t xml:space="preserve">$26,500</w:t>
      </w:r>
      <w:r>
        <w:rPr>
          <w:rFonts w:ascii="Times New Roman" w:hAnsi="Times New Roman" w:eastAsia="Times New Roman" w:cs="Times New Roman"/>
          <w:sz w:val="20"/>
        </w:rPr>
        <w:t xml:space="preserve"> for each of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$53,000</w:t>
      </w:r>
      <w:r>
        <w:rPr>
          <w:rFonts w:ascii="Times New Roman" w:hAnsi="Times New Roman" w:eastAsia="Times New Roman" w:cs="Times New Roman"/>
          <w:sz w:val="20"/>
        </w:rPr>
        <w:t xml:space="preserve"> for each of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ind w:firstLine="720"/>
        <w:jc w:val="left"/>
        <w:keepNext/>
        <w:keepLines/>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future estimated amortization expense related to identifiable intangible assets is set forth in the following schedule:</w:t>
      </w:r>
    </w:p>
    <w:tbl>
      <w:tblPr>
        <w:tblW w:type="dxa" w:w="10240"/>
        <w:tblLayout w:type="fixed"/>
        <w:jc w:val="left"/>
      </w:tblPr>
      <w:tblGrid>
        <w:gridCol w:w="8760"/>
        <w:gridCol w:w="80"/>
        <w:gridCol w:w="110"/>
        <w:gridCol w:w="1213"/>
        <w:gridCol w:w="77"/>
      </w:tblGrid>
      <w:tr>
        <w:trPr>
          <w:trHeight w:hRule="exact" w:val="460"/>
        </w:trPr>
        <w:tc>
          <w:tcPr>
            <w:tcW w:type="dxa" w:w="876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Amortization Expense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Amortization Expense</w:t>
            </w:r>
          </w:p>
        </w:tc>
        <w:tc>
          <w:tcPr>
            <w:tcMar>
              <w:left w:type="dxa" w:w="0"/>
              <w:right w:type="dxa" w:w="60"/>
            </w:tcMar>
            <w:tcBorders>
              <w:bottom w:val="single" w:sz="8"/>
            </w:tcBorders>
            <w:hMerge w:val="continue"/>
          </w:tcPr>
          <w:p/>
        </w:tc>
      </w:tr>
      <w:tr>
        <w:trPr>
          <w:trHeight w:hRule="exact" w:val="300"/>
        </w:trPr>
        <w:tc>
          <w:tcPr>
            <w:tcW w:type="dxa" w:w="8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Remainder of 2019</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582,619</w:t>
            </w:r>
          </w:p>
        </w:tc>
        <w:tc>
          <w:tcPr>
            <w:tcW w:type="dxa" w:w="77"/>
            <w:tcMar>
              <w:left w:type="dxa" w:w="0"/>
              <w:right w:type="dxa" w:w="0"/>
            </w:tcMar>
            <w:tcBorders/>
          </w:tcPr>
          <w:p/>
        </w:tc>
      </w:tr>
      <w:tr>
        <w:trPr>
          <w:trHeight w:hRule="exact" w:val="300"/>
        </w:trPr>
        <w:tc>
          <w:tcPr>
            <w:tcW w:type="dxa" w:w="876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2020</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1,079,127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1,079,127</w:t>
            </w:r>
          </w:p>
        </w:tc>
        <w:tc>
          <w:tcPr>
            <w:tcW w:type="dxa" w:w="77"/>
            <w:tcMar>
              <w:left w:type="dxa" w:w="0"/>
              <w:right w:type="dxa" w:w="0"/>
            </w:tcMar>
            <w:tcBorders/>
          </w:tcPr>
          <w:p/>
        </w:tc>
      </w:tr>
      <w:tr>
        <w:trPr>
          <w:trHeight w:hRule="exact" w:val="300"/>
        </w:trPr>
        <w:tc>
          <w:tcPr>
            <w:tcW w:type="dxa" w:w="876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2021</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652,389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652,389</w:t>
            </w:r>
          </w:p>
        </w:tc>
        <w:tc>
          <w:tcPr>
            <w:tcW w:type="dxa" w:w="77"/>
            <w:tcMar>
              <w:left w:type="dxa" w:w="0"/>
              <w:right w:type="dxa" w:w="0"/>
            </w:tcMar>
            <w:tcBorders/>
          </w:tcPr>
          <w:p/>
        </w:tc>
      </w:tr>
      <w:tr>
        <w:trPr>
          <w:trHeight w:hRule="exact" w:val="300"/>
        </w:trPr>
        <w:tc>
          <w:tcPr>
            <w:tcW w:type="dxa" w:w="876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2022</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120,000</w:t>
            </w:r>
          </w:p>
        </w:tc>
        <w:tc>
          <w:tcPr>
            <w:tcW w:type="dxa" w:w="77"/>
            <w:tcMar>
              <w:left w:type="dxa" w:w="0"/>
              <w:right w:type="dxa" w:w="0"/>
            </w:tcMar>
            <w:tcBorders/>
          </w:tcPr>
          <w:p/>
        </w:tc>
      </w:tr>
      <w:tr>
        <w:trPr>
          <w:trHeight w:hRule="exact" w:val="300"/>
        </w:trPr>
        <w:tc>
          <w:tcPr>
            <w:tcW w:type="dxa" w:w="8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Thereafter</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70,000</w:t>
            </w:r>
          </w:p>
        </w:tc>
        <w:tc>
          <w:tcPr>
            <w:tcW w:type="dxa" w:w="77"/>
            <w:tcMar>
              <w:left w:type="dxa" w:w="0"/>
              <w:right w:type="dxa" w:w="0"/>
            </w:tcMar>
            <w:tcBorders>
              <w:bottom w:val="single" w:sz="8"/>
            </w:tcBorders>
          </w:tcPr>
          <w:p/>
        </w:tc>
      </w:tr>
      <w:tr>
        <w:trPr>
          <w:trHeight w:hRule="exact" w:val="300"/>
        </w:trPr>
        <w:tc>
          <w:tcPr>
            <w:tcW w:type="dxa" w:w="876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2,504,135</w:t>
            </w:r>
          </w:p>
        </w:tc>
        <w:tc>
          <w:tcPr>
            <w:tcW w:type="dxa" w:w="77"/>
            <w:tcMar>
              <w:left w:type="dxa" w:w="0"/>
              <w:right w:type="dxa" w:w="0"/>
            </w:tcMar>
            <w:tcBorders>
              <w:top w:val="single" w:sz="8" w:space="0"/>
              <w:bottom w:val="double" w:sz="4"/>
            </w:tcBorders>
          </w:tcPr>
          <w:p/>
        </w:tc>
      </w:tr>
    </w:tbl>
    <w:p>
      <w:pPr>
        <w:ind w:firstLine="720"/>
        <w:jc w:val="left"/>
        <w:keepNext/>
        <w:keepLines/>
        <w:spacing w:before="180"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goodwill balance changed as follows:</w:t>
      </w:r>
    </w:p>
    <w:tbl>
      <w:tblPr>
        <w:tblW w:type="dxa" w:w="10240"/>
        <w:tblLayout w:type="fixed"/>
        <w:jc w:val="left"/>
      </w:tblPr>
      <w:tblGrid>
        <w:gridCol w:w="8760"/>
        <w:gridCol w:w="80"/>
        <w:gridCol w:w="110"/>
        <w:gridCol w:w="1213"/>
        <w:gridCol w:w="77"/>
      </w:tblGrid>
      <w:tr>
        <w:trPr>
          <w:trHeight w:hRule="exact" w:val="280"/>
        </w:trPr>
        <w:tc>
          <w:tcPr>
            <w:tcW w:type="dxa" w:w="876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Amount</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Amount</w:t>
            </w:r>
          </w:p>
        </w:tc>
        <w:tc>
          <w:tcPr>
            <w:tcMar>
              <w:left w:type="dxa" w:w="0"/>
              <w:right w:type="dxa" w:w="60"/>
            </w:tcMar>
            <w:tcBorders>
              <w:bottom w:val="single" w:sz="8"/>
            </w:tcBorders>
            <w:hMerge w:val="continue"/>
          </w:tcPr>
          <w:p/>
        </w:tc>
      </w:tr>
      <w:tr>
        <w:trPr>
          <w:trHeight w:hRule="exact" w:val="300"/>
        </w:trPr>
        <w:tc>
          <w:tcPr>
            <w:tcW w:type="dxa" w:w="8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 on December 31, 2018</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W w:type="dxa" w:w="77"/>
            <w:tcMar>
              <w:left w:type="dxa" w:w="0"/>
              <w:right w:type="dxa" w:w="0"/>
            </w:tcMar>
            <w:tcBorders>
              <w:top w:val="single" w:sz="8" w:space="0"/>
            </w:tcBorders>
          </w:tcPr>
          <w:p/>
        </w:tc>
      </w:tr>
      <w:tr>
        <w:trPr>
          <w:trHeight w:hRule="exact" w:val="300"/>
        </w:trPr>
        <w:tc>
          <w:tcPr>
            <w:tcW w:type="dxa" w:w="87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Acquisitions, divestitures or other changes during 2019</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00"/>
        </w:trPr>
        <w:tc>
          <w:tcPr>
            <w:tcW w:type="dxa" w:w="87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 on June 30, 2019</w:t>
            </w: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W w:type="dxa" w:w="77"/>
            <w:tcMar>
              <w:left w:type="dxa" w:w="0"/>
              <w:right w:type="dxa" w:w="0"/>
            </w:tcMar>
            <w:tcBorders>
              <w:top w:val="single" w:sz="8" w:space="0"/>
              <w:bottom w:val="double" w:sz="4"/>
            </w:tcBorders>
          </w:tcPr>
          <w:p/>
        </w:tc>
      </w:tr>
    </w:tbl>
    <w:p>
      <w:pPr>
        <w:jc w:val="left"/>
        <w:keepNext/>
        <w:keepLines/>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7"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5. 	SOFTWARE DEVELOPMENT COSTS</w:t>
      </w:r>
      <w:bookmarkStart w:id="7334" w:name="NOTE_5___Software_Development_Costs"/>
      <w:bookmarkEnd w:id="7334"/>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Software development costs consists of the following:</w:t>
      </w:r>
    </w:p>
    <w:tbl>
      <w:tblPr>
        <w:tblW w:type="dxa" w:w="10240"/>
        <w:tblLayout w:type="fixed"/>
        <w:jc w:val="left"/>
      </w:tblPr>
      <w:tblGrid>
        <w:gridCol w:w="6920"/>
        <w:gridCol w:w="110"/>
        <w:gridCol w:w="1433"/>
        <w:gridCol w:w="77"/>
        <w:gridCol w:w="80"/>
        <w:gridCol w:w="110"/>
        <w:gridCol w:w="1433"/>
        <w:gridCol w:w="77"/>
      </w:tblGrid>
      <w:tr>
        <w:trPr>
          <w:trHeight w:hRule="exact" w:val="280"/>
        </w:trPr>
        <w:tc>
          <w:tcPr>
            <w:tcW w:type="dxa" w:w="692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0"/>
              <w:right w:type="dxa" w:w="60"/>
            </w:tcMar>
            <w:tcBorders>
              <w:bottom w:val="single" w:sz="8"/>
            </w:tcBorders>
            <w:hMerge w:val="continue"/>
          </w:tcPr>
          <w:p/>
        </w:tc>
      </w:tr>
      <w:tr>
        <w:trPr>
          <w:trHeight w:hRule="exact" w:val="300"/>
        </w:trPr>
        <w:tc>
          <w:tcPr>
            <w:tcW w:type="dxa" w:w="6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3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2,768,134</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2,316,515</w:t>
            </w:r>
          </w:p>
        </w:tc>
        <w:tc>
          <w:tcPr>
            <w:tcW w:type="dxa" w:w="77"/>
            <w:tcMar>
              <w:left w:type="dxa" w:w="0"/>
              <w:right w:type="dxa" w:w="0"/>
            </w:tcMar>
            <w:tcBorders/>
          </w:tcPr>
          <w:p/>
        </w:tc>
      </w:tr>
      <w:tr>
        <w:trPr>
          <w:trHeight w:hRule="exact" w:val="300"/>
        </w:trPr>
        <w:tc>
          <w:tcPr>
            <w:tcW w:type="dxa" w:w="6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Less accumulated amortization</w:t>
            </w:r>
          </w:p>
        </w:tc>
        <w:tc>
          <w:tcPr>
            <w:tcW w:type="dxa" w:w="15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(1,052,004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(1,052,004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5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(887,911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(887,911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692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 net</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1,716,130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1,428,604</w:t>
            </w:r>
          </w:p>
        </w:tc>
        <w:tc>
          <w:tcPr>
            <w:tcW w:type="dxa" w:w="77"/>
            <w:tcMar>
              <w:left w:type="dxa" w:w="0"/>
              <w:right w:type="dxa" w:w="0"/>
            </w:tcMar>
            <w:tcBorders>
              <w:top w:val="single" w:sz="8" w:space="0"/>
              <w:bottom w:val="double" w:sz="4"/>
            </w:tcBorders>
          </w:tcP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developed its web-based advertising and content exchange platform,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to enable native advertising campaigns on a greater scale. The Company continues to add new features and additional functionality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to facilitate the contracting, workflow, and delivery of direct content as well as provide for invoicing, collaborating, and direct payments for the Company’s self-service customers. The Company capitalized software development costs of </w:t>
      </w:r>
      <w:r>
        <w:rPr>
          <w:rFonts w:ascii="Times New Roman" w:hAnsi="Times New Roman" w:eastAsia="Times New Roman" w:cs="Times New Roman"/>
          <w:sz w:val="20"/>
        </w:rPr>
        <w:t xml:space="preserve">$104,830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$138,302</w:t>
      </w:r>
      <w:r>
        <w:rPr>
          <w:rFonts w:ascii="Times New Roman" w:hAnsi="Times New Roman" w:eastAsia="Times New Roman" w:cs="Times New Roman"/>
          <w:sz w:val="20"/>
        </w:rPr>
        <w:t xml:space="preserve"> during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The Company capitalized software development costs of </w:t>
      </w:r>
      <w:r>
        <w:rPr>
          <w:rFonts w:ascii="Times New Roman" w:hAnsi="Times New Roman" w:eastAsia="Times New Roman" w:cs="Times New Roman"/>
          <w:sz w:val="20"/>
        </w:rPr>
        <w:t xml:space="preserve">$451,619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$257,654</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As a result, the Company has capitalized a total of </w:t>
      </w:r>
      <w:r>
        <w:rPr>
          <w:rFonts w:ascii="Times New Roman" w:hAnsi="Times New Roman" w:eastAsia="Times New Roman" w:cs="Times New Roman"/>
          <w:sz w:val="20"/>
        </w:rPr>
        <w:t xml:space="preserve">$2,768,134</w:t>
      </w:r>
      <w:r>
        <w:rPr>
          <w:rFonts w:ascii="Times New Roman" w:hAnsi="Times New Roman" w:eastAsia="Times New Roman" w:cs="Times New Roman"/>
          <w:sz w:val="20"/>
        </w:rPr>
        <w:t xml:space="preserve"> in direct materials, consulting, payroll and benefit costs to its internal use software development costs in the consolidated balance sheet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Company amortizes its software development costs, commencing upon initial release of the software or additional features, on a straight-line basis over the estimated the useful life of </w:t>
      </w:r>
      <w:r>
        <w:rPr>
          <w:rFonts w:ascii="Times New Roman" w:hAnsi="Times New Roman" w:eastAsia="Times New Roman" w:cs="Times New Roman"/>
          <w:sz w:val="20"/>
        </w:rPr>
        <w:t xml:space="preserve">five years</w:t>
      </w:r>
      <w:r>
        <w:rPr>
          <w:rFonts w:ascii="Times New Roman" w:hAnsi="Times New Roman" w:eastAsia="Times New Roman" w:cs="Times New Roman"/>
          <w:sz w:val="20"/>
        </w:rPr>
        <w:t xml:space="preserve">, which is consistent with the amount of time its legacy platforms were in service.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Amortization expense on software development costs that is presented separately from cost of revenue and recorded in Depreciation and amortization expense in the accompanying consolidated statements of operations was </w:t>
      </w:r>
      <w:r>
        <w:rPr>
          <w:rFonts w:ascii="Times New Roman" w:hAnsi="Times New Roman" w:eastAsia="Times New Roman" w:cs="Times New Roman"/>
          <w:sz w:val="20"/>
        </w:rPr>
        <w:t xml:space="preserve">$89,251</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$73,622</w:t>
      </w:r>
      <w:r>
        <w:rPr>
          <w:rFonts w:ascii="Times New Roman" w:hAnsi="Times New Roman" w:eastAsia="Times New Roman" w:cs="Times New Roman"/>
          <w:sz w:val="20"/>
        </w:rPr>
        <w:t xml:space="preserve"> for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and </w:t>
      </w:r>
      <w:r>
        <w:rPr>
          <w:rFonts w:ascii="Times New Roman" w:hAnsi="Times New Roman" w:eastAsia="Times New Roman" w:cs="Times New Roman"/>
          <w:sz w:val="20"/>
        </w:rPr>
        <w:t xml:space="preserve">$164,093</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$147,244</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ind w:firstLine="720"/>
        <w:jc w:val="left"/>
        <w:keepNext/>
        <w:keepLines/>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future estimated amortization expense related to software development costs is set forth in the following schedule:</w:t>
      </w:r>
    </w:p>
    <w:tbl>
      <w:tblPr>
        <w:tblW w:type="dxa" w:w="10240"/>
        <w:tblLayout w:type="fixed"/>
        <w:jc w:val="left"/>
      </w:tblPr>
      <w:tblGrid>
        <w:gridCol w:w="8240"/>
        <w:gridCol w:w="110"/>
        <w:gridCol w:w="1813"/>
        <w:gridCol w:w="77"/>
      </w:tblGrid>
      <w:tr>
        <w:trPr>
          <w:trHeight w:hRule="exact" w:val="460"/>
        </w:trPr>
        <w:tc>
          <w:tcPr>
            <w:tcW w:type="dxa" w:w="82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Software Development Amortization Expense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Software Development Amortization Expense</w:t>
            </w:r>
          </w:p>
        </w:tc>
        <w:tc>
          <w:tcPr>
            <w:tcMar>
              <w:left w:type="dxa" w:w="0"/>
              <w:right w:type="dxa" w:w="60"/>
            </w:tcMar>
            <w:tcBorders>
              <w:bottom w:val="single" w:sz="8"/>
            </w:tcBorders>
            <w:hMerge w:val="continue"/>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Remainder of 2019</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219,241</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2020</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434,968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434,968</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2021</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393,572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393,572</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2022</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324,247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324,247</w:t>
            </w:r>
          </w:p>
        </w:tc>
        <w:tc>
          <w:tcPr>
            <w:tcW w:type="dxa" w:w="77"/>
            <w:tcMar>
              <w:left w:type="dxa" w:w="0"/>
              <w:right w:type="dxa" w:w="0"/>
            </w:tcMar>
            <w:tcBorders/>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Thereafter</w:t>
            </w:r>
          </w:p>
        </w:tc>
        <w:tc>
          <w:tcPr>
            <w:tcW w:type="dxa" w:w="19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344,102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344,102</w:t>
            </w:r>
          </w:p>
        </w:tc>
        <w:tc>
          <w:tcPr>
            <w:tcW w:type="dxa" w:w="77"/>
            <w:tcMar>
              <w:left w:type="dxa" w:w="0"/>
              <w:right w:type="dxa" w:w="0"/>
            </w:tcMar>
            <w:tcBorders>
              <w:bottom w:val="single" w:sz="8"/>
            </w:tcBorders>
          </w:tcPr>
          <w:p/>
        </w:tc>
      </w:tr>
      <w:tr>
        <w:trPr>
          <w:trHeight w:hRule="exact" w:val="300"/>
        </w:trPr>
        <w:tc>
          <w:tcPr>
            <w:tcW w:type="dxa" w:w="824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1,716,130</w:t>
            </w:r>
          </w:p>
        </w:tc>
        <w:tc>
          <w:tcPr>
            <w:tcW w:type="dxa" w:w="77"/>
            <w:tcMar>
              <w:left w:type="dxa" w:w="0"/>
              <w:right w:type="dxa" w:w="0"/>
            </w:tcMar>
            <w:tcBorders>
              <w:bottom w:val="double" w:sz="4"/>
            </w:tcBorders>
          </w:tcPr>
          <w:p/>
        </w:tc>
      </w:tr>
    </w:tbl>
    <w:p>
      <w:pPr>
        <w:jc w:val="left"/>
        <w:keepLines/>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8" w:type="default"/>
        </w:sectPr>
      </w:pPr>
    </w:p>
    <w:p>
      <w:pPr>
        <w:tabs>
          <w:tab w:val="left" w:pos="144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bookmarkStart w:id="29685" w:name="NOTE_6___Commitments___Contingencies"/>
      <w:bookmarkEnd w:id="29685"/>
    </w:p>
    <w:p>
      <w:pPr>
        <w:tabs>
          <w:tab w:val="left" w:pos="144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6.	COMMITMENTS AND CONTINGENCIES</w:t>
      </w:r>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Secured Credit Facility</w:t>
      </w:r>
    </w:p>
    <w:p>
      <w:pPr>
        <w:tabs>
          <w:tab w:val="left" w:pos="6840"/>
          <w:tab w:val="left" w:pos="7200"/>
          <w:tab w:val="left" w:pos="7920"/>
          <w:tab w:val="left" w:pos="8640"/>
          <w:tab w:val="left" w:pos="9360"/>
          <w:tab w:val="left" w:pos="10080"/>
          <w:tab w:val="left" w:pos="10800"/>
          <w:tab w:val="left" w:pos="11520"/>
        </w:tabs>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a secured credit facility agreement (also referred to herein as “line of credit”) with Western Alliance Bank, the parent company of Bridge Bank, N.A. of San Jose, California, which it obtained on March 1, 2013 and expanded on April 13, 2015. Effective August 30, 2018, as a result of IZEA’s merger with TapInfluence, the Company entered into a Business Financing Modification Agreement and Consent (“Modification Agreement”) with Western Alliance Bank to add TapInfluence as an additional borrower on the secured credit facility. In connection with the August 30, 2018 amendment, the Company incurred approximately </w:t>
      </w:r>
      <w:r>
        <w:rPr>
          <w:rFonts w:ascii="Times New Roman" w:hAnsi="Times New Roman" w:eastAsia="Times New Roman" w:cs="Times New Roman"/>
          <w:sz w:val="20"/>
        </w:rPr>
        <w:t xml:space="preserve">$8,400</w:t>
      </w:r>
      <w:r>
        <w:rPr>
          <w:rFonts w:ascii="Times New Roman" w:hAnsi="Times New Roman" w:eastAsia="Times New Roman" w:cs="Times New Roman"/>
          <w:sz w:val="20"/>
        </w:rPr>
        <w:t xml:space="preserve"> of costs which have been capitalized and are being amortized through interest expense over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months. Pursuant to the secured credit facility agreement, as amended, the Company may submit requests for funding up to </w:t>
      </w:r>
      <w:r>
        <w:rPr>
          <w:rFonts w:ascii="Times New Roman" w:hAnsi="Times New Roman" w:eastAsia="Times New Roman" w:cs="Times New Roman"/>
          <w:sz w:val="20"/>
        </w:rPr>
        <w:t xml:space="preserve">80%</w:t>
      </w:r>
      <w:r>
        <w:rPr>
          <w:rFonts w:ascii="Times New Roman" w:hAnsi="Times New Roman" w:eastAsia="Times New Roman" w:cs="Times New Roman"/>
          <w:sz w:val="20"/>
        </w:rPr>
        <w:t xml:space="preserve"> of its eligible accounts receivable up to a maximum credit limit of </w:t>
      </w:r>
      <w:r>
        <w:rPr>
          <w:rFonts w:ascii="Times New Roman" w:hAnsi="Times New Roman" w:eastAsia="Times New Roman" w:cs="Times New Roman"/>
          <w:sz w:val="20"/>
        </w:rPr>
        <w:t xml:space="preserve">$5 million</w:t>
      </w:r>
      <w:r>
        <w:rPr>
          <w:rFonts w:ascii="Times New Roman" w:hAnsi="Times New Roman" w:eastAsia="Times New Roman" w:cs="Times New Roman"/>
          <w:sz w:val="20"/>
        </w:rPr>
        <w:t xml:space="preserve">. This agreement is secured by the Company’s accounts receivable and substantially all of the Company’s other assets. The Modification Agreement automatically renews in April of each year and requires the Company to pay an annual facility fee of </w:t>
      </w:r>
      <w:r>
        <w:rPr>
          <w:rFonts w:ascii="Times New Roman" w:hAnsi="Times New Roman" w:eastAsia="Times New Roman" w:cs="Times New Roman"/>
          <w:sz w:val="20"/>
        </w:rPr>
        <w:t xml:space="preserve">$20,000</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0.4%</w:t>
      </w:r>
      <w:r>
        <w:rPr>
          <w:rFonts w:ascii="Times New Roman" w:hAnsi="Times New Roman" w:eastAsia="Times New Roman" w:cs="Times New Roman"/>
          <w:sz w:val="20"/>
        </w:rPr>
        <w:t xml:space="preserve"> of the credit limit) and an annual due diligence fee of </w:t>
      </w:r>
      <w:r>
        <w:rPr>
          <w:rFonts w:ascii="Times New Roman" w:hAnsi="Times New Roman" w:eastAsia="Times New Roman" w:cs="Times New Roman"/>
          <w:sz w:val="20"/>
        </w:rPr>
        <w:t xml:space="preserve">$1,000</w:t>
      </w:r>
      <w:r>
        <w:rPr>
          <w:rFonts w:ascii="Times New Roman" w:hAnsi="Times New Roman" w:eastAsia="Times New Roman" w:cs="Times New Roman"/>
          <w:sz w:val="20"/>
        </w:rPr>
        <w:t xml:space="preserve">. Interest accrued on the advances at the rate of </w:t>
      </w:r>
      <w:r>
        <w:rPr>
          <w:rFonts w:ascii="Times New Roman" w:hAnsi="Times New Roman" w:eastAsia="Times New Roman" w:cs="Times New Roman"/>
          <w:sz w:val="20"/>
        </w:rPr>
        <w:t xml:space="preserve">prime plus 2% per annum</w:t>
      </w:r>
      <w:r>
        <w:rPr>
          <w:rFonts w:ascii="Times New Roman" w:hAnsi="Times New Roman" w:eastAsia="Times New Roman" w:cs="Times New Roman"/>
          <w:sz w:val="20"/>
        </w:rPr>
        <w:t xml:space="preserve"> through August 29, 2018, at which time the rate was amended to </w:t>
      </w:r>
      <w:r>
        <w:rPr>
          <w:rFonts w:ascii="Times New Roman" w:hAnsi="Times New Roman" w:eastAsia="Times New Roman" w:cs="Times New Roman"/>
          <w:sz w:val="20"/>
        </w:rPr>
        <w:t xml:space="preserve">prime plus 1.5%</w:t>
      </w:r>
      <w:r>
        <w:rPr>
          <w:rFonts w:ascii="Times New Roman" w:hAnsi="Times New Roman" w:eastAsia="Times New Roman" w:cs="Times New Roman"/>
          <w:sz w:val="20"/>
        </w:rPr>
        <w:t xml:space="preserve"> per annum in conjunction with the August 30, 2018 Modification Agreement. The default rate of interest is </w:t>
      </w:r>
      <w:r>
        <w:rPr>
          <w:rFonts w:ascii="Times New Roman" w:hAnsi="Times New Roman" w:eastAsia="Times New Roman" w:cs="Times New Roman"/>
          <w:sz w:val="20"/>
        </w:rPr>
        <w:t xml:space="preserve">prime plus 7%</w:t>
      </w:r>
      <w:r>
        <w:rPr>
          <w:rFonts w:ascii="Times New Roman" w:hAnsi="Times New Roman" w:eastAsia="Times New Roman" w:cs="Times New Roman"/>
          <w:sz w:val="20"/>
        </w:rPr>
        <w:t xml:space="preserve">.</w:t>
      </w:r>
    </w:p>
    <w:p>
      <w:pPr>
        <w:tabs>
          <w:tab w:val="left" w:pos="6840"/>
          <w:tab w:val="left" w:pos="7200"/>
          <w:tab w:val="left" w:pos="7920"/>
          <w:tab w:val="left" w:pos="8640"/>
          <w:tab w:val="left" w:pos="9360"/>
          <w:tab w:val="left" w:pos="10080"/>
          <w:tab w:val="left" w:pos="10800"/>
          <w:tab w:val="left" w:pos="11520"/>
        </w:tabs>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had </w:t>
      </w:r>
      <w:r>
        <w:rPr>
          <w:rFonts w:ascii="Times New Roman" w:hAnsi="Times New Roman" w:eastAsia="Times New Roman" w:cs="Times New Roman"/>
          <w:sz w:val="20"/>
        </w:rPr>
        <w:t xml:space="preserve">$279,945</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$1,526,288</w:t>
      </w:r>
      <w:r>
        <w:rPr>
          <w:rFonts w:ascii="Times New Roman" w:hAnsi="Times New Roman" w:eastAsia="Times New Roman" w:cs="Times New Roman"/>
          <w:sz w:val="20"/>
        </w:rPr>
        <w:t xml:space="preserve"> outstanding under this secured credit facility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These balances outstanding were secured by gross accounts receivable balances of </w:t>
      </w:r>
      <w:r>
        <w:rPr>
          <w:rFonts w:ascii="Times New Roman" w:hAnsi="Times New Roman" w:eastAsia="Times New Roman" w:cs="Times New Roman"/>
          <w:sz w:val="20"/>
        </w:rPr>
        <w:t xml:space="preserve">$349,931</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$1,907,860</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respectively.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Company had a net accounts receivable balance of </w:t>
      </w:r>
      <w:r>
        <w:rPr>
          <w:rFonts w:ascii="Times New Roman" w:hAnsi="Times New Roman" w:eastAsia="Times New Roman" w:cs="Times New Roman"/>
          <w:sz w:val="20"/>
        </w:rPr>
        <w:t xml:space="preserve">$4,185,416</w:t>
      </w:r>
      <w:r>
        <w:rPr>
          <w:rFonts w:ascii="Times New Roman" w:hAnsi="Times New Roman" w:eastAsia="Times New Roman" w:cs="Times New Roman"/>
          <w:sz w:val="20"/>
        </w:rPr>
        <w:t xml:space="preserve">. Assuming that all of the Company’s accounts receivable balance was eligible for funding, the Company had </w:t>
      </w:r>
      <w:r>
        <w:rPr>
          <w:rFonts w:ascii="Times New Roman" w:hAnsi="Times New Roman" w:eastAsia="Times New Roman" w:cs="Times New Roman"/>
          <w:sz w:val="20"/>
        </w:rPr>
        <w:t xml:space="preserve">$3,068,388</w:t>
      </w:r>
      <w:r>
        <w:rPr>
          <w:rFonts w:ascii="Times New Roman" w:hAnsi="Times New Roman" w:eastAsia="Times New Roman" w:cs="Times New Roman"/>
          <w:sz w:val="20"/>
        </w:rPr>
        <w:t xml:space="preserve"> in remaining available credit under the agreement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w:t>
      </w:r>
    </w:p>
    <w:p>
      <w:pPr>
        <w:tabs>
          <w:tab w:val="left" w:pos="6840"/>
          <w:tab w:val="left" w:pos="7200"/>
          <w:tab w:val="left" w:pos="7920"/>
          <w:tab w:val="left" w:pos="8640"/>
          <w:tab w:val="left" w:pos="9360"/>
          <w:tab w:val="left" w:pos="10080"/>
          <w:tab w:val="left" w:pos="10800"/>
          <w:tab w:val="left" w:pos="11520"/>
        </w:tabs>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annual fees are capitalized in the Company’s consolidated balance sheet within other current assets and are amortized to interest expense over </w:t>
      </w:r>
      <w:r>
        <w:rPr>
          <w:rFonts w:ascii="Times New Roman" w:hAnsi="Times New Roman" w:eastAsia="Times New Roman" w:cs="Times New Roman"/>
          <w:sz w:val="20"/>
        </w:rPr>
        <w:t xml:space="preserve">one year</w:t>
      </w:r>
      <w:r>
        <w:rPr>
          <w:rFonts w:ascii="Times New Roman" w:hAnsi="Times New Roman" w:eastAsia="Times New Roman" w:cs="Times New Roman"/>
          <w:sz w:val="20"/>
        </w:rPr>
        <w:t xml:space="preserve">. The Company amortized </w:t>
      </w:r>
      <w:r>
        <w:rPr>
          <w:rFonts w:ascii="Times New Roman" w:hAnsi="Times New Roman" w:eastAsia="Times New Roman" w:cs="Times New Roman"/>
          <w:sz w:val="20"/>
        </w:rPr>
        <w:t xml:space="preserve">$6,304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$5,250</w:t>
      </w:r>
      <w:r>
        <w:rPr>
          <w:rFonts w:ascii="Times New Roman" w:hAnsi="Times New Roman" w:eastAsia="Times New Roman" w:cs="Times New Roman"/>
          <w:sz w:val="20"/>
        </w:rPr>
        <w:t xml:space="preserve"> of the secured credit facility costs through interest expense during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Company amortized </w:t>
      </w:r>
      <w:r>
        <w:rPr>
          <w:rFonts w:ascii="Times New Roman" w:hAnsi="Times New Roman" w:eastAsia="Times New Roman" w:cs="Times New Roman"/>
          <w:sz w:val="20"/>
        </w:rPr>
        <w:t xml:space="preserve">$14,714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$10,500</w:t>
      </w:r>
      <w:r>
        <w:rPr>
          <w:rFonts w:ascii="Times New Roman" w:hAnsi="Times New Roman" w:eastAsia="Times New Roman" w:cs="Times New Roman"/>
          <w:sz w:val="20"/>
        </w:rPr>
        <w:t xml:space="preserve">, respectively of the secured credit facility costs through interest expense. The remaining value of the capitalized loan costs related to the secured credit facility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is </w:t>
      </w:r>
      <w:r>
        <w:rPr>
          <w:rFonts w:ascii="Times New Roman" w:hAnsi="Times New Roman" w:eastAsia="Times New Roman" w:cs="Times New Roman"/>
          <w:sz w:val="20"/>
        </w:rPr>
        <w:t xml:space="preserve">$17,500</w:t>
      </w:r>
      <w:r>
        <w:rPr>
          <w:rFonts w:ascii="Times New Roman" w:hAnsi="Times New Roman" w:eastAsia="Times New Roman" w:cs="Times New Roman"/>
          <w:sz w:val="20"/>
        </w:rPr>
        <w:t xml:space="preserve">; this amount will be amortized to interest expense over the next ten months.</w:t>
      </w:r>
    </w:p>
    <w:p>
      <w:pPr>
        <w:tabs>
          <w:tab w:val="left" w:pos="6840"/>
          <w:tab w:val="left" w:pos="7200"/>
          <w:tab w:val="left" w:pos="7920"/>
          <w:tab w:val="left" w:pos="8640"/>
          <w:tab w:val="left" w:pos="9360"/>
          <w:tab w:val="left" w:pos="10080"/>
          <w:tab w:val="left" w:pos="10800"/>
          <w:tab w:val="left" w:pos="11520"/>
        </w:tabs>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Lease Commitments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obligations under finance leases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w:t>
      </w:r>
    </w:p>
    <w:p>
      <w:pPr>
        <w:jc w:val="left"/>
        <w:keepNext/>
        <w:keepLines/>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Leases</w:t>
      </w:r>
    </w:p>
    <w:p>
      <w:pPr>
        <w:ind w:firstLine="720"/>
        <w:jc w:val="left"/>
        <w:keepNex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corporate headquarters are located at 480 N. Orlando Avenue, Suite 200 in Winter Park, Florida. The Company occupies this office pursuant to a sublease agreement that originally expired in April 2019. In January 2019, the Company exercised its option to extend this lease for </w:t>
      </w:r>
      <w:r>
        <w:rPr>
          <w:rFonts w:ascii="Times New Roman" w:hAnsi="Times New Roman" w:eastAsia="Times New Roman" w:cs="Times New Roman"/>
          <w:sz w:val="20"/>
        </w:rPr>
        <w:t xml:space="preserve">one additional year until April 30, 2020</w:t>
      </w:r>
      <w:r>
        <w:rPr>
          <w:rFonts w:ascii="Times New Roman" w:hAnsi="Times New Roman" w:eastAsia="Times New Roman" w:cs="Times New Roman"/>
          <w:sz w:val="20"/>
        </w:rPr>
        <w:t xml:space="preserve">. This lease covers approximately </w:t>
      </w:r>
      <w:r>
        <w:rPr>
          <w:rFonts w:ascii="Times New Roman" w:hAnsi="Times New Roman" w:eastAsia="Times New Roman" w:cs="Times New Roman"/>
          <w:sz w:val="20"/>
        </w:rPr>
        <w:t xml:space="preserve">15,500</w:t>
      </w:r>
      <w:r>
        <w:rPr>
          <w:rFonts w:ascii="Times New Roman" w:hAnsi="Times New Roman" w:eastAsia="Times New Roman" w:cs="Times New Roman"/>
          <w:sz w:val="20"/>
        </w:rPr>
        <w:t xml:space="preserve"> square feet based on an annually increasing rate of </w:t>
      </w:r>
      <w:r>
        <w:rPr>
          <w:rFonts w:ascii="Times New Roman" w:hAnsi="Times New Roman" w:eastAsia="Times New Roman" w:cs="Times New Roman"/>
          <w:sz w:val="20"/>
        </w:rPr>
        <w:t xml:space="preserve">$17.50</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$22.50</w:t>
      </w:r>
      <w:r>
        <w:rPr>
          <w:rFonts w:ascii="Times New Roman" w:hAnsi="Times New Roman" w:eastAsia="Times New Roman" w:cs="Times New Roman"/>
          <w:sz w:val="20"/>
        </w:rPr>
        <w:t xml:space="preserve"> per square foot over the initial lease term. The Company also occupies flexible office space under monthly, quarterly or semi-annual membership contracts in Los Angeles, San Francisco, Denver, Chicago, New York City and Toronto.</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connection with the adoption of the new lease standard, the Company recorded a right-of-use liability of </w:t>
      </w:r>
      <w:r>
        <w:rPr>
          <w:rFonts w:ascii="Times New Roman" w:hAnsi="Times New Roman" w:eastAsia="Times New Roman" w:cs="Times New Roman"/>
          <w:sz w:val="20"/>
        </w:rPr>
        <w:t xml:space="preserve">$400,977</w:t>
      </w:r>
      <w:r>
        <w:rPr>
          <w:rFonts w:ascii="Times New Roman" w:hAnsi="Times New Roman" w:eastAsia="Times New Roman" w:cs="Times New Roman"/>
          <w:sz w:val="20"/>
        </w:rPr>
        <w:t xml:space="preserve"> as of January 1, 2019. During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Company recorded </w:t>
      </w:r>
      <w:r>
        <w:rPr>
          <w:rFonts w:ascii="Times New Roman" w:hAnsi="Times New Roman" w:eastAsia="Times New Roman" w:cs="Times New Roman"/>
          <w:sz w:val="20"/>
        </w:rPr>
        <w:t xml:space="preserve">$7,099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$16,022</w:t>
      </w:r>
      <w:r>
        <w:rPr>
          <w:rFonts w:ascii="Times New Roman" w:hAnsi="Times New Roman" w:eastAsia="Times New Roman" w:cs="Times New Roman"/>
          <w:sz w:val="20"/>
        </w:rPr>
        <w:t xml:space="preserve">, respectively, of interest accretion on this right-of-use liability.</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Our lease obligation associated with our Winter Park, Florida office space has a weighted-average remaining lease term of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months. The present value of this lease obligation was determined using a discount rate of </w:t>
      </w:r>
      <w:r>
        <w:rPr>
          <w:rFonts w:ascii="Times New Roman" w:hAnsi="Times New Roman" w:eastAsia="Times New Roman" w:cs="Times New Roman"/>
          <w:sz w:val="20"/>
        </w:rPr>
        <w:t xml:space="preserve">9.5%</w:t>
      </w:r>
      <w:r>
        <w:rPr>
          <w:rFonts w:ascii="Times New Roman" w:hAnsi="Times New Roman" w:eastAsia="Times New Roman" w:cs="Times New Roman"/>
          <w:sz w:val="20"/>
        </w:rPr>
        <w:t xml:space="preserve">, consistent with our effective borrowing rate.</w:t>
      </w:r>
    </w:p>
    <w:p>
      <w:pPr>
        <w:ind w:firstLine="720"/>
        <w:jc w:val="left"/>
        <w:keepNext/>
        <w:keepLines/>
        <w:spacing w:before="120" w:after="26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summary of future minimum lease payments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related to our lease Winter Park, Florida office space, is as follows:</w:t>
      </w:r>
    </w:p>
    <w:tbl>
      <w:tblPr>
        <w:tblW w:type="dxa" w:w="10240"/>
        <w:tblLayout w:type="fixed"/>
        <w:jc w:val="left"/>
      </w:tblPr>
      <w:tblGrid>
        <w:gridCol w:w="8240"/>
        <w:gridCol w:w="110"/>
        <w:gridCol w:w="1813"/>
        <w:gridCol w:w="77"/>
      </w:tblGrid>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Remainder of 2019</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170,274</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2020</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85,785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85,785</w:t>
            </w:r>
          </w:p>
        </w:tc>
        <w:tc>
          <w:tcPr>
            <w:tcW w:type="dxa" w:w="77"/>
            <w:tcMar>
              <w:left w:type="dxa" w:w="0"/>
              <w:right w:type="dxa" w:w="0"/>
            </w:tcMar>
            <w:tcBorders/>
          </w:tcPr>
          <w:p/>
        </w:tc>
      </w:tr>
      <w:tr>
        <w:trPr>
          <w:trHeight w:hRule="exact" w:val="300"/>
        </w:trPr>
        <w:tc>
          <w:tcPr>
            <w:tcW w:type="dxa" w:w="824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minimum lease payments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256,059</w:t>
            </w:r>
          </w:p>
        </w:tc>
        <w:tc>
          <w:tcPr>
            <w:tcW w:type="dxa" w:w="77"/>
            <w:tcMar>
              <w:left w:type="dxa" w:w="0"/>
              <w:right w:type="dxa" w:w="0"/>
            </w:tcMar>
            <w:tcBorders>
              <w:top w:val="single" w:sz="8" w:space="0"/>
              <w:bottom w:val="double" w:sz="4"/>
            </w:tcBorders>
          </w:tcP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Total rent expense recorded in General and administrative expense in the accompanying consolidated statements of operations was </w:t>
      </w:r>
      <w:r>
        <w:rPr>
          <w:rFonts w:ascii="Times New Roman" w:hAnsi="Times New Roman" w:eastAsia="Times New Roman" w:cs="Times New Roman"/>
          <w:sz w:val="20"/>
        </w:rPr>
        <w:t xml:space="preserve">$150,082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$304,779</w:t>
      </w:r>
      <w:r>
        <w:rPr>
          <w:rFonts w:ascii="Times New Roman" w:hAnsi="Times New Roman" w:eastAsia="Times New Roman" w:cs="Times New Roman"/>
          <w:sz w:val="20"/>
        </w:rPr>
        <w:t xml:space="preserve"> for the three and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Retirement Plans</w:t>
      </w:r>
    </w:p>
    <w:p>
      <w:pPr>
        <w:ind w:firstLine="54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offers a 401(k) plan to all of its eligible employees. The Company matches participant contributions in an amount equal to </w:t>
      </w:r>
      <w:r>
        <w:rPr>
          <w:rFonts w:ascii="Times New Roman" w:hAnsi="Times New Roman" w:eastAsia="Times New Roman" w:cs="Times New Roman"/>
          <w:sz w:val="20"/>
        </w:rPr>
        <w:t xml:space="preserve">50%</w:t>
      </w:r>
      <w:r>
        <w:rPr>
          <w:rFonts w:ascii="Times New Roman" w:hAnsi="Times New Roman" w:eastAsia="Times New Roman" w:cs="Times New Roman"/>
          <w:sz w:val="20"/>
        </w:rPr>
        <w:t xml:space="preserve"> of each participant’s contribution up to </w:t>
      </w:r>
      <w:r>
        <w:rPr>
          <w:rFonts w:ascii="Times New Roman" w:hAnsi="Times New Roman" w:eastAsia="Times New Roman" w:cs="Times New Roman"/>
          <w:sz w:val="20"/>
        </w:rPr>
        <w:t xml:space="preserve">8%</w:t>
      </w:r>
      <w:r>
        <w:rPr>
          <w:rFonts w:ascii="Times New Roman" w:hAnsi="Times New Roman" w:eastAsia="Times New Roman" w:cs="Times New Roman"/>
          <w:sz w:val="20"/>
        </w:rPr>
        <w:t xml:space="preserve"> of the participant’s salary. The participants become vested in </w:t>
      </w:r>
      <w:r>
        <w:rPr>
          <w:rFonts w:ascii="Times New Roman" w:hAnsi="Times New Roman" w:eastAsia="Times New Roman" w:cs="Times New Roman"/>
          <w:sz w:val="20"/>
        </w:rPr>
        <w:t xml:space="preserve">20%</w:t>
      </w:r>
      <w:r>
        <w:rPr>
          <w:rFonts w:ascii="Times New Roman" w:hAnsi="Times New Roman" w:eastAsia="Times New Roman" w:cs="Times New Roman"/>
          <w:sz w:val="20"/>
        </w:rPr>
        <w:t xml:space="preserve"> annual increments after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years of service. During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Company incurred </w:t>
      </w:r>
      <w:r>
        <w:rPr>
          <w:rFonts w:ascii="Times New Roman" w:hAnsi="Times New Roman" w:eastAsia="Times New Roman" w:cs="Times New Roman"/>
          <w:sz w:val="20"/>
        </w:rPr>
        <w:t xml:space="preserve">$50,528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$74,590</w:t>
      </w:r>
      <w:r>
        <w:rPr>
          <w:rFonts w:ascii="Times New Roman" w:hAnsi="Times New Roman" w:eastAsia="Times New Roman" w:cs="Times New Roman"/>
          <w:sz w:val="20"/>
        </w:rPr>
        <w:t xml:space="preserve">, respectively, in expense for matching employer contributions.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Company incurred </w:t>
      </w:r>
      <w:r>
        <w:rPr>
          <w:rFonts w:ascii="Times New Roman" w:hAnsi="Times New Roman" w:eastAsia="Times New Roman" w:cs="Times New Roman"/>
          <w:sz w:val="20"/>
        </w:rPr>
        <w:t xml:space="preserve">$102,220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$124,914</w:t>
      </w:r>
      <w:r>
        <w:rPr>
          <w:rFonts w:ascii="Times New Roman" w:hAnsi="Times New Roman" w:eastAsia="Times New Roman" w:cs="Times New Roman"/>
          <w:sz w:val="20"/>
        </w:rPr>
        <w:t xml:space="preserve">, respectively, in expense for matching employer contributions.</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Litigation</w:t>
      </w:r>
      <w:r>
        <w:rPr>
          <w:rFonts w:ascii="Times New Roman" w:hAnsi="Times New Roman" w:eastAsia="Times New Roman" w:cs="Times New Roman"/>
          <w:sz w:val="20"/>
          <w:b w:val="true"/>
        </w:rPr>
      </w:r>
    </w:p>
    <w:p>
      <w:pPr>
        <w:ind w:firstLine="720"/>
        <w:jc w:val="left"/>
        <w:spacing w:before="120" w:after="2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securities class action lawsuit, </w:t>
      </w:r>
      <w:r>
        <w:rPr>
          <w:rFonts w:ascii="Times New Roman" w:hAnsi="Times New Roman" w:eastAsia="Times New Roman" w:cs="Times New Roman"/>
          <w:sz w:val="20"/>
          <w:i w:val="true"/>
        </w:rPr>
        <w:t xml:space="preserve">Julian Perez, individually, and on behalf of all others similarly situated v. IZEA, Inc., et al</w:t>
      </w:r>
      <w:r>
        <w:rPr>
          <w:rFonts w:ascii="Times New Roman" w:hAnsi="Times New Roman" w:eastAsia="Times New Roman" w:cs="Times New Roman"/>
          <w:sz w:val="20"/>
        </w:rPr>
        <w:t xml:space="preserve">., case number 2:18-cv-02784-SVW-GJS was instituted April 4, 2018 in the U.S. District Court for the Central District of California against the Company and certain of its executive officers on behalf of certain purchasers of its common stock. The plaintiffs seek to recover damages for investors under federal securities laws. The Company has estimated and accrued a potential loss of </w:t>
      </w:r>
      <w:r>
        <w:rPr>
          <w:rFonts w:ascii="Times New Roman" w:hAnsi="Times New Roman" w:eastAsia="Times New Roman" w:cs="Times New Roman"/>
          <w:sz w:val="20"/>
        </w:rPr>
        <w:t xml:space="preserve">$500,000</w:t>
      </w:r>
      <w:r>
        <w:rPr>
          <w:rFonts w:ascii="Times New Roman" w:hAnsi="Times New Roman" w:eastAsia="Times New Roman" w:cs="Times New Roman"/>
          <w:sz w:val="20"/>
        </w:rPr>
        <w:t xml:space="preserve"> representing its deductible on the associated insurance coverage.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April 15, 2019, a stipulation of settlement was filed in the U.S. District Court for the Central District of California that contained settlement terms as agreed upon by the parties to the </w:t>
      </w:r>
      <w:r>
        <w:rPr>
          <w:rFonts w:ascii="Times New Roman" w:hAnsi="Times New Roman" w:eastAsia="Times New Roman" w:cs="Times New Roman"/>
          <w:sz w:val="20"/>
          <w:i w:val="true"/>
        </w:rPr>
        <w:t xml:space="preserve">Perez</w:t>
      </w:r>
      <w:r>
        <w:rPr>
          <w:rFonts w:ascii="Times New Roman" w:hAnsi="Times New Roman" w:eastAsia="Times New Roman" w:cs="Times New Roman"/>
          <w:sz w:val="20"/>
        </w:rPr>
        <w:t xml:space="preserve"> class action lawsuit described above. The motion for preliminary approval of the settlement was granted on May 7, 2019. According to the terms of the settlement, as agreed upon by the parties, IZEA’s insurer deposited </w:t>
      </w:r>
      <w:r>
        <w:rPr>
          <w:rFonts w:ascii="Times New Roman" w:hAnsi="Times New Roman" w:eastAsia="Times New Roman" w:cs="Times New Roman"/>
          <w:sz w:val="20"/>
        </w:rPr>
        <w:t xml:space="preserve">$800,000</w:t>
      </w:r>
      <w:r>
        <w:rPr>
          <w:rFonts w:ascii="Times New Roman" w:hAnsi="Times New Roman" w:eastAsia="Times New Roman" w:cs="Times New Roman"/>
          <w:sz w:val="20"/>
        </w:rPr>
        <w:t xml:space="preserve"> into the settlement fund and we paid the remainder of the Company’s previously accrued insurance deductible of </w:t>
      </w:r>
      <w:r>
        <w:rPr>
          <w:rFonts w:ascii="Times New Roman" w:hAnsi="Times New Roman" w:eastAsia="Times New Roman" w:cs="Times New Roman"/>
          <w:sz w:val="20"/>
        </w:rPr>
        <w:t xml:space="preserve">$400,000</w:t>
      </w:r>
      <w:r>
        <w:rPr>
          <w:rFonts w:ascii="Times New Roman" w:hAnsi="Times New Roman" w:eastAsia="Times New Roman" w:cs="Times New Roman"/>
          <w:sz w:val="20"/>
        </w:rPr>
        <w:t xml:space="preserve"> into escrow to be used as settlement funds, inclusive of lead plaintiff awards and lead counsel fees. The settlement is subject to approval by the U.S. District Court, and the Court has scheduled a hearing for September 23, 2019. Upon final approval by the Court, the settlement will require that the </w:t>
      </w:r>
      <w:r>
        <w:rPr>
          <w:rFonts w:ascii="Times New Roman" w:hAnsi="Times New Roman" w:eastAsia="Times New Roman" w:cs="Times New Roman"/>
          <w:sz w:val="20"/>
          <w:i w:val="true"/>
        </w:rPr>
        <w:t xml:space="preserve">Perez</w:t>
      </w:r>
      <w:r>
        <w:rPr>
          <w:rFonts w:ascii="Times New Roman" w:hAnsi="Times New Roman" w:eastAsia="Times New Roman" w:cs="Times New Roman"/>
          <w:sz w:val="20"/>
        </w:rPr>
        <w:t xml:space="preserve"> lawsuit be dismissed with prejudice. In the event that the Court does not approve the settlement, the Company intends to vigorously defend against the claims based upon the Company’s belief that the claims are without merit.</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 2018, a shareholder derivative lawsuit, </w:t>
      </w:r>
      <w:r>
        <w:rPr>
          <w:rFonts w:ascii="Times New Roman" w:hAnsi="Times New Roman" w:eastAsia="Times New Roman" w:cs="Times New Roman"/>
          <w:sz w:val="20"/>
          <w:i w:val="true"/>
        </w:rPr>
        <w:t xml:space="preserve">Korene Stuart v. Edward H. Murphy et al</w:t>
      </w:r>
      <w:r>
        <w:rPr>
          <w:rFonts w:ascii="Times New Roman" w:hAnsi="Times New Roman" w:eastAsia="Times New Roman" w:cs="Times New Roman"/>
          <w:sz w:val="20"/>
        </w:rPr>
        <w:t xml:space="preserve">., case number A-18-777135-C was instituted in the Eighth Judicial District Court of the State of Nevada, Clark County against certain executive officers and members of the Board of Directors for IZEA. IZEA has been named as a nominal defendant. The plaintiff seeks to recover damages on behalf of the Company for purported breaches of the individual defendants’ fiduciary duties as directors and/or officers of IZEA, unjust enrichment, abuse of control, gross mismanagement, and waste of corporate assets in violation of state common law.</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Additionally, on October 19, 2018, a shareholder derivative lawsuit, </w:t>
      </w:r>
      <w:r>
        <w:rPr>
          <w:rFonts w:ascii="Times New Roman" w:hAnsi="Times New Roman" w:eastAsia="Times New Roman" w:cs="Times New Roman"/>
          <w:sz w:val="20"/>
          <w:i w:val="true"/>
        </w:rPr>
        <w:t xml:space="preserve">Dennis E. Emond v. Edward H. Murphy et al.</w:t>
      </w:r>
      <w:r>
        <w:rPr>
          <w:rFonts w:ascii="Times New Roman" w:hAnsi="Times New Roman" w:eastAsia="Times New Roman" w:cs="Times New Roman"/>
          <w:sz w:val="20"/>
        </w:rPr>
        <w:t xml:space="preserve">, case number 2:18-cv-9040, was instituted in the U.S. District Court for the Central District of California against certain executive officers and members of the Board of Directors for IZEA. IZEA has been named as a nominal defendant. An amended complaint was filed on October 31, 2018. The plaintiff seeks to recover damages on behalf of the Company for purported breaches of the individual defendants’ fiduciary duties as directors and/or officers of IZEA, gross mismanagement and alleged violations of federal securities laws.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March 6, 2019, a stipulation of settlement was filed in the United States District Court for the Central District of California that contained settlement terms as agreed upon by the parties to the </w:t>
      </w:r>
      <w:r>
        <w:rPr>
          <w:rFonts w:ascii="Times New Roman" w:hAnsi="Times New Roman" w:eastAsia="Times New Roman" w:cs="Times New Roman"/>
          <w:sz w:val="20"/>
          <w:i w:val="true"/>
        </w:rPr>
        <w:t xml:space="preserve">Stuart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Emond</w:t>
      </w:r>
      <w:r>
        <w:rPr>
          <w:rFonts w:ascii="Times New Roman" w:hAnsi="Times New Roman" w:eastAsia="Times New Roman" w:cs="Times New Roman"/>
          <w:sz w:val="20"/>
        </w:rPr>
        <w:t xml:space="preserve"> shareholder derivative lawsuits described above. The settlement terms as agreed upon by the parties include that IZEA will direct its insurers to make a payment of </w:t>
      </w:r>
      <w:r>
        <w:rPr>
          <w:rFonts w:ascii="Times New Roman" w:hAnsi="Times New Roman" w:eastAsia="Times New Roman" w:cs="Times New Roman"/>
          <w:sz w:val="20"/>
        </w:rPr>
        <w:t xml:space="preserve">$300,000</w:t>
      </w:r>
      <w:r>
        <w:rPr>
          <w:rFonts w:ascii="Times New Roman" w:hAnsi="Times New Roman" w:eastAsia="Times New Roman" w:cs="Times New Roman"/>
          <w:sz w:val="20"/>
        </w:rPr>
        <w:t xml:space="preserve"> as a fee and service award to the plaintiffs and their counsel in the </w:t>
      </w:r>
      <w:r>
        <w:rPr>
          <w:rFonts w:ascii="Times New Roman" w:hAnsi="Times New Roman" w:eastAsia="Times New Roman" w:cs="Times New Roman"/>
          <w:sz w:val="20"/>
          <w:i w:val="true"/>
        </w:rPr>
        <w:t xml:space="preserve">Emond</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Stuart</w:t>
      </w:r>
      <w:r>
        <w:rPr>
          <w:rFonts w:ascii="Times New Roman" w:hAnsi="Times New Roman" w:eastAsia="Times New Roman" w:cs="Times New Roman"/>
          <w:sz w:val="20"/>
        </w:rPr>
        <w:t xml:space="preserve"> lawsuits and further that IZEA will enact certain corporate governance reforms. The settlement is subject to approval by the United States District Court for the Central District of California, and the plaintiff presented his motion for preliminary approval of the settlement on May 13, 2019. The motion is currently pending before the Court. Upon final approval by the Court, the settlement will require that both the </w:t>
      </w:r>
      <w:r>
        <w:rPr>
          <w:rFonts w:ascii="Times New Roman" w:hAnsi="Times New Roman" w:eastAsia="Times New Roman" w:cs="Times New Roman"/>
          <w:sz w:val="20"/>
          <w:i w:val="true"/>
        </w:rPr>
        <w:t xml:space="preserve">Emond</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Stuart</w:t>
      </w:r>
      <w:r>
        <w:rPr>
          <w:rFonts w:ascii="Times New Roman" w:hAnsi="Times New Roman" w:eastAsia="Times New Roman" w:cs="Times New Roman"/>
          <w:sz w:val="20"/>
        </w:rPr>
        <w:t xml:space="preserve"> lawsuits be dismissed with prejudice. In the event that the Court does not approve the settlement, the Company intends to vigorously defend against the claims.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From time to time, the Company may become involved in various other lawsuits and legal proceedings that arise in the ordinary course of its business. Litigation is, however, subject to inherent uncertainties, and an adverse result in these or other matters may arise from time to time that may harm the Company’s business. The Company is currently not aware of any other legal proceedings or claims that it believes would or could have, individually or in the aggregate, a material adverse effect on us. Regardless of final outcomes, however, any such proceedings or claims may nonetheless impose a significant burden on management and employees and may come with costly defense costs or unfavorable preliminary interim rulings.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9" w:type="default"/>
        </w:sectPr>
      </w:pPr>
    </w:p>
    <w:p>
      <w:pPr>
        <w:tabs>
          <w:tab w:val="left" w:pos="144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7.	STOCKHOLDERS’ EQUITY</w:t>
      </w:r>
      <w:bookmarkStart w:id="61052" w:name="NOTE_7___Stockholders__Equity"/>
      <w:bookmarkEnd w:id="61052"/>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Authorized Shares</w:t>
      </w:r>
    </w:p>
    <w:p>
      <w:pPr>
        <w:ind w:firstLine="720"/>
        <w:jc w:val="left"/>
        <w:keepLines/>
        <w:spacing w:before="120" w:after="2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w:t>
      </w:r>
      <w:r>
        <w:rPr>
          <w:rFonts w:ascii="Times New Roman" w:hAnsi="Times New Roman" w:eastAsia="Times New Roman" w:cs="Times New Roman"/>
          <w:sz w:val="20"/>
        </w:rPr>
        <w:t xml:space="preserve">200,000,000</w:t>
      </w:r>
      <w:r>
        <w:rPr>
          <w:rFonts w:ascii="Times New Roman" w:hAnsi="Times New Roman" w:eastAsia="Times New Roman" w:cs="Times New Roman"/>
          <w:sz w:val="20"/>
        </w:rPr>
        <w:t xml:space="preserve"> authorized shares of common stock and </w:t>
      </w:r>
      <w:r>
        <w:rPr>
          <w:rFonts w:ascii="Times New Roman" w:hAnsi="Times New Roman" w:eastAsia="Times New Roman" w:cs="Times New Roman"/>
          <w:sz w:val="20"/>
        </w:rPr>
        <w:t xml:space="preserve">10,000,000</w:t>
      </w:r>
      <w:r>
        <w:rPr>
          <w:rFonts w:ascii="Times New Roman" w:hAnsi="Times New Roman" w:eastAsia="Times New Roman" w:cs="Times New Roman"/>
          <w:sz w:val="20"/>
        </w:rPr>
        <w:t xml:space="preserve"> authorized shares of preferred stock, each with a par value of </w:t>
      </w:r>
      <w:r>
        <w:rPr>
          <w:rFonts w:ascii="Times New Roman" w:hAnsi="Times New Roman" w:eastAsia="Times New Roman" w:cs="Times New Roman"/>
          <w:sz w:val="20"/>
        </w:rPr>
        <w:t xml:space="preserve">$0.0001</w:t>
      </w:r>
      <w:r>
        <w:rPr>
          <w:rFonts w:ascii="Times New Roman" w:hAnsi="Times New Roman" w:eastAsia="Times New Roman" w:cs="Times New Roman"/>
          <w:sz w:val="20"/>
        </w:rPr>
        <w:t xml:space="preserve"> per share.</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Public Offering</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w:t>
      </w:r>
      <w:r>
        <w:rPr>
          <w:rFonts w:ascii="Times New Roman" w:hAnsi="Times New Roman" w:eastAsia="Times New Roman" w:cs="Times New Roman"/>
          <w:sz w:val="20"/>
        </w:rPr>
        <w:t xml:space="preserve">May 10, 2019</w:t>
      </w:r>
      <w:r>
        <w:rPr>
          <w:rFonts w:ascii="Times New Roman" w:hAnsi="Times New Roman" w:eastAsia="Times New Roman" w:cs="Times New Roman"/>
          <w:sz w:val="20"/>
        </w:rPr>
        <w:t xml:space="preserve">, the Company closed on its underwritten registered public offering of </w:t>
      </w:r>
      <w:r>
        <w:rPr>
          <w:rFonts w:ascii="Times New Roman" w:hAnsi="Times New Roman" w:eastAsia="Times New Roman" w:cs="Times New Roman"/>
          <w:sz w:val="20"/>
        </w:rPr>
        <w:t xml:space="preserve">14,285,714</w:t>
      </w:r>
      <w:r>
        <w:rPr>
          <w:rFonts w:ascii="Times New Roman" w:hAnsi="Times New Roman" w:eastAsia="Times New Roman" w:cs="Times New Roman"/>
          <w:sz w:val="20"/>
        </w:rPr>
        <w:t xml:space="preserve"> shares of common stock at a public offering price of </w:t>
      </w:r>
      <w:r>
        <w:rPr>
          <w:rFonts w:ascii="Times New Roman" w:hAnsi="Times New Roman" w:eastAsia="Times New Roman" w:cs="Times New Roman"/>
          <w:sz w:val="20"/>
        </w:rPr>
        <w:t xml:space="preserve">$0.70</w:t>
      </w:r>
      <w:r>
        <w:rPr>
          <w:rFonts w:ascii="Times New Roman" w:hAnsi="Times New Roman" w:eastAsia="Times New Roman" w:cs="Times New Roman"/>
          <w:sz w:val="20"/>
        </w:rPr>
        <w:t xml:space="preserve"> per share, for total gross proceeds of approximately </w:t>
      </w:r>
      <w:r>
        <w:rPr>
          <w:rFonts w:ascii="Times New Roman" w:hAnsi="Times New Roman" w:eastAsia="Times New Roman" w:cs="Times New Roman"/>
          <w:sz w:val="20"/>
        </w:rPr>
        <w:t xml:space="preserve">$10.0 million</w:t>
      </w:r>
      <w:r>
        <w:rPr>
          <w:rFonts w:ascii="Times New Roman" w:hAnsi="Times New Roman" w:eastAsia="Times New Roman" w:cs="Times New Roman"/>
          <w:sz w:val="20"/>
        </w:rPr>
        <w:t xml:space="preserve">. The net proceeds to the Company were approximately </w:t>
      </w:r>
      <w:r>
        <w:rPr>
          <w:rFonts w:ascii="Times New Roman" w:hAnsi="Times New Roman" w:eastAsia="Times New Roman" w:cs="Times New Roman"/>
          <w:sz w:val="20"/>
        </w:rPr>
        <w:t xml:space="preserve">$9.23 million</w:t>
      </w:r>
      <w:r>
        <w:rPr>
          <w:rFonts w:ascii="Times New Roman" w:hAnsi="Times New Roman" w:eastAsia="Times New Roman" w:cs="Times New Roman"/>
          <w:sz w:val="20"/>
        </w:rPr>
        <w:t xml:space="preserve">.  Mr. Edward Murphy, the Company’s Chief Executive Officer and a Company director, and Mr. Troy J. Vanke, the Company’s Chief Financial Officer, participated in the public offering and purchased </w:t>
      </w:r>
      <w:r>
        <w:rPr>
          <w:rFonts w:ascii="Times New Roman" w:hAnsi="Times New Roman" w:eastAsia="Times New Roman" w:cs="Times New Roman"/>
          <w:sz w:val="20"/>
        </w:rPr>
        <w:t xml:space="preserve">21,428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42,857</w:t>
      </w:r>
      <w:r>
        <w:rPr>
          <w:rFonts w:ascii="Times New Roman" w:hAnsi="Times New Roman" w:eastAsia="Times New Roman" w:cs="Times New Roman"/>
          <w:sz w:val="20"/>
        </w:rPr>
        <w:t xml:space="preserve"> shares of stock, respectively.</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Stock Issued for Acquisitions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w:t>
      </w:r>
      <w:r>
        <w:rPr>
          <w:rFonts w:ascii="Times New Roman" w:hAnsi="Times New Roman" w:eastAsia="Times New Roman" w:cs="Times New Roman"/>
          <w:sz w:val="20"/>
        </w:rPr>
        <w:t xml:space="preserve">January 26, 2019</w:t>
      </w:r>
      <w:r>
        <w:rPr>
          <w:rFonts w:ascii="Times New Roman" w:hAnsi="Times New Roman" w:eastAsia="Times New Roman" w:cs="Times New Roman"/>
          <w:sz w:val="20"/>
        </w:rPr>
        <w:t xml:space="preserve">, pursuant to its Merger Agreement with TapInfluence (see Note 2. Business Combinations), the Company issued </w:t>
      </w:r>
      <w:r>
        <w:rPr>
          <w:rFonts w:ascii="Times New Roman" w:hAnsi="Times New Roman" w:eastAsia="Times New Roman" w:cs="Times New Roman"/>
          <w:sz w:val="20"/>
        </w:rPr>
        <w:t xml:space="preserve">660,136</w:t>
      </w:r>
      <w:r>
        <w:rPr>
          <w:rFonts w:ascii="Times New Roman" w:hAnsi="Times New Roman" w:eastAsia="Times New Roman" w:cs="Times New Roman"/>
          <w:sz w:val="20"/>
        </w:rPr>
        <w:t xml:space="preserve"> shares of its common stock valued at </w:t>
      </w:r>
      <w:r>
        <w:rPr>
          <w:rFonts w:ascii="Times New Roman" w:hAnsi="Times New Roman" w:eastAsia="Times New Roman" w:cs="Times New Roman"/>
          <w:sz w:val="20"/>
        </w:rPr>
        <w:t xml:space="preserve">$884,583</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$1.34</w:t>
      </w:r>
      <w:r>
        <w:rPr>
          <w:rFonts w:ascii="Times New Roman" w:hAnsi="Times New Roman" w:eastAsia="Times New Roman" w:cs="Times New Roman"/>
          <w:sz w:val="20"/>
        </w:rPr>
        <w:t xml:space="preserve"> per share, using the 30-day VWAP as reported by the Nasdaq Capital Market prior to the issuance date. The Company recorded a </w:t>
      </w:r>
      <w:r>
        <w:rPr>
          <w:rFonts w:ascii="Times New Roman" w:hAnsi="Times New Roman" w:eastAsia="Times New Roman" w:cs="Times New Roman"/>
          <w:sz w:val="20"/>
        </w:rPr>
        <w:t xml:space="preserve">$191,439</w:t>
      </w:r>
      <w:r>
        <w:rPr>
          <w:rFonts w:ascii="Times New Roman" w:hAnsi="Times New Roman" w:eastAsia="Times New Roman" w:cs="Times New Roman"/>
          <w:sz w:val="20"/>
        </w:rPr>
        <w:t xml:space="preserve"> loss on the settlement of this acquisition cost payable as a result of the difference between the actual closing market price of the common stock of </w:t>
      </w:r>
      <w:r>
        <w:rPr>
          <w:rFonts w:ascii="Times New Roman" w:hAnsi="Times New Roman" w:eastAsia="Times New Roman" w:cs="Times New Roman"/>
          <w:sz w:val="20"/>
        </w:rPr>
        <w:t xml:space="preserve">$1.63</w:t>
      </w:r>
      <w:r>
        <w:rPr>
          <w:rFonts w:ascii="Times New Roman" w:hAnsi="Times New Roman" w:eastAsia="Times New Roman" w:cs="Times New Roman"/>
          <w:sz w:val="20"/>
        </w:rPr>
        <w:t xml:space="preserve"> on the settlement date and the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-day VWAP of </w:t>
      </w:r>
      <w:r>
        <w:rPr>
          <w:rFonts w:ascii="Times New Roman" w:hAnsi="Times New Roman" w:eastAsia="Times New Roman" w:cs="Times New Roman"/>
          <w:sz w:val="20"/>
        </w:rPr>
        <w:t xml:space="preserve">$1.34</w:t>
      </w:r>
      <w:r>
        <w:rPr>
          <w:rFonts w:ascii="Times New Roman" w:hAnsi="Times New Roman" w:eastAsia="Times New Roman" w:cs="Times New Roman"/>
          <w:sz w:val="20"/>
        </w:rPr>
        <w:t xml:space="preserve"> required by the Merger Agreement.</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Equity Incentive Plans</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May 2011, the Company’s Board of Directors (the “Board”) adopted the 2011 Equity Incentive Plan of IZEA Worldwide, Inc. (the “May 2011 Plan”). At the Company’s 2018 Annual Meeting of Stockholders held on December 18, 2018, the stockholders approved an amendment and restatement of the May 2011 Plan which increased the number of shares of common stock available for issuance under the May 2011 Plan. The amended and restated May 2011 Plan allows the Company to award restricted stock, restricted stock units and stock options, covering up to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shares of common stock as incentive compensation for its employees and consultants.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720,020</w:t>
      </w:r>
      <w:r>
        <w:rPr>
          <w:rFonts w:ascii="Times New Roman" w:hAnsi="Times New Roman" w:eastAsia="Times New Roman" w:cs="Times New Roman"/>
          <w:sz w:val="20"/>
        </w:rPr>
        <w:t xml:space="preserve"> shares of common stock available for issuance pursuant to future grants under the May 2011 Plan.</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August 2011, the Company adopted the 2011 B Equity Incentive Plan (the “August 2011 Plan”) reserving </w:t>
      </w:r>
      <w:r>
        <w:rPr>
          <w:rFonts w:ascii="Times New Roman" w:hAnsi="Times New Roman" w:eastAsia="Times New Roman" w:cs="Times New Roman"/>
          <w:sz w:val="20"/>
        </w:rPr>
        <w:t xml:space="preserve">4,375</w:t>
      </w:r>
      <w:r>
        <w:rPr>
          <w:rFonts w:ascii="Times New Roman" w:hAnsi="Times New Roman" w:eastAsia="Times New Roman" w:cs="Times New Roman"/>
          <w:sz w:val="20"/>
        </w:rPr>
        <w:t xml:space="preserve"> shares of common stock for issuance under the August 2011 Plan.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4,375</w:t>
      </w:r>
      <w:r>
        <w:rPr>
          <w:rFonts w:ascii="Times New Roman" w:hAnsi="Times New Roman" w:eastAsia="Times New Roman" w:cs="Times New Roman"/>
          <w:sz w:val="20"/>
        </w:rPr>
        <w:t xml:space="preserve"> shares of common stock available for future grants under the August 2011 Plan.</w:t>
      </w:r>
    </w:p>
    <w:p>
      <w:pPr>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Restricted Stock</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Under both the May 2011 Plan and the August 2011 Plan (together, the “2011 Equity Incentive Plans”), the Board determines the terms and conditions of each restricted stock issuance, including any future vesting restrictions.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issued </w:t>
      </w:r>
      <w:r>
        <w:rPr>
          <w:rFonts w:ascii="Times New Roman" w:hAnsi="Times New Roman" w:eastAsia="Times New Roman" w:cs="Times New Roman"/>
          <w:sz w:val="20"/>
        </w:rPr>
        <w:t xml:space="preserve">27,184</w:t>
      </w:r>
      <w:r>
        <w:rPr>
          <w:rFonts w:ascii="Times New Roman" w:hAnsi="Times New Roman" w:eastAsia="Times New Roman" w:cs="Times New Roman"/>
          <w:sz w:val="20"/>
        </w:rPr>
        <w:t xml:space="preserve"> shares of restricted stock on March 28, 2019 to Mr. Edward Murphy, its Chief Executive Officer, for amounts owed on his fourth quarter 2018 performance bonus. The stock was initially valued at </w:t>
      </w:r>
      <w:r>
        <w:rPr>
          <w:rFonts w:ascii="Times New Roman" w:hAnsi="Times New Roman" w:eastAsia="Times New Roman" w:cs="Times New Roman"/>
          <w:sz w:val="20"/>
        </w:rPr>
        <w:t xml:space="preserve">$36,427</w:t>
      </w:r>
      <w:r>
        <w:rPr>
          <w:rFonts w:ascii="Times New Roman" w:hAnsi="Times New Roman" w:eastAsia="Times New Roman" w:cs="Times New Roman"/>
          <w:sz w:val="20"/>
        </w:rPr>
        <w:t xml:space="preserve"> and vests in equal monthly installments over </w:t>
      </w:r>
      <w:r>
        <w:rPr>
          <w:rFonts w:ascii="Times New Roman" w:hAnsi="Times New Roman" w:eastAsia="Times New Roman" w:cs="Times New Roman"/>
          <w:sz w:val="20"/>
        </w:rPr>
        <w:t xml:space="preserve">12 months</w:t>
      </w:r>
      <w:r>
        <w:rPr>
          <w:rFonts w:ascii="Times New Roman" w:hAnsi="Times New Roman" w:eastAsia="Times New Roman" w:cs="Times New Roman"/>
          <w:sz w:val="20"/>
        </w:rPr>
        <w:t xml:space="preserve"> from issuance. The Company issued </w:t>
      </w:r>
      <w:r>
        <w:rPr>
          <w:rFonts w:ascii="Times New Roman" w:hAnsi="Times New Roman" w:eastAsia="Times New Roman" w:cs="Times New Roman"/>
          <w:sz w:val="20"/>
        </w:rPr>
        <w:t xml:space="preserve">4,570</w:t>
      </w:r>
      <w:r>
        <w:rPr>
          <w:rFonts w:ascii="Times New Roman" w:hAnsi="Times New Roman" w:eastAsia="Times New Roman" w:cs="Times New Roman"/>
          <w:sz w:val="20"/>
        </w:rPr>
        <w:t xml:space="preserve"> shares of restricted stock on March 28, 2019 to Mr. Ryan Schram, its Chief Operating Officer, for amounts owed on his fourth quarter 2018 performance bonus. The stock was initially valued at </w:t>
      </w:r>
      <w:r>
        <w:rPr>
          <w:rFonts w:ascii="Times New Roman" w:hAnsi="Times New Roman" w:eastAsia="Times New Roman" w:cs="Times New Roman"/>
          <w:sz w:val="20"/>
        </w:rPr>
        <w:t xml:space="preserve">$6,124</w:t>
      </w:r>
      <w:r>
        <w:rPr>
          <w:rFonts w:ascii="Times New Roman" w:hAnsi="Times New Roman" w:eastAsia="Times New Roman" w:cs="Times New Roman"/>
          <w:sz w:val="20"/>
        </w:rPr>
        <w:t xml:space="preserve"> and vests in equal monthly installments over </w:t>
      </w:r>
      <w:r>
        <w:rPr>
          <w:rFonts w:ascii="Times New Roman" w:hAnsi="Times New Roman" w:eastAsia="Times New Roman" w:cs="Times New Roman"/>
          <w:sz w:val="20"/>
        </w:rPr>
        <w:t xml:space="preserve">48 months</w:t>
      </w:r>
      <w:r>
        <w:rPr>
          <w:rFonts w:ascii="Times New Roman" w:hAnsi="Times New Roman" w:eastAsia="Times New Roman" w:cs="Times New Roman"/>
          <w:sz w:val="20"/>
        </w:rPr>
        <w:t xml:space="preserve"> from issuance.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Company issued its </w:t>
      </w:r>
      <w:r>
        <w:rPr>
          <w:rFonts w:ascii="Times New Roman" w:hAnsi="Times New Roman" w:eastAsia="Times New Roman" w:cs="Times New Roman"/>
          <w:sz w:val="20"/>
        </w:rPr>
        <w:t xml:space="preserve">six</w:t>
      </w:r>
      <w:r>
        <w:rPr>
          <w:rFonts w:ascii="Times New Roman" w:hAnsi="Times New Roman" w:eastAsia="Times New Roman" w:cs="Times New Roman"/>
          <w:sz w:val="20"/>
        </w:rPr>
        <w:t xml:space="preserve"> independent directors a total of </w:t>
      </w:r>
      <w:r>
        <w:rPr>
          <w:rFonts w:ascii="Times New Roman" w:hAnsi="Times New Roman" w:eastAsia="Times New Roman" w:cs="Times New Roman"/>
          <w:sz w:val="20"/>
        </w:rPr>
        <w:t xml:space="preserve">88,758</w:t>
      </w:r>
      <w:r>
        <w:rPr>
          <w:rFonts w:ascii="Times New Roman" w:hAnsi="Times New Roman" w:eastAsia="Times New Roman" w:cs="Times New Roman"/>
          <w:sz w:val="20"/>
        </w:rPr>
        <w:t xml:space="preserve"> shares of restricted common stock initially valued at </w:t>
      </w:r>
      <w:r>
        <w:rPr>
          <w:rFonts w:ascii="Times New Roman" w:hAnsi="Times New Roman" w:eastAsia="Times New Roman" w:cs="Times New Roman"/>
          <w:sz w:val="20"/>
        </w:rPr>
        <w:t xml:space="preserve">$150,000</w:t>
      </w:r>
      <w:r>
        <w:rPr>
          <w:rFonts w:ascii="Times New Roman" w:hAnsi="Times New Roman" w:eastAsia="Times New Roman" w:cs="Times New Roman"/>
          <w:sz w:val="20"/>
        </w:rPr>
        <w:t xml:space="preserve"> for their annual service as directors of the Company. The stock vests in equal monthly installments from January through December 2019.</w:t>
      </w:r>
    </w:p>
    <w:p>
      <w:pPr>
        <w:ind w:firstLine="720"/>
        <w:jc w:val="left"/>
        <w:keepNext/>
        <w:keepLines/>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contains summarized information about restricted stock issued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w:t>
      </w:r>
    </w:p>
    <w:tbl>
      <w:tblPr>
        <w:tblW w:type="dxa" w:w="10260"/>
        <w:tblLayout w:type="fixed"/>
        <w:jc w:val="left"/>
      </w:tblPr>
      <w:tblGrid>
        <w:gridCol w:w="4820"/>
        <w:gridCol w:w="1683"/>
        <w:gridCol w:w="77"/>
        <w:gridCol w:w="80"/>
        <w:gridCol w:w="110"/>
        <w:gridCol w:w="1573"/>
        <w:gridCol w:w="77"/>
        <w:gridCol w:w="80"/>
        <w:gridCol w:w="1760"/>
      </w:tblGrid>
      <w:tr>
        <w:trPr>
          <w:trHeight w:hRule="exact" w:val="64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i w:val="true"/>
              </w:rPr>
            </w:pPr>
            <w:r>
              <w:rPr>
                <w:rFonts w:ascii="Times New Roman" w:hAnsi="Times New Roman" w:eastAsia="Times New Roman" w:cs="Times New Roman"/>
                <w:sz w:val="18"/>
                <w:i w:val="true"/>
                <w:color w:val="000000"/>
              </w:rPr>
              <w:t xml:space="preserve">Restricted Stock</w:t>
            </w:r>
          </w:p>
        </w:tc>
        <w:tc>
          <w:tcPr>
            <w:tcW w:type="dxa" w:w="1683"/>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Common Shares</w:t>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w:t>
              <w:br w:type="textWrapping"/>
              <w:t xml:space="preserve">Grant Date
</w:t>
              <w:br w:type="textWrapping"/>
              <w:t xml:space="preserve">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w:t>
              <w:br w:type="textWrapping"/>
              <w:t xml:space="preserve">Grant Date
</w:t>
              <w:br w:type="textWrapping"/>
              <w:t xml:space="preserve">Fair Value</w:t>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7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w:t>
              <w:br w:type="textWrapping"/>
              <w:t xml:space="preserve">Remaining Years
</w:t>
              <w:br w:type="textWrapping"/>
              <w:t xml:space="preserve">to Vest</w:t>
            </w:r>
          </w:p>
        </w:tc>
      </w:tr>
      <w:tr>
        <w:trPr>
          <w:trHeight w:hRule="exact" w:val="30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2018</w:t>
            </w:r>
          </w:p>
        </w:tc>
        <w:tc>
          <w:tcPr>
            <w:tcW w:type="dxa" w:w="16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57,984</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76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w:t>
            </w: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120,512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76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(71,402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76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76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48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June 30, 2019</w:t>
            </w:r>
          </w:p>
        </w:tc>
        <w:tc>
          <w:tcPr>
            <w:tcW w:type="dxa" w:w="168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104,594</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2.18</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76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Although restricted stock is issued upon the grant of an award, the Company excludes restricted stock from the computations within the financial statements of total shares outstanding and earnings per share until such time as the restricted stock vests.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Expense recognized on restricted stock issued to non-employees for services during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$37,497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$33,819</w:t>
      </w:r>
      <w:r>
        <w:rPr>
          <w:rFonts w:ascii="Times New Roman" w:hAnsi="Times New Roman" w:eastAsia="Times New Roman" w:cs="Times New Roman"/>
          <w:sz w:val="20"/>
        </w:rPr>
        <w:t xml:space="preserve">, respectively and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$74,995</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$62,490</w:t>
      </w:r>
      <w:r>
        <w:rPr>
          <w:rFonts w:ascii="Times New Roman" w:hAnsi="Times New Roman" w:eastAsia="Times New Roman" w:cs="Times New Roman"/>
          <w:sz w:val="20"/>
        </w:rPr>
        <w:t xml:space="preserve">, respectively.</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Expense recognized on restricted stock issued to employees during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$44,844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$55,797</w:t>
      </w:r>
      <w:r>
        <w:rPr>
          <w:rFonts w:ascii="Times New Roman" w:hAnsi="Times New Roman" w:eastAsia="Times New Roman" w:cs="Times New Roman"/>
          <w:sz w:val="20"/>
        </w:rPr>
        <w:t xml:space="preserve">, respectively, and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$83,258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$83,866</w:t>
      </w:r>
      <w:r>
        <w:rPr>
          <w:rFonts w:ascii="Times New Roman" w:hAnsi="Times New Roman" w:eastAsia="Times New Roman" w:cs="Times New Roman"/>
          <w:sz w:val="20"/>
        </w:rPr>
        <w:t xml:space="preserve">, respectively.</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Future compensation expense related to issued, but nonvested restricted stock awards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is </w:t>
      </w:r>
      <w:r>
        <w:rPr>
          <w:rFonts w:ascii="Times New Roman" w:hAnsi="Times New Roman" w:eastAsia="Times New Roman" w:cs="Times New Roman"/>
          <w:sz w:val="20"/>
        </w:rPr>
        <w:t xml:space="preserve">$229,610</w:t>
      </w:r>
      <w:r>
        <w:rPr>
          <w:rFonts w:ascii="Times New Roman" w:hAnsi="Times New Roman" w:eastAsia="Times New Roman" w:cs="Times New Roman"/>
          <w:sz w:val="20"/>
        </w:rPr>
        <w:t xml:space="preserve">. This value is estimated to be recognized over the weighted-average vesting period of approximately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years.</w:t>
      </w:r>
    </w:p>
    <w:p>
      <w:pPr>
        <w:jc w:val="left"/>
        <w:keepNext/>
        <w:keepLines/>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Restricted Stock Units</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Board determines the terms and conditions of each restricted stock unit award issued under the May 2011 Plan.</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issued </w:t>
      </w:r>
      <w:r>
        <w:rPr>
          <w:rFonts w:ascii="Times New Roman" w:hAnsi="Times New Roman" w:eastAsia="Times New Roman" w:cs="Times New Roman"/>
          <w:sz w:val="20"/>
        </w:rPr>
        <w:t xml:space="preserve">131,235</w:t>
      </w:r>
      <w:r>
        <w:rPr>
          <w:rFonts w:ascii="Times New Roman" w:hAnsi="Times New Roman" w:eastAsia="Times New Roman" w:cs="Times New Roman"/>
          <w:sz w:val="20"/>
        </w:rPr>
        <w:t xml:space="preserve"> restricted stock units on May 17, 2019 to Mr. Edward Murphy, its Chief Executive Officer, under the terms of his amended employment agreement. The restricted stock units were initially valued at </w:t>
      </w:r>
      <w:r>
        <w:rPr>
          <w:rFonts w:ascii="Times New Roman" w:hAnsi="Times New Roman" w:eastAsia="Times New Roman" w:cs="Times New Roman"/>
          <w:sz w:val="20"/>
        </w:rPr>
        <w:t xml:space="preserve">$76,510</w:t>
      </w:r>
      <w:r>
        <w:rPr>
          <w:rFonts w:ascii="Times New Roman" w:hAnsi="Times New Roman" w:eastAsia="Times New Roman" w:cs="Times New Roman"/>
          <w:sz w:val="20"/>
        </w:rPr>
        <w:t xml:space="preserve"> and vest in equal monthly installments over </w:t>
      </w:r>
      <w:r>
        <w:rPr>
          <w:rFonts w:ascii="Times New Roman" w:hAnsi="Times New Roman" w:eastAsia="Times New Roman" w:cs="Times New Roman"/>
          <w:sz w:val="20"/>
        </w:rPr>
        <w:t xml:space="preserve">12 months</w:t>
      </w:r>
      <w:r>
        <w:rPr>
          <w:rFonts w:ascii="Times New Roman" w:hAnsi="Times New Roman" w:eastAsia="Times New Roman" w:cs="Times New Roman"/>
          <w:sz w:val="20"/>
        </w:rPr>
        <w:t xml:space="preserve"> from issuance.</w:t>
      </w:r>
    </w:p>
    <w:p>
      <w:pPr>
        <w:ind w:firstLine="720"/>
        <w:jc w:val="left"/>
        <w:keepNext/>
        <w:keepLines/>
        <w:spacing w:before="120" w:after="26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contains summarized information about restricted stock units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w:t>
      </w:r>
    </w:p>
    <w:tbl>
      <w:tblPr>
        <w:tblW w:type="dxa" w:w="10260"/>
        <w:tblLayout w:type="fixed"/>
        <w:jc w:val="left"/>
      </w:tblPr>
      <w:tblGrid>
        <w:gridCol w:w="4820"/>
        <w:gridCol w:w="1683"/>
        <w:gridCol w:w="77"/>
        <w:gridCol w:w="80"/>
        <w:gridCol w:w="110"/>
        <w:gridCol w:w="1573"/>
        <w:gridCol w:w="77"/>
        <w:gridCol w:w="80"/>
        <w:gridCol w:w="1760"/>
      </w:tblGrid>
      <w:tr>
        <w:trPr>
          <w:trHeight w:hRule="exact" w:val="64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i w:val="true"/>
              </w:rPr>
            </w:pPr>
            <w:r>
              <w:rPr>
                <w:rFonts w:ascii="Times New Roman" w:hAnsi="Times New Roman" w:eastAsia="Times New Roman" w:cs="Times New Roman"/>
                <w:sz w:val="18"/>
                <w:i w:val="true"/>
                <w:color w:val="000000"/>
              </w:rPr>
              <w:t xml:space="preserve">Restricted Stock Units</w:t>
            </w:r>
          </w:p>
        </w:tc>
        <w:tc>
          <w:tcPr>
            <w:tcW w:type="dxa" w:w="168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Common Shares</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w:t>
              <w:br w:type="textWrapping"/>
              <w:t xml:space="preserve">Grant Date
</w:t>
              <w:br w:type="textWrapping"/>
              <w:t xml:space="preserve">Fair Value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w:t>
              <w:br w:type="textWrapping"/>
              <w:t xml:space="preserve">Grant Date
</w:t>
              <w:br w:type="textWrapping"/>
              <w:t xml:space="preserve">Fair Value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7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w:t>
              <w:br w:type="textWrapping"/>
              <w:t xml:space="preserve">Remaining Years
</w:t>
              <w:br w:type="textWrapping"/>
              <w:t xml:space="preserve">to Vest</w:t>
            </w:r>
          </w:p>
        </w:tc>
      </w:tr>
      <w:tr>
        <w:trPr>
          <w:trHeight w:hRule="exact" w:val="300"/>
        </w:trPr>
        <w:tc>
          <w:tcPr>
            <w:tcW w:type="dxa" w:w="4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2018</w:t>
            </w:r>
          </w:p>
        </w:tc>
        <w:tc>
          <w:tcPr>
            <w:tcW w:type="dxa" w:w="16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76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w:t>
            </w: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132,125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0.58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0.58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76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6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0.86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0.86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76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48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6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6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760"/>
            <w:tcMar>
              <w:left w:type="dxa" w:w="60"/>
              <w:right w:type="dxa" w:w="60"/>
            </w:tcMar>
            <w:tcBorders>
              <w:bottom w:val="single" w:sz="8"/>
            </w:tcBorders>
            <w:vAlign w:val="bottom"/>
          </w:tcPr>
          <w:p>
            <w:pPr>
              <w:jc w:val="left"/>
              <w:keepNext/>
              <w:keepLines/>
              <w:spacing w:before="40" w:after="40" w:line="240" w:lineRule="auto"/>
              <w:rPr/>
            </w:pPr>
            <w:r>
              <w:rPr/>
            </w:r>
          </w:p>
        </w:tc>
      </w:tr>
      <w:tr>
        <w:trPr>
          <w:trHeight w:hRule="exact" w:val="300"/>
        </w:trPr>
        <w:tc>
          <w:tcPr>
            <w:tcW w:type="dxa" w:w="48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June 30, 2019</w:t>
            </w:r>
          </w:p>
        </w:tc>
        <w:tc>
          <w:tcPr>
            <w:tcW w:type="dxa" w:w="168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262,326</w:t>
            </w:r>
          </w:p>
        </w:tc>
        <w:tc>
          <w:tcPr>
            <w:tcW w:type="dxa" w:w="77"/>
            <w:tcMar>
              <w:left w:type="dxa" w:w="0"/>
              <w:right w:type="dxa" w:w="0"/>
            </w:tcMar>
            <w:tcBorders>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7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0.82</w:t>
            </w:r>
          </w:p>
        </w:tc>
        <w:tc>
          <w:tcPr>
            <w:tcW w:type="dxa" w:w="77"/>
            <w:tcMar>
              <w:left w:type="dxa" w:w="0"/>
              <w:right w:type="dxa" w:w="0"/>
            </w:tcMar>
            <w:tcBorders>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760"/>
            <w:tcMar>
              <w:left w:type="dxa" w:w="60"/>
              <w:right w:type="dxa" w:w="60"/>
            </w:tcMar>
            <w:tcBorders>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fair value of the Company’s common stock on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$0.51</w:t>
      </w:r>
      <w:r>
        <w:rPr>
          <w:rFonts w:ascii="Times New Roman" w:hAnsi="Times New Roman" w:eastAsia="Times New Roman" w:cs="Times New Roman"/>
          <w:sz w:val="20"/>
        </w:rPr>
        <w:t xml:space="preserve"> per share. The intrinsic value on the non-vested restricted units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$133,786</w:t>
      </w:r>
      <w:r>
        <w:rPr>
          <w:rFonts w:ascii="Times New Roman" w:hAnsi="Times New Roman" w:eastAsia="Times New Roman" w:cs="Times New Roman"/>
          <w:sz w:val="20"/>
        </w:rPr>
        <w:t xml:space="preserve">. Expense recognized on restricted stock units issued to employees during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$22,483</w:t>
      </w:r>
      <w:r>
        <w:rPr>
          <w:rFonts w:ascii="Times New Roman" w:hAnsi="Times New Roman" w:eastAsia="Times New Roman" w:cs="Times New Roman"/>
          <w:sz w:val="20"/>
        </w:rPr>
        <w:t xml:space="preserve"> and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$54,948</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future compensation related to restricted stock units expected to vest of </w:t>
      </w:r>
      <w:r>
        <w:rPr>
          <w:rFonts w:ascii="Times New Roman" w:hAnsi="Times New Roman" w:eastAsia="Times New Roman" w:cs="Times New Roman"/>
          <w:sz w:val="20"/>
        </w:rPr>
        <w:t xml:space="preserve">$214,618</w:t>
      </w:r>
      <w:r>
        <w:rPr>
          <w:rFonts w:ascii="Times New Roman" w:hAnsi="Times New Roman" w:eastAsia="Times New Roman" w:cs="Times New Roman"/>
          <w:sz w:val="20"/>
        </w:rPr>
        <w:t xml:space="preserve"> is estimated to be recognized over the weighted-average vesting period of approximately </w:t>
      </w:r>
      <w:r>
        <w:rPr>
          <w:rFonts w:ascii="Times New Roman" w:hAnsi="Times New Roman" w:eastAsia="Times New Roman" w:cs="Times New Roman"/>
          <w:sz w:val="20"/>
        </w:rPr>
        <w:t xml:space="preserve">2.4</w:t>
      </w:r>
      <w:r>
        <w:rPr>
          <w:rFonts w:ascii="Times New Roman" w:hAnsi="Times New Roman" w:eastAsia="Times New Roman" w:cs="Times New Roman"/>
          <w:sz w:val="20"/>
        </w:rPr>
        <w:t xml:space="preserve"> years.</w:t>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tabs>
          <w:tab w:val="left" w:pos="900"/>
        </w:tabs>
        <w:jc w:val="left"/>
        <w:keepNext/>
        <w:keepLines/>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Stock Options</w:t>
      </w:r>
    </w:p>
    <w:p>
      <w:pPr>
        <w:ind w:firstLine="720"/>
        <w:jc w:val="left"/>
        <w:keepNex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Under the 2011 Equity Incentive Plans, the Board determines the exercise price to be paid for the option shares, the period within which each option may be exercised, and the terms and conditions of each option. The exercise price of incentive and non-qualified stock options may not be less than </w:t>
      </w:r>
      <w:r>
        <w:rPr>
          <w:rFonts w:ascii="Times New Roman" w:hAnsi="Times New Roman" w:eastAsia="Times New Roman" w:cs="Times New Roman"/>
          <w:sz w:val="20"/>
        </w:rPr>
        <w:t xml:space="preserve">100%</w:t>
      </w:r>
      <w:r>
        <w:rPr>
          <w:rFonts w:ascii="Times New Roman" w:hAnsi="Times New Roman" w:eastAsia="Times New Roman" w:cs="Times New Roman"/>
          <w:sz w:val="20"/>
        </w:rPr>
        <w:t xml:space="preserve"> of the fair market value per share of the Company’s common stock on the grant date. If an individual owns stock representing more than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the outstanding shares, the exercise price of each share of an incentive stock option must be equal to or exceed </w:t>
      </w:r>
      <w:r>
        <w:rPr>
          <w:rFonts w:ascii="Times New Roman" w:hAnsi="Times New Roman" w:eastAsia="Times New Roman" w:cs="Times New Roman"/>
          <w:sz w:val="20"/>
        </w:rPr>
        <w:t xml:space="preserve">110%</w:t>
      </w:r>
      <w:r>
        <w:rPr>
          <w:rFonts w:ascii="Times New Roman" w:hAnsi="Times New Roman" w:eastAsia="Times New Roman" w:cs="Times New Roman"/>
          <w:sz w:val="20"/>
        </w:rPr>
        <w:t xml:space="preserve"> of fair market value. Unless otherwise determined by the Board at the time of grant, the exercise price is set at the fair market value of the Company’s common stock on the grant date (or the last trading day prior to the grant date, if it is awarded on a non-trading day). Additionally, the term is set at ten years and the option typically vests on a straight-line basis over the requisite service period as follows: </w:t>
      </w:r>
      <w:r>
        <w:rPr>
          <w:rFonts w:ascii="Times New Roman" w:hAnsi="Times New Roman" w:eastAsia="Times New Roman" w:cs="Times New Roman"/>
          <w:sz w:val="20"/>
        </w:rPr>
        <w:t xml:space="preserve">25%</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year from the date of grant with the remaining vesting monthly in equal increments over the following </w:t>
      </w:r>
      <w:r>
        <w:rPr>
          <w:rFonts w:ascii="Times New Roman" w:hAnsi="Times New Roman" w:eastAsia="Times New Roman" w:cs="Times New Roman"/>
          <w:sz w:val="20"/>
        </w:rPr>
        <w:t xml:space="preserve">three</w:t>
      </w:r>
      <w:r>
        <w:rPr>
          <w:rFonts w:ascii="Times New Roman" w:hAnsi="Times New Roman" w:eastAsia="Times New Roman" w:cs="Times New Roman"/>
          <w:sz w:val="20"/>
        </w:rPr>
        <w:t xml:space="preserve"> years. The Company issues new shares for any stock awards or options exercised under its 2011 Equity Incentive Plans.</w:t>
      </w:r>
    </w:p>
    <w:p>
      <w:pPr>
        <w:ind w:firstLine="720"/>
        <w:jc w:val="left"/>
        <w:spacing w:before="120" w:line="288" w:lineRule="auto" w:after="140"/>
        <w:rPr>
          <w:rFonts w:ascii="Times New Roman" w:hAnsi="Times New Roman" w:eastAsia="Times New Roman" w:cs="Times New Roman"/>
          <w:sz w:val="20"/>
        </w:rPr>
        <w:keepNext/>
      </w:pPr>
      <w:r>
        <w:rPr>
          <w:rFonts w:ascii="Times New Roman" w:hAnsi="Times New Roman" w:eastAsia="Times New Roman" w:cs="Times New Roman"/>
          <w:sz w:val="20"/>
        </w:rPr>
        <w:t xml:space="preserve">A summary of option activity under the 2011 Equity Incentive Plans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is presented below: </w:t>
      </w:r>
    </w:p>
    <w:tbl>
      <w:tblPr>
        <w:tblW w:type="dxa" w:w="10260"/>
        <w:tblLayout w:type="fixed"/>
        <w:jc w:val="left"/>
        <w:tblInd w:type="dxa" w:w="720"/>
      </w:tblPr>
      <w:tblGrid>
        <w:gridCol w:w="5600"/>
        <w:gridCol w:w="1383"/>
        <w:gridCol w:w="77"/>
        <w:gridCol w:w="80"/>
        <w:gridCol w:w="110"/>
        <w:gridCol w:w="1333"/>
        <w:gridCol w:w="77"/>
        <w:gridCol w:w="80"/>
        <w:gridCol w:w="1520"/>
      </w:tblGrid>
      <w:tr>
        <w:trPr>
          <w:trHeight w:hRule="exact" w:val="820"/>
        </w:trPr>
        <w:tc>
          <w:tcPr>
            <w:tcW w:type="dxa" w:w="5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i w:val="true"/>
              </w:rPr>
            </w:pPr>
            <w:r>
              <w:rPr>
                <w:rFonts w:ascii="Times New Roman" w:hAnsi="Times New Roman" w:eastAsia="Times New Roman" w:cs="Times New Roman"/>
                <w:sz w:val="18"/>
                <w:i w:val="true"/>
                <w:color w:val="000000"/>
              </w:rPr>
              <w:t xml:space="preserve">Stock Options Outstanding</w:t>
            </w:r>
          </w:p>
        </w:tc>
        <w:tc>
          <w:tcPr>
            <w:tcW w:type="dxa" w:w="138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Common Shares</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Weighted-Average</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Exercise Price</w:t>
            </w:r>
          </w:p>
        </w:tc>
        <w:tc>
          <w:tcPr>
            <w:tcMar>
              <w:left w:type="dxa" w:w="60"/>
              <w:right w:type="dxa" w:w="60"/>
            </w:tcMar>
            <w:tcBorders>
              <w:bottom w:val="single" w:sz="8"/>
            </w:tcBorders>
            <w:vAlign w:val="bottom"/>
            <w:hMerge w:val="continue"/>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Weighted-Average</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Exercise Price</w:t>
            </w:r>
          </w:p>
        </w:tc>
        <w:tc>
          <w:tcPr>
            <w:tcMar>
              <w:left w:type="dxa" w:w="0"/>
              <w:right w:type="dxa" w:w="60"/>
            </w:tcMar>
            <w:tcBorders>
              <w:bottom w:val="single" w:sz="8"/>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520"/>
            <w:tcMar>
              <w:left w:type="dxa" w:w="60"/>
              <w:right w:type="dxa" w:w="60"/>
            </w:tcMar>
            <w:tcBorders>
              <w:bottom w:val="single" w:sz="8"/>
            </w:tcBorders>
            <w:vAlign w:val="bottom"/>
            <w:vAlign w:val="bottom"/>
            <w:vAlign w:val="bottom"/>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Weighted-Average</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Remaining Life</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(Years)</w:t>
            </w:r>
          </w:p>
        </w:tc>
      </w:tr>
      <w:tr>
        <w:trPr>
          <w:trHeight w:hRule="exact" w:val="300"/>
        </w:trPr>
        <w:tc>
          <w:tcPr>
            <w:tcW w:type="dxa" w:w="5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Outstanding at December 31, 2018</w:t>
            </w:r>
          </w:p>
        </w:tc>
        <w:tc>
          <w:tcPr>
            <w:tcW w:type="dxa" w:w="13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1,040,477</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5.23</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w:t>
            </w:r>
          </w:p>
        </w:tc>
      </w:tr>
      <w:tr>
        <w:trPr>
          <w:trHeight w:hRule="exact" w:val="300"/>
        </w:trPr>
        <w:tc>
          <w:tcPr>
            <w:tcW w:type="dxa" w:w="56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3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284,102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56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Expired</w:t>
            </w:r>
          </w:p>
        </w:tc>
        <w:tc>
          <w:tcPr>
            <w:tcW w:type="dxa" w:w="13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(65,455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56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3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(46,550</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56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Outstanding at June 30, 2019</w:t>
            </w:r>
          </w:p>
        </w:tc>
        <w:tc>
          <w:tcPr>
            <w:tcW w:type="dxa" w:w="138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1,212,574</w:t>
            </w:r>
          </w:p>
        </w:tc>
        <w:tc>
          <w:tcPr>
            <w:tcW w:type="dxa" w:w="77"/>
            <w:tcMar>
              <w:left w:type="dxa" w:w="0"/>
              <w:right w:type="dxa" w:w="0"/>
            </w:tcMar>
            <w:tcBorders>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4.15</w:t>
            </w:r>
          </w:p>
        </w:tc>
        <w:tc>
          <w:tcPr>
            <w:tcW w:type="dxa" w:w="77"/>
            <w:tcMar>
              <w:left w:type="dxa" w:w="0"/>
              <w:right w:type="dxa" w:w="0"/>
            </w:tcMar>
            <w:tcBorders>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52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During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stock options were exercised. The fair value of the Company’s common stock on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$0.51</w:t>
      </w:r>
      <w:r>
        <w:rPr>
          <w:rFonts w:ascii="Times New Roman" w:hAnsi="Times New Roman" w:eastAsia="Times New Roman" w:cs="Times New Roman"/>
          <w:sz w:val="20"/>
        </w:rPr>
        <w:t xml:space="preserve"> per share. The intrinsic value on outstanding stock options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$0</w:t>
      </w:r>
      <w:r>
        <w:rPr>
          <w:rFonts w:ascii="Times New Roman" w:hAnsi="Times New Roman" w:eastAsia="Times New Roman" w:cs="Times New Roman"/>
          <w:sz w:val="20"/>
        </w:rPr>
        <w:t xml:space="preserve">. The intrinsic value on exercisable stock options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$0</w:t>
      </w:r>
      <w:r>
        <w:rPr>
          <w:rFonts w:ascii="Times New Roman" w:hAnsi="Times New Roman" w:eastAsia="Times New Roman" w:cs="Times New Roman"/>
          <w:sz w:val="20"/>
        </w:rPr>
        <w:t xml:space="preserve">.</w:t>
      </w:r>
    </w:p>
    <w:p>
      <w:pPr>
        <w:ind w:firstLine="720"/>
        <w:jc w:val="left"/>
        <w:keepNext/>
        <w:keepLines/>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summary of the nonvested stock option activity under the 2011 Equity Incentive Plans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is presented below:</w:t>
      </w:r>
    </w:p>
    <w:tbl>
      <w:tblPr>
        <w:tblW w:type="dxa" w:w="10260"/>
        <w:tblLayout w:type="fixed"/>
        <w:jc w:val="left"/>
      </w:tblPr>
      <w:tblGrid>
        <w:gridCol w:w="5600"/>
        <w:gridCol w:w="1383"/>
        <w:gridCol w:w="77"/>
        <w:gridCol w:w="80"/>
        <w:gridCol w:w="110"/>
        <w:gridCol w:w="1333"/>
        <w:gridCol w:w="77"/>
        <w:gridCol w:w="80"/>
        <w:gridCol w:w="1520"/>
      </w:tblGrid>
      <w:tr>
        <w:trPr>
          <w:trHeight w:hRule="exact" w:val="640"/>
        </w:trPr>
        <w:tc>
          <w:tcPr>
            <w:tcW w:type="dxa" w:w="5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i w:val="true"/>
              </w:rPr>
            </w:pPr>
            <w:r>
              <w:rPr>
                <w:rFonts w:ascii="Times New Roman" w:hAnsi="Times New Roman" w:eastAsia="Times New Roman" w:cs="Times New Roman"/>
                <w:sz w:val="18"/>
                <w:i w:val="true"/>
                <w:color w:val="000000"/>
              </w:rPr>
              <w:t xml:space="preserve">Nonvested Stock Options</w:t>
            </w:r>
          </w:p>
        </w:tc>
        <w:tc>
          <w:tcPr>
            <w:tcW w:type="dxa" w:w="138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Common Shares</w:t>
            </w:r>
          </w:p>
        </w:tc>
        <w:tc>
          <w:tcPr>
            <w:tcMar>
              <w:left w:type="dxa" w:w="0"/>
              <w:right w:type="dxa" w:w="60"/>
            </w:tcMar>
            <w:tcBorders>
              <w:bottom w:val="single" w:sz="8"/>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Weighted Average</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Grant Date</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Fair Value</w:t>
            </w:r>
          </w:p>
        </w:tc>
        <w:tc>
          <w:tcPr>
            <w:tcMar>
              <w:left w:type="dxa" w:w="60"/>
              <w:right w:type="dxa" w:w="60"/>
            </w:tcMar>
            <w:tcBorders>
              <w:bottom w:val="single" w:sz="8"/>
            </w:tcBorders>
            <w:vAlign w:val="bottom"/>
            <w:vAlign w:val="bottom"/>
            <w:hMerge w:val="continue"/>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Weighted Average</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Grant Date</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Fair Value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520"/>
            <w:tcMar>
              <w:left w:type="dxa" w:w="60"/>
              <w:right w:type="dxa" w:w="60"/>
            </w:tcMar>
            <w:tcBorders>
              <w:bottom w:val="single" w:sz="8"/>
            </w:tcBorders>
            <w:vAlign w:val="bottom"/>
            <w:vAlign w:val="bottom"/>
            <w:vAlign w:val="bottom"/>
          </w:tcPr>
          <w:p>
            <w:pPr>
              <w:jc w:val="center"/>
              <w:keepNext/>
              <w:keepLines/>
              <w:spacing w:before="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Weighted Average</w:t>
            </w:r>
          </w:p>
          <w:p>
            <w:pPr>
              <w:jc w:val="center"/>
              <w:keepNext/>
              <w:keepLines/>
              <w:spacing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Remaining Years</w:t>
            </w:r>
          </w:p>
          <w:p>
            <w:pPr>
              <w:jc w:val="center"/>
              <w:keepNext/>
              <w:keepLines/>
              <w:spacing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to Vest</w:t>
            </w:r>
          </w:p>
        </w:tc>
      </w:tr>
      <w:tr>
        <w:trPr>
          <w:trHeight w:hRule="exact" w:val="300"/>
        </w:trPr>
        <w:tc>
          <w:tcPr>
            <w:tcW w:type="dxa" w:w="5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2018</w:t>
            </w:r>
          </w:p>
        </w:tc>
        <w:tc>
          <w:tcPr>
            <w:tcW w:type="dxa" w:w="13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300,510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0.80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w:t>
            </w:r>
          </w:p>
        </w:tc>
      </w:tr>
      <w:tr>
        <w:trPr>
          <w:trHeight w:hRule="exact" w:val="300"/>
        </w:trPr>
        <w:tc>
          <w:tcPr>
            <w:tcW w:type="dxa" w:w="56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3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284,102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0.61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0.61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56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3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(46,732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56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 or expired</w:t>
            </w:r>
          </w:p>
        </w:tc>
        <w:tc>
          <w:tcPr>
            <w:tcW w:type="dxa" w:w="13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(29,076</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1.89</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60"/>
              <w:right w:type="dxa" w:w="60"/>
            </w:tcMar>
            <w:tcBorders>
              <w:bottom w:val="single" w:sz="8"/>
            </w:tcBorders>
            <w:vAlign w:val="bottom"/>
          </w:tcPr>
          <w:p>
            <w:pPr>
              <w:jc w:val="left"/>
              <w:keepNext/>
              <w:keepLines/>
              <w:spacing w:before="40" w:after="40" w:line="240" w:lineRule="auto"/>
              <w:rPr/>
            </w:pPr>
            <w:r>
              <w:rPr/>
            </w:r>
          </w:p>
        </w:tc>
      </w:tr>
      <w:tr>
        <w:trPr>
          <w:trHeight w:hRule="exact" w:val="300"/>
        </w:trPr>
        <w:tc>
          <w:tcPr>
            <w:tcW w:type="dxa" w:w="56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June 30, 2019</w:t>
            </w:r>
          </w:p>
        </w:tc>
        <w:tc>
          <w:tcPr>
            <w:tcW w:type="dxa" w:w="138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508,804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77"/>
            <w:tcMar>
              <w:left w:type="dxa" w:w="0"/>
              <w:right w:type="dxa" w:w="0"/>
            </w:tcMar>
            <w:tcBorders>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520"/>
            <w:tcMar>
              <w:left w:type="dxa" w:w="60"/>
              <w:right w:type="dxa" w:w="60"/>
            </w:tcMar>
            <w:tcBorders>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Expense recognized on stock options issued to employees during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approximately </w:t>
      </w:r>
      <w:r>
        <w:rPr>
          <w:rFonts w:ascii="Times New Roman" w:hAnsi="Times New Roman" w:eastAsia="Times New Roman" w:cs="Times New Roman"/>
          <w:sz w:val="20"/>
        </w:rPr>
        <w:t xml:space="preserve">$90,002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$129,000</w:t>
      </w:r>
      <w:r>
        <w:rPr>
          <w:rFonts w:ascii="Times New Roman" w:hAnsi="Times New Roman" w:eastAsia="Times New Roman" w:cs="Times New Roman"/>
          <w:sz w:val="20"/>
        </w:rPr>
        <w:t xml:space="preserve">, respectively.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expense recognized on stock options issued was approximately </w:t>
      </w:r>
      <w:r>
        <w:rPr>
          <w:rFonts w:ascii="Times New Roman" w:hAnsi="Times New Roman" w:eastAsia="Times New Roman" w:cs="Times New Roman"/>
          <w:sz w:val="20"/>
        </w:rPr>
        <w:t xml:space="preserve">$180,000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$242,000</w:t>
      </w:r>
      <w:r>
        <w:rPr>
          <w:rFonts w:ascii="Times New Roman" w:hAnsi="Times New Roman" w:eastAsia="Times New Roman" w:cs="Times New Roman"/>
          <w:sz w:val="20"/>
        </w:rPr>
        <w:t xml:space="preserve">, respectively. Future compensation expense related to nonvested awards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expected to vest of approximately </w:t>
      </w:r>
      <w:r>
        <w:rPr>
          <w:rFonts w:ascii="Times New Roman" w:hAnsi="Times New Roman" w:eastAsia="Times New Roman" w:cs="Times New Roman"/>
          <w:sz w:val="20"/>
        </w:rPr>
        <w:t xml:space="preserve">$346,000</w:t>
      </w:r>
      <w:r>
        <w:rPr>
          <w:rFonts w:ascii="Times New Roman" w:hAnsi="Times New Roman" w:eastAsia="Times New Roman" w:cs="Times New Roman"/>
          <w:sz w:val="20"/>
        </w:rPr>
        <w:t xml:space="preserve"> is estimated to be recognized over the weighted-average vesting period of approximately </w:t>
      </w:r>
      <w:r>
        <w:rPr>
          <w:rFonts w:ascii="Times New Roman" w:hAnsi="Times New Roman" w:eastAsia="Times New Roman" w:cs="Times New Roman"/>
          <w:sz w:val="20"/>
        </w:rPr>
        <w:t xml:space="preserve">2.8 years</w:t>
      </w:r>
      <w:r>
        <w:rPr>
          <w:rFonts w:ascii="Times New Roman" w:hAnsi="Times New Roman" w:eastAsia="Times New Roman" w:cs="Times New Roman"/>
          <w:sz w:val="20"/>
        </w:rPr>
        <w:t xml:space="preserve">.</w:t>
      </w:r>
    </w:p>
    <w:p>
      <w:pPr>
        <w:jc w:val="left"/>
        <w:keepNext/>
        <w:keepLines/>
        <w:spacing w:before="120"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Employee Stock Purchase Plan</w:t>
      </w:r>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At the Company’s 2018 Annual Meeting of Stockholders held on December 18, 2018, stockholders holding a majority of the Company’s outstanding shares of common stock, upon previous recommendation and approval of the Board, adopted the amended and restated IZEA Worldwide, Inc. 2014 Employee Stock Purchase Plan (the “ESPP”), which provides for the issuance of up to </w:t>
      </w:r>
      <w:r>
        <w:rPr>
          <w:rFonts w:ascii="Times New Roman" w:hAnsi="Times New Roman" w:eastAsia="Times New Roman" w:cs="Times New Roman"/>
          <w:sz w:val="20"/>
        </w:rPr>
        <w:t xml:space="preserve">500,000</w:t>
      </w:r>
      <w:r>
        <w:rPr>
          <w:rFonts w:ascii="Times New Roman" w:hAnsi="Times New Roman" w:eastAsia="Times New Roman" w:cs="Times New Roman"/>
          <w:sz w:val="20"/>
        </w:rPr>
        <w:t xml:space="preserve"> shares of the Company’s common stock thereunder. Any employee regularly employed by the Company for </w:t>
      </w:r>
      <w:r>
        <w:rPr>
          <w:rFonts w:ascii="Times New Roman" w:hAnsi="Times New Roman" w:eastAsia="Times New Roman" w:cs="Times New Roman"/>
          <w:sz w:val="20"/>
        </w:rPr>
        <w:t xml:space="preserve">90 days</w:t>
      </w:r>
      <w:r>
        <w:rPr>
          <w:rFonts w:ascii="Times New Roman" w:hAnsi="Times New Roman" w:eastAsia="Times New Roman" w:cs="Times New Roman"/>
          <w:sz w:val="20"/>
        </w:rPr>
        <w:t xml:space="preserve"> or more on a full-time or part-time basis (</w:t>
      </w:r>
      <w:r>
        <w:rPr>
          <w:rFonts w:ascii="Times New Roman" w:hAnsi="Times New Roman" w:eastAsia="Times New Roman" w:cs="Times New Roman"/>
          <w:sz w:val="20"/>
        </w:rPr>
        <w:t xml:space="preserve">20</w:t>
      </w:r>
      <w:r>
        <w:rPr>
          <w:rFonts w:ascii="Times New Roman" w:hAnsi="Times New Roman" w:eastAsia="Times New Roman" w:cs="Times New Roman"/>
          <w:sz w:val="20"/>
        </w:rPr>
        <w:t xml:space="preserve"> hours or more per week on a regular schedule) is eligible to participate in the ESPP. The ESPP operates in successive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offering periods commencing at the beginning of each fiscal year half. Each eligible employee who elects to participate may purchase up to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their annual compensation in common stock not to exceed </w:t>
      </w:r>
      <w:r>
        <w:rPr>
          <w:rFonts w:ascii="Times New Roman" w:hAnsi="Times New Roman" w:eastAsia="Times New Roman" w:cs="Times New Roman"/>
          <w:sz w:val="20"/>
        </w:rPr>
        <w:t xml:space="preserve">$21,250</w:t>
      </w:r>
      <w:r>
        <w:rPr>
          <w:rFonts w:ascii="Times New Roman" w:hAnsi="Times New Roman" w:eastAsia="Times New Roman" w:cs="Times New Roman"/>
          <w:sz w:val="20"/>
        </w:rPr>
        <w:t xml:space="preserve"> annually or </w:t>
      </w:r>
      <w:r>
        <w:rPr>
          <w:rFonts w:ascii="Times New Roman" w:hAnsi="Times New Roman" w:eastAsia="Times New Roman" w:cs="Times New Roman"/>
          <w:sz w:val="20"/>
        </w:rPr>
        <w:t xml:space="preserve">2,000</w:t>
      </w:r>
      <w:r>
        <w:rPr>
          <w:rFonts w:ascii="Times New Roman" w:hAnsi="Times New Roman" w:eastAsia="Times New Roman" w:cs="Times New Roman"/>
          <w:sz w:val="20"/>
        </w:rPr>
        <w:t xml:space="preserve"> shares per year. The purchase price will be the lower of (i) </w:t>
      </w:r>
      <w:r>
        <w:rPr>
          <w:rFonts w:ascii="Times New Roman" w:hAnsi="Times New Roman" w:eastAsia="Times New Roman" w:cs="Times New Roman"/>
          <w:sz w:val="20"/>
        </w:rPr>
        <w:t xml:space="preserve">85%</w:t>
      </w:r>
      <w:r>
        <w:rPr>
          <w:rFonts w:ascii="Times New Roman" w:hAnsi="Times New Roman" w:eastAsia="Times New Roman" w:cs="Times New Roman"/>
          <w:sz w:val="20"/>
        </w:rPr>
        <w:t xml:space="preserve"> of the fair market value of a share of common stock on the first day of the offering period or (ii) </w:t>
      </w:r>
      <w:r>
        <w:rPr>
          <w:rFonts w:ascii="Times New Roman" w:hAnsi="Times New Roman" w:eastAsia="Times New Roman" w:cs="Times New Roman"/>
          <w:sz w:val="20"/>
        </w:rPr>
        <w:t xml:space="preserve">85%</w:t>
      </w:r>
      <w:r>
        <w:rPr>
          <w:rFonts w:ascii="Times New Roman" w:hAnsi="Times New Roman" w:eastAsia="Times New Roman" w:cs="Times New Roman"/>
          <w:sz w:val="20"/>
        </w:rPr>
        <w:t xml:space="preserve"> of the fair market value of a share of common stock on the last day of the offering period. The ESPP will continue until January 1, 2024, unless otherwise terminated by the Board.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430,129</w:t>
      </w:r>
      <w:r>
        <w:rPr>
          <w:rFonts w:ascii="Times New Roman" w:hAnsi="Times New Roman" w:eastAsia="Times New Roman" w:cs="Times New Roman"/>
          <w:sz w:val="20"/>
        </w:rPr>
        <w:t xml:space="preserve"> remaining shares of common stock available for future grants under the ESPP.</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cost related to all awards granted to employees is measured at the grant date, based on the fair value of the award, and is recognized as an expense over the employee’s requisite service period. The Company estimates the fair value of each option award on the date of grant using a Black-Scholes option-pricing model that uses the assumptions stated in Note 1. Company and Significant Accounting Policies. Total stock-based compensation expense recognized on restricted stock, restricted stock units, stock options and employee stock purchase plan issuances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$318,206</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$349,699</w:t>
      </w:r>
      <w:r>
        <w:rPr>
          <w:rFonts w:ascii="Times New Roman" w:hAnsi="Times New Roman" w:eastAsia="Times New Roman" w:cs="Times New Roman"/>
          <w:sz w:val="20"/>
        </w:rPr>
        <w:t xml:space="preserve">, respectively.</w:t>
      </w:r>
    </w:p>
    <w:p>
      <w:pPr>
        <w:ind w:firstLine="720"/>
        <w:jc w:val="left"/>
        <w:spacing w:before="120" w:line="288" w:lineRule="auto" w:after="140"/>
        <w:rPr>
          <w:rFonts w:ascii="Times New Roman" w:hAnsi="Times New Roman" w:eastAsia="Times New Roman" w:cs="Times New Roman"/>
          <w:sz w:val="20"/>
        </w:rPr>
        <w:keepNext/>
      </w:pPr>
      <w:r>
        <w:rPr>
          <w:rFonts w:ascii="Times New Roman" w:hAnsi="Times New Roman" w:eastAsia="Times New Roman" w:cs="Times New Roman"/>
          <w:sz w:val="20"/>
        </w:rPr>
        <w:t xml:space="preserve">Stock-based compensation expense was recorded in the Company’s consolidated statement of operations as follows: </w:t>
      </w:r>
    </w:p>
    <w:tbl>
      <w:tblPr>
        <w:tblW w:type="dxa" w:w="10240"/>
        <w:tblLayout w:type="fixed"/>
        <w:jc w:val="left"/>
        <w:tblInd w:type="dxa" w:w="720"/>
      </w:tblPr>
      <w:tblGrid>
        <w:gridCol w:w="5440"/>
        <w:gridCol w:w="110"/>
        <w:gridCol w:w="953"/>
        <w:gridCol w:w="77"/>
        <w:gridCol w:w="80"/>
        <w:gridCol w:w="110"/>
        <w:gridCol w:w="953"/>
        <w:gridCol w:w="77"/>
        <w:gridCol w:w="80"/>
        <w:gridCol w:w="110"/>
        <w:gridCol w:w="953"/>
        <w:gridCol w:w="77"/>
        <w:gridCol w:w="80"/>
        <w:gridCol w:w="110"/>
        <w:gridCol w:w="953"/>
        <w:gridCol w:w="77"/>
      </w:tblGrid>
      <w:tr>
        <w:trPr>
          <w:trHeight w:hRule="exact" w:val="280"/>
        </w:trPr>
        <w:tc>
          <w:tcPr>
            <w:tcW w:type="dxa" w:w="54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280"/>
        </w:trPr>
        <w:tc>
          <w:tcPr>
            <w:tcW w:type="dxa" w:w="544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r>
      <w:tr>
        <w:trPr>
          <w:trHeight w:hRule="exact" w:val="280"/>
        </w:trPr>
        <w:tc>
          <w:tcPr>
            <w:tcW w:type="dxa" w:w="54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 of 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2,154</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7,018</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5,040</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10,724</w:t>
            </w:r>
          </w:p>
        </w:tc>
        <w:tc>
          <w:tcPr>
            <w:tcW w:type="dxa" w:w="77"/>
            <w:tcMar>
              <w:left w:type="dxa" w:w="0"/>
              <w:right w:type="dxa" w:w="0"/>
            </w:tcMar>
            <w:tcBorders>
              <w:top w:val="single" w:sz="8" w:space="0"/>
            </w:tcBorders>
          </w:tcPr>
          <w:p/>
        </w:tc>
      </w:tr>
      <w:tr>
        <w:trPr>
          <w:trHeight w:hRule="exact" w:val="280"/>
        </w:trPr>
        <w:tc>
          <w:tcPr>
            <w:tcW w:type="dxa" w:w="54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Sales and marketing</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5,599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29,001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11,935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45,299</w:t>
            </w:r>
          </w:p>
        </w:tc>
        <w:tc>
          <w:tcPr>
            <w:tcW w:type="dxa" w:w="77"/>
            <w:tcMar>
              <w:left w:type="dxa" w:w="0"/>
              <w:right w:type="dxa" w:w="0"/>
            </w:tcMar>
            <w:tcBorders/>
          </w:tcPr>
          <w:p/>
        </w:tc>
      </w:tr>
      <w:tr>
        <w:trPr>
          <w:trHeight w:hRule="exact" w:val="280"/>
        </w:trPr>
        <w:tc>
          <w:tcPr>
            <w:tcW w:type="dxa" w:w="544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General and administrative</w:t>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149,576</w:t>
            </w:r>
          </w:p>
        </w:tc>
        <w:tc>
          <w:tcPr>
            <w:tcW w:type="dxa" w:w="77"/>
            <w:tcMar>
              <w:left w:type="dxa" w:w="0"/>
              <w:right w:type="dxa" w:w="0"/>
            </w:tcMar>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167,282</w:t>
            </w:r>
          </w:p>
        </w:tc>
        <w:tc>
          <w:tcPr>
            <w:tcW w:type="dxa" w:w="77"/>
            <w:tcMar>
              <w:left w:type="dxa" w:w="0"/>
              <w:right w:type="dxa" w:w="0"/>
            </w:tcMar>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301,231</w:t>
            </w:r>
          </w:p>
        </w:tc>
        <w:tc>
          <w:tcPr>
            <w:tcW w:type="dxa" w:w="77"/>
            <w:tcMar>
              <w:left w:type="dxa" w:w="0"/>
              <w:right w:type="dxa" w:w="0"/>
            </w:tcMar>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293,676</w:t>
            </w:r>
          </w:p>
        </w:tc>
        <w:tc>
          <w:tcPr>
            <w:tcW w:type="dxa" w:w="77"/>
            <w:tcMar>
              <w:left w:type="dxa" w:w="0"/>
              <w:right w:type="dxa" w:w="0"/>
            </w:tcMar>
            <w:tcBorders/>
          </w:tcP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1080" w:left="990" w:right="990" w:bottom="860" w:footer="460" w:gutter="0" w:header="160"/>
          <w:headerReference r:id="rId10" w:type="default"/>
          <w:footerReference r:id="rId20" w:type="default"/>
        </w:sectPr>
      </w:pPr>
    </w:p>
    <w:p>
      <w:pPr>
        <w:tabs>
          <w:tab w:val="left" w:pos="144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8.	LOSS PER COMMON SHARE</w:t>
      </w:r>
      <w:bookmarkStart w:id="19917" w:name="NOTE_8___Earnings_Per_Common_Share"/>
      <w:bookmarkEnd w:id="19917"/>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before="120" w:after="26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Basic earnings (loss) per common share is computed by dividing the net income or loss by the basic weighted-average number of shares of common stock outstanding during each period presented. Although restricted stock is issued upon the grant of an award, the Company excludes restricted stock from the computations of weighted-average number of shares of common stock outstanding until such time as the stock vests. Diluted loss per share is computed by dividing the net income or loss by the sum of the total of the basic weighted-average number of shares of common stock outstanding plus the additional dilutive securities that could be exercised or converted into common shares during each period presented less the amount of shares that could be repurchased using the proceeds from the exercises.</w:t>
      </w:r>
    </w:p>
    <w:tbl>
      <w:tblPr>
        <w:tblW w:type="dxa" w:w="10280"/>
        <w:tblLayout w:type="fixed"/>
        <w:jc w:val="left"/>
      </w:tblPr>
      <w:tblGrid>
        <w:gridCol w:w="4760"/>
        <w:gridCol w:w="80"/>
        <w:gridCol w:w="110"/>
        <w:gridCol w:w="1113"/>
        <w:gridCol w:w="77"/>
        <w:gridCol w:w="80"/>
        <w:gridCol w:w="110"/>
        <w:gridCol w:w="1113"/>
        <w:gridCol w:w="77"/>
        <w:gridCol w:w="80"/>
        <w:gridCol w:w="110"/>
        <w:gridCol w:w="1113"/>
        <w:gridCol w:w="77"/>
        <w:gridCol w:w="80"/>
        <w:gridCol w:w="110"/>
        <w:gridCol w:w="1113"/>
        <w:gridCol w:w="77"/>
      </w:tblGrid>
      <w:tr>
        <w:trPr>
          <w:trHeight w:hRule="exact" w:val="280"/>
        </w:trPr>
        <w:tc>
          <w:tcPr>
            <w:tcW w:type="dxa" w:w="476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4760"/>
            <w:tcMar>
              <w:left w:type="dxa" w:w="60"/>
              <w:right w:type="dxa" w:w="0"/>
            </w:tcMar>
            <w:hMerge w:val="restart"/>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4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(1,992,386</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(1,647,755</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(3,822,966</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(3,692,875</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500"/>
        </w:trPr>
        <w:tc>
          <w:tcPr>
            <w:tcW w:type="dxa" w:w="4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common shares outstanding - basic and diluted</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22,277,677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22,277,677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5,837,476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5,837,476</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17,466,784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17,466,784</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5,819,883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5,819,883</w:t>
            </w:r>
          </w:p>
        </w:tc>
        <w:tc>
          <w:tcPr>
            <w:tcW w:type="dxa" w:w="77"/>
            <w:tcMar>
              <w:left w:type="dxa" w:w="0"/>
              <w:right w:type="dxa" w:w="0"/>
            </w:tcMar>
            <w:tcBorders>
              <w:bottom w:val="single" w:sz="8"/>
            </w:tcBorders>
          </w:tcPr>
          <w:p/>
        </w:tc>
      </w:tr>
      <w:tr>
        <w:trPr>
          <w:trHeight w:hRule="exact" w:val="300"/>
        </w:trPr>
        <w:tc>
          <w:tcPr>
            <w:tcW w:type="dxa" w:w="47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Basic and diluted loss per common share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(0.09</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(0.28</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(0.22</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(0.63</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ind w:firstLine="720"/>
        <w:jc w:val="left"/>
        <w:spacing w:before="18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excluded the following weighted average items from the above computation of diluted loss per common share, as their effect would be anti-dilutive:</w:t>
      </w:r>
    </w:p>
    <w:tbl>
      <w:tblPr>
        <w:tblW w:type="dxa" w:w="10240"/>
        <w:tblLayout w:type="fixed"/>
        <w:jc w:val="left"/>
      </w:tblPr>
      <w:tblGrid>
        <w:gridCol w:w="4720"/>
        <w:gridCol w:w="80"/>
        <w:gridCol w:w="1223"/>
        <w:gridCol w:w="77"/>
        <w:gridCol w:w="80"/>
        <w:gridCol w:w="1223"/>
        <w:gridCol w:w="77"/>
        <w:gridCol w:w="80"/>
        <w:gridCol w:w="1223"/>
        <w:gridCol w:w="77"/>
        <w:gridCol w:w="80"/>
        <w:gridCol w:w="1223"/>
        <w:gridCol w:w="77"/>
      </w:tblGrid>
      <w:tr>
        <w:trPr>
          <w:trHeight w:hRule="exact" w:val="280"/>
        </w:trPr>
        <w:tc>
          <w:tcPr>
            <w:tcW w:type="dxa" w:w="472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2526"/>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2526"/>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r>
      <w:tr>
        <w:trPr>
          <w:trHeight w:hRule="exact" w:val="280"/>
        </w:trPr>
        <w:tc>
          <w:tcPr>
            <w:tcW w:type="dxa" w:w="4720"/>
            <w:tcMar>
              <w:left w:type="dxa" w:w="60"/>
              <w:right w:type="dxa" w:w="0"/>
            </w:tcMar>
            <w:hMerge w:val="restart"/>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 options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1,173,705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1,029,336</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1,101,589</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1,037,257</w:t>
            </w:r>
          </w:p>
        </w:tc>
        <w:tc>
          <w:tcPr>
            <w:tcW w:type="dxa" w:w="77"/>
            <w:tcMar>
              <w:left w:type="dxa" w:w="0"/>
              <w:right w:type="dxa" w:w="0"/>
            </w:tcMar>
            <w:tcBorders>
              <w:top w:val="single" w:sz="8" w:space="0"/>
            </w:tcBorders>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Restricted stock units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212,939</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237,496</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Warrants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17,500</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514,012</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17,500</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514,976</w:t>
            </w:r>
          </w:p>
        </w:tc>
        <w:tc>
          <w:tcPr>
            <w:tcW w:type="dxa" w:w="77"/>
            <w:tcMar>
              <w:left w:type="dxa" w:w="0"/>
              <w:right w:type="dxa" w:w="0"/>
            </w:tcMar>
            <w:tcBorders/>
          </w:tcPr>
          <w:p/>
        </w:tc>
      </w:tr>
      <w:tr>
        <w:trPr>
          <w:trHeight w:hRule="exact" w:val="300"/>
        </w:trPr>
        <w:tc>
          <w:tcPr>
            <w:tcW w:type="dxa" w:w="472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excluded shares</w:t>
            </w:r>
          </w:p>
        </w:tc>
        <w:tc>
          <w:tcPr>
            <w:tcW w:type="dxa" w:w="80"/>
            <w:tcMar>
              <w:left w:type="dxa" w:w="60"/>
              <w:right w:type="dxa" w:w="0"/>
            </w:tcMar>
            <w:tcBorders/>
            <w:vAlign w:val="bottom"/>
          </w:tcPr>
          <w:p>
            <w:pPr>
              <w:jc w:val="left"/>
              <w:keepLines/>
              <w:spacing w:before="40" w:after="40" w:line="240" w:lineRule="auto"/>
              <w:rPr/>
            </w:pPr>
            <w:r>
              <w:rPr/>
            </w:r>
          </w:p>
        </w:tc>
        <w:tc>
          <w:tcPr>
            <w:tcW w:type="dxa" w:w="12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1,404,144</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2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1,543,348</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2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1,356,585</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2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1,552,233</w:t>
            </w:r>
          </w:p>
        </w:tc>
        <w:tc>
          <w:tcPr>
            <w:tcW w:type="dxa" w:w="77"/>
            <w:tcMar>
              <w:left w:type="dxa" w:w="0"/>
              <w:right w:type="dxa" w:w="0"/>
            </w:tcMar>
            <w:tcBorders>
              <w:top w:val="single" w:sz="8" w:space="0"/>
              <w:bottom w:val="double" w:sz="4"/>
            </w:tcBorders>
          </w:tcPr>
          <w:p/>
        </w:tc>
      </w:tr>
    </w:tbl>
    <w:p>
      <w:pPr>
        <w:sectPr>
          <w:pgNumType w:fmt="decimal" w:chapSep="period"/>
          <w:type w:val="continuous"/>
          <w:pgSz w:w="12240" w:h="15840"/>
          <w:pgMar w:top="860" w:left="1000" w:right="1000" w:bottom="860" w:footer="460" w:gutter="0" w:header="160"/>
          <w:headerReference r:id="rId21" w:type="default"/>
          <w:footerReference r:id="rId6"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9.	REVENUE</w:t>
      </w:r>
      <w:bookmarkStart w:id="54987" w:name="NOTE_9___Revenue"/>
      <w:bookmarkEnd w:id="54987"/>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consistently applied its accounting policies with respect to revenue to all periods presented in the unaudited consolidated financial statements contained herein. The following table illustrates the Company’s revenue by product service type:</w:t>
      </w:r>
    </w:p>
    <w:tbl>
      <w:tblPr>
        <w:tblW w:type="dxa" w:w="10240"/>
        <w:tblLayout w:type="fixed"/>
        <w:jc w:val="left"/>
      </w:tblPr>
      <w:tblGrid>
        <w:gridCol w:w="4720"/>
        <w:gridCol w:w="80"/>
        <w:gridCol w:w="110"/>
        <w:gridCol w:w="1113"/>
        <w:gridCol w:w="77"/>
        <w:gridCol w:w="80"/>
        <w:gridCol w:w="110"/>
        <w:gridCol w:w="1113"/>
        <w:gridCol w:w="77"/>
        <w:gridCol w:w="80"/>
        <w:gridCol w:w="110"/>
        <w:gridCol w:w="1113"/>
        <w:gridCol w:w="77"/>
        <w:gridCol w:w="80"/>
        <w:gridCol w:w="110"/>
        <w:gridCol w:w="1113"/>
        <w:gridCol w:w="77"/>
      </w:tblGrid>
      <w:tr>
        <w:trPr>
          <w:trHeight w:hRule="exact" w:val="280"/>
        </w:trPr>
        <w:tc>
          <w:tcPr>
            <w:tcW w:type="dxa" w:w="472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280"/>
        </w:trPr>
        <w:tc>
          <w:tcPr>
            <w:tcW w:type="dxa" w:w="4720"/>
            <w:tcMar>
              <w:left w:type="dxa" w:w="60"/>
              <w:right w:type="dxa" w:w="0"/>
            </w:tcMar>
            <w:hMerge w:val="restart"/>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Managed Services Revenue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2,991,571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4,004,850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6,858,803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7,801,515</w:t>
            </w:r>
          </w:p>
        </w:tc>
        <w:tc>
          <w:tcPr>
            <w:tcW w:type="dxa" w:w="77"/>
            <w:tcMar>
              <w:left w:type="dxa" w:w="0"/>
              <w:right w:type="dxa" w:w="0"/>
            </w:tcMar>
            <w:tcBorders/>
          </w:tcPr>
          <w:p/>
        </w:tc>
      </w:tr>
      <w:tr>
        <w:trPr>
          <w:trHeight w:hRule="exact" w:val="160"/>
        </w:trPr>
        <w:tc>
          <w:tcPr>
            <w:tcW w:type="dxa" w:w="472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7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 Fees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44,291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44,291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55,880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55,880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91,621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91,621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116,585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116,585</w:t>
            </w:r>
          </w:p>
        </w:tc>
        <w:tc>
          <w:tcPr>
            <w:tcW w:type="dxa" w:w="77"/>
            <w:tcMar>
              <w:left w:type="dxa" w:w="0"/>
              <w:right w:type="dxa" w:w="0"/>
            </w:tcMar>
            <w:tcBorders/>
          </w:tcPr>
          <w:p/>
        </w:tc>
      </w:tr>
      <w:tr>
        <w:trPr>
          <w:trHeight w:hRule="exact" w:val="300"/>
        </w:trPr>
        <w:tc>
          <w:tcPr>
            <w:tcW w:type="dxa" w:w="47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314,638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314,638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6,881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689,291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689,291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9,724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9,724</w:t>
            </w:r>
          </w:p>
        </w:tc>
        <w:tc>
          <w:tcPr>
            <w:tcW w:type="dxa" w:w="77"/>
            <w:tcMar>
              <w:left w:type="dxa" w:w="0"/>
              <w:right w:type="dxa" w:w="0"/>
            </w:tcMar>
            <w:tcBorders/>
          </w:tcPr>
          <w:p/>
        </w:tc>
      </w:tr>
      <w:tr>
        <w:trPr>
          <w:trHeight w:hRule="exact" w:val="300"/>
        </w:trPr>
        <w:tc>
          <w:tcPr>
            <w:tcW w:type="dxa" w:w="472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548,494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548,494</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39,347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39,347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1,039,588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1,039,588</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52,611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52,611</w:t>
            </w:r>
          </w:p>
        </w:tc>
        <w:tc>
          <w:tcPr>
            <w:tcW w:type="dxa" w:w="77"/>
            <w:tcMar>
              <w:left w:type="dxa" w:w="0"/>
              <w:right w:type="dxa" w:w="0"/>
            </w:tcMar>
            <w:tcBorders>
              <w:bottom w:val="single" w:sz="8"/>
            </w:tcBorders>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SaaS Services Revenue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907,423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907,423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102,108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102,108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1,820,500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1,820,500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178,920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178,920</w:t>
            </w:r>
          </w:p>
        </w:tc>
        <w:tc>
          <w:tcPr>
            <w:tcW w:type="dxa" w:w="77"/>
            <w:tcMar>
              <w:left w:type="dxa" w:w="0"/>
              <w:right w:type="dxa" w:w="0"/>
            </w:tcMar>
            <w:tcBorders/>
          </w:tcPr>
          <w:p/>
        </w:tc>
      </w:tr>
      <w:tr>
        <w:trPr>
          <w:trHeight w:hRule="exact" w:val="160"/>
        </w:trPr>
        <w:tc>
          <w:tcPr>
            <w:tcW w:type="dxa" w:w="472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Other Revenue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24,870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24,870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38,317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38,317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36,966</w:t>
            </w:r>
          </w:p>
        </w:tc>
        <w:tc>
          <w:tcPr>
            <w:tcW w:type="dxa" w:w="77"/>
            <w:tcMar>
              <w:left w:type="dxa" w:w="0"/>
              <w:right w:type="dxa" w:w="0"/>
            </w:tcMar>
            <w:tcBorders/>
          </w:tcPr>
          <w:p/>
        </w:tc>
      </w:tr>
      <w:tr>
        <w:trPr>
          <w:trHeight w:hRule="exact" w:val="300"/>
        </w:trPr>
        <w:tc>
          <w:tcPr>
            <w:tcW w:type="dxa" w:w="4720"/>
            <w:tcMar>
              <w:left w:type="dxa" w:w="54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Total Revenue</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3,923,864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4,120,960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8,717,620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8,017,401</w:t>
            </w:r>
          </w:p>
        </w:tc>
        <w:tc>
          <w:tcPr>
            <w:tcW w:type="dxa" w:w="77"/>
            <w:tcMar>
              <w:left w:type="dxa" w:w="0"/>
              <w:right w:type="dxa" w:w="0"/>
            </w:tcMar>
            <w:tcBorders>
              <w:top w:val="single" w:sz="8" w:space="0"/>
              <w:bottom w:val="double" w:sz="4"/>
            </w:tcBorders>
          </w:tcPr>
          <w:p/>
        </w:tc>
      </w:tr>
    </w:tbl>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Contract Balances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left"/>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provides information about receivables, contract assets and contract liabilities from contracts with customers.</w:t>
      </w:r>
    </w:p>
    <w:tbl>
      <w:tblPr>
        <w:tblW w:type="dxa" w:w="10240"/>
        <w:tblLayout w:type="fixed"/>
        <w:jc w:val="left"/>
      </w:tblPr>
      <w:tblGrid>
        <w:gridCol w:w="7040"/>
        <w:gridCol w:w="110"/>
        <w:gridCol w:w="1373"/>
        <w:gridCol w:w="77"/>
        <w:gridCol w:w="80"/>
        <w:gridCol w:w="110"/>
        <w:gridCol w:w="1373"/>
        <w:gridCol w:w="77"/>
      </w:tblGrid>
      <w:tr>
        <w:trPr>
          <w:trHeight w:hRule="exact" w:val="280"/>
        </w:trPr>
        <w:tc>
          <w:tcPr>
            <w:tcW w:type="dxa" w:w="70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bottom w:val="single" w:sz="8"/>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December 31, 2018</w:t>
            </w:r>
          </w:p>
        </w:tc>
        <w:tc>
          <w:tcPr>
            <w:tcMar>
              <w:left w:type="dxa" w:w="0"/>
              <w:right w:type="dxa" w:w="60"/>
            </w:tcMar>
            <w:tcBorders>
              <w:bottom w:val="single" w:sz="8"/>
            </w:tcBorders>
            <w:hMerge w:val="continue"/>
          </w:tcPr>
          <w:p/>
        </w:tc>
      </w:tr>
      <w:tr>
        <w:trPr>
          <w:trHeight w:hRule="exact" w:val="280"/>
        </w:trPr>
        <w:tc>
          <w:tcPr>
            <w:tcW w:type="dxa" w:w="70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receivable, net</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4,185,416</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7,071,815</w:t>
            </w:r>
          </w:p>
        </w:tc>
        <w:tc>
          <w:tcPr>
            <w:tcW w:type="dxa" w:w="77"/>
            <w:tcMar>
              <w:left w:type="dxa" w:w="0"/>
              <w:right w:type="dxa" w:w="0"/>
            </w:tcMar>
            <w:tcBorders>
              <w:top w:val="single" w:sz="8" w:space="0"/>
            </w:tcBorders>
          </w:tcPr>
          <w:p/>
        </w:tc>
      </w:tr>
      <w:tr>
        <w:trPr>
          <w:trHeight w:hRule="exact" w:val="280"/>
        </w:trPr>
        <w:tc>
          <w:tcPr>
            <w:tcW w:type="dxa" w:w="704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Contract liabilities (unearned revenue)</w:t>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5,834,277</w:t>
            </w:r>
          </w:p>
        </w:tc>
        <w:tc>
          <w:tcPr>
            <w:tcW w:type="dxa" w:w="77"/>
            <w:tcMar>
              <w:left w:type="dxa" w:w="0"/>
              <w:right w:type="dxa" w:w="0"/>
            </w:tcMar>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4,957,869</w:t>
            </w:r>
          </w:p>
        </w:tc>
        <w:tc>
          <w:tcPr>
            <w:tcW w:type="dxa" w:w="77"/>
            <w:tcMar>
              <w:left w:type="dxa" w:w="0"/>
              <w:right w:type="dxa" w:w="0"/>
            </w:tcMar>
            <w:tcBorders/>
          </w:tcP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does not typically engage in contracts that are longer than </w:t>
      </w:r>
      <w:r>
        <w:rPr>
          <w:rFonts w:ascii="Times New Roman" w:hAnsi="Times New Roman" w:eastAsia="Times New Roman" w:cs="Times New Roman"/>
          <w:sz w:val="20"/>
        </w:rPr>
        <w:t xml:space="preserve">one year</w:t>
      </w:r>
      <w:r>
        <w:rPr>
          <w:rFonts w:ascii="Times New Roman" w:hAnsi="Times New Roman" w:eastAsia="Times New Roman" w:cs="Times New Roman"/>
          <w:sz w:val="20"/>
        </w:rPr>
        <w:t xml:space="preserve">. Therefore, the Company did not recognize any contract assets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The Company does not capitalize costs to obtain its customer contracts given their general duration of less than one year and the amounts are not material.</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Contract receivables are recognized when the receipt of consideration is unconditional. Contract liabilities relate to advance consideration received from customers under the terms of the Company’s contracts, which will be earned in future periods.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a practical expedient, the Company expenses the costs of sales commissions that are paid to its sales force associated with obtaining contracts less than one year in length in the period incurred.</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typically enters into contracts that are one year or less in length. As such, the remaining performance obligations at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are equal to the contract liabilities disclosed above. The Company expects to recognize the full balance of the contract liabilities at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within the next year.</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3" w:type="default"/>
          <w:footerReference r:id="rId22"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10. 	BUSINESS SEGMENTS</w:t>
      </w:r>
      <w:bookmarkStart w:id="18908" w:name="NOTE_10__Business_Segments"/>
      <w:bookmarkEnd w:id="18908"/>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Company management actively evaluates operations under the following two reportable business segments: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360"/>
        <w:jc w:val="left"/>
        <w:spacing w:before="120" w:line="288" w:lineRule="auto"/>
        <w:rPr>
          <w:rFonts w:ascii="Times New Roman" w:hAnsi="Times New Roman" w:eastAsia="Times New Roman" w:cs="Times New Roman"/>
          <w:sz w:val="20"/>
          <w:rFonts w:ascii="Times New Roman" w:hAnsi="Times New Roman" w:eastAsia="Times New Roman" w:cs="Times New Roman"/>
          <w:sz w:val="20"/>
        </w:rPr>
        <w:numPr>
          <w:ilvl w:val="0"/>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i w:val="true"/>
        </w:rPr>
        <w:t xml:space="preserve">Managed Services</w:t>
      </w:r>
      <w:r>
        <w:rPr>
          <w:rFonts w:ascii="Times New Roman" w:hAnsi="Times New Roman" w:eastAsia="Times New Roman" w:cs="Times New Roman"/>
          <w:sz w:val="20"/>
        </w:rPr>
        <w:t xml:space="preserve">, which includes services to marketers to provide custom content, influencer marketing, amplification or other consulting services using the Company’s internal resources, its network of creators and/or its technology platforms.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360"/>
        <w:jc w:val="left"/>
        <w:keepNext/>
        <w:keepLines/>
        <w:spacing w:before="120" w:line="288" w:lineRule="auto"/>
        <w:rPr>
          <w:rFonts w:ascii="Times New Roman" w:hAnsi="Times New Roman" w:eastAsia="Times New Roman" w:cs="Times New Roman"/>
          <w:sz w:val="20"/>
          <w:rFonts w:ascii="Times New Roman" w:hAnsi="Times New Roman" w:eastAsia="Times New Roman" w:cs="Times New Roman"/>
          <w:sz w:val="20"/>
        </w:rPr>
        <w:numPr>
          <w:ilvl w:val="0"/>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i w:val="true"/>
        </w:rPr>
        <w:t xml:space="preserve">SaaS Services</w:t>
      </w:r>
      <w:r>
        <w:rPr>
          <w:rFonts w:ascii="Times New Roman" w:hAnsi="Times New Roman" w:eastAsia="Times New Roman" w:cs="Times New Roman"/>
          <w:sz w:val="20"/>
        </w:rPr>
        <w:t xml:space="preserve">, which includes services generated by the self-service use of the Company’s technology platforms by marketers to manage their own influencer marketing campaigns, as well as license subscriptions to access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platforms. SaaS Services are associated with the following revenue types: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firstLine="-360"/>
        <w:jc w:val="left"/>
        <w:keepNext/>
        <w:keepLines/>
        <w:spacing w:line="288" w:lineRule="auto"/>
        <w:rPr>
          <w:rFonts w:ascii="Times New Roman" w:hAnsi="Times New Roman" w:eastAsia="Times New Roman" w:cs="Times New Roman"/>
          <w:sz w:val="20"/>
          <w:rFonts w:ascii="Times New Roman" w:hAnsi="Times New Roman" w:eastAsia="Times New Roman" w:cs="Times New Roman"/>
          <w:sz w:val="20"/>
        </w:rPr>
        <w:numPr>
          <w:ilvl w:val="1"/>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Marketplace Spend Fees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firstLine="-360"/>
        <w:jc w:val="left"/>
        <w:keepNext/>
        <w:keepLines/>
        <w:spacing w:line="288" w:lineRule="auto"/>
        <w:rPr>
          <w:rFonts w:ascii="Times New Roman" w:hAnsi="Times New Roman" w:eastAsia="Times New Roman" w:cs="Times New Roman"/>
          <w:sz w:val="20"/>
          <w:rFonts w:ascii="Times New Roman" w:hAnsi="Times New Roman" w:eastAsia="Times New Roman" w:cs="Times New Roman"/>
          <w:sz w:val="20"/>
        </w:rPr>
        <w:numPr>
          <w:ilvl w:val="1"/>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Legacy Workflow Fees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firstLine="-360"/>
        <w:jc w:val="left"/>
        <w:keepNext/>
        <w:keepLines/>
        <w:spacing w:line="288" w:lineRule="auto"/>
        <w:rPr>
          <w:rFonts w:ascii="Times New Roman" w:hAnsi="Times New Roman" w:eastAsia="Times New Roman" w:cs="Times New Roman"/>
          <w:sz w:val="20"/>
          <w:rFonts w:ascii="Times New Roman" w:hAnsi="Times New Roman" w:eastAsia="Times New Roman" w:cs="Times New Roman"/>
          <w:sz w:val="20"/>
        </w:rPr>
        <w:numPr>
          <w:ilvl w:val="1"/>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License Fees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reportable segments are strategic business units that may offer similar services, but under different revenue recognition guidance. They are managed separately because each segment requires marketing and oversight strategies, however, the Company’s chief operating decision maker for each segment is currently evaluating operations on the basis of revenue only as the Company does not currently allocate specific cost of revenue, other operating costs, or assets to each segment.</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accounting policies of the segments are the same as those described in Note 1. Company and Summary of Significant Accounting Policies, except that Company management evaluates performance based primarily on gross revenue and gross margin for all revenue streams, including revenue externally reported on a net basis for the Company’s SaaS Services segment.</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left"/>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provides the Company’s measure of revenue for each reportable segment, and for other revenue. All other measures of Company profit and assets are reviewed on a consolidated basis.</w:t>
      </w:r>
    </w:p>
    <w:tbl>
      <w:tblPr>
        <w:tblW w:type="dxa" w:w="10240"/>
        <w:tblLayout w:type="fixed"/>
        <w:jc w:val="left"/>
      </w:tblPr>
      <w:tblGrid>
        <w:gridCol w:w="4720"/>
        <w:gridCol w:w="80"/>
        <w:gridCol w:w="110"/>
        <w:gridCol w:w="1113"/>
        <w:gridCol w:w="77"/>
        <w:gridCol w:w="80"/>
        <w:gridCol w:w="110"/>
        <w:gridCol w:w="1113"/>
        <w:gridCol w:w="77"/>
        <w:gridCol w:w="80"/>
        <w:gridCol w:w="110"/>
        <w:gridCol w:w="1113"/>
        <w:gridCol w:w="77"/>
        <w:gridCol w:w="80"/>
        <w:gridCol w:w="110"/>
        <w:gridCol w:w="1113"/>
        <w:gridCol w:w="77"/>
      </w:tblGrid>
      <w:tr>
        <w:trPr>
          <w:trHeight w:hRule="exact" w:val="280"/>
        </w:trPr>
        <w:tc>
          <w:tcPr>
            <w:tcW w:type="dxa" w:w="472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280"/>
        </w:trPr>
        <w:tc>
          <w:tcPr>
            <w:tcW w:type="dxa" w:w="4720"/>
            <w:tcMar>
              <w:left w:type="dxa" w:w="60"/>
              <w:right w:type="dxa" w:w="0"/>
            </w:tcMar>
            <w:hMerge w:val="restart"/>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2018</w:t>
            </w:r>
          </w:p>
        </w:tc>
        <w:tc>
          <w:tcPr>
            <w:tcMar>
              <w:left w:type="dxa" w:w="0"/>
              <w:right w:type="dxa" w:w="60"/>
            </w:tcMar>
            <w:tcBorders>
              <w:top w:val="single" w:sz="8" w:space="0"/>
              <w:bottom w:val="single" w:sz="8"/>
            </w:tcBorders>
            <w:hMerge w:val="continue"/>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Services Revenue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2,991,571</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4,004,850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6,858,803</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7,801,515</w:t>
            </w:r>
          </w:p>
        </w:tc>
        <w:tc>
          <w:tcPr>
            <w:tcW w:type="dxa" w:w="77"/>
            <w:tcMar>
              <w:left w:type="dxa" w:w="0"/>
              <w:right w:type="dxa" w:w="0"/>
            </w:tcMar>
            <w:tcBorders>
              <w:top w:val="single" w:sz="8" w:space="0"/>
            </w:tcBorders>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SaaS Services Revenue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907,423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907,423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102,108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102,108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1,820,500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1,820,500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178,920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178,920</w:t>
            </w:r>
          </w:p>
        </w:tc>
        <w:tc>
          <w:tcPr>
            <w:tcW w:type="dxa" w:w="77"/>
            <w:tcMar>
              <w:left w:type="dxa" w:w="0"/>
              <w:right w:type="dxa" w:w="0"/>
            </w:tcMar>
            <w:tcBorders/>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Revenue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24,870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24,870</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14,002</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38,317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38,317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36,966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36,966</w:t>
            </w:r>
          </w:p>
        </w:tc>
        <w:tc>
          <w:tcPr>
            <w:tcW w:type="dxa" w:w="77"/>
            <w:tcMar>
              <w:left w:type="dxa" w:w="0"/>
              <w:right w:type="dxa" w:w="0"/>
            </w:tcMar>
            <w:tcBorders>
              <w:bottom w:val="single" w:sz="8"/>
            </w:tcBorders>
          </w:tcPr>
          <w:p/>
        </w:tc>
      </w:tr>
      <w:tr>
        <w:trPr>
          <w:trHeight w:hRule="exact" w:val="300"/>
        </w:trPr>
        <w:tc>
          <w:tcPr>
            <w:tcW w:type="dxa" w:w="472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3,923,864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4,120,960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8,717,620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8,017,401</w:t>
            </w:r>
          </w:p>
        </w:tc>
        <w:tc>
          <w:tcPr>
            <w:tcW w:type="dxa" w:w="77"/>
            <w:tcMar>
              <w:left w:type="dxa" w:w="0"/>
              <w:right w:type="dxa" w:w="0"/>
            </w:tcMar>
            <w:tcBorders>
              <w:top w:val="single" w:sz="8" w:space="0"/>
              <w:bottom w:val="double" w:sz="4"/>
            </w:tcBorders>
          </w:tcPr>
          <w:p/>
        </w:tc>
      </w:tr>
    </w:tbl>
    <w:p>
      <w:pPr>
        <w:ind w:firstLine="720"/>
        <w:jc w:val="left"/>
        <w:keepNext/>
        <w:keepLines/>
        <w:spacing w:before="180"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provides the Company’s revenues as determined by the country of domicile:</w:t>
      </w:r>
    </w:p>
    <w:tbl>
      <w:tblPr>
        <w:tblW w:type="dxa" w:w="10240"/>
        <w:tblLayout w:type="fixed"/>
        <w:jc w:val="left"/>
      </w:tblPr>
      <w:tblGrid>
        <w:gridCol w:w="4720"/>
        <w:gridCol w:w="80"/>
        <w:gridCol w:w="110"/>
        <w:gridCol w:w="1113"/>
        <w:gridCol w:w="77"/>
        <w:gridCol w:w="80"/>
        <w:gridCol w:w="110"/>
        <w:gridCol w:w="1113"/>
        <w:gridCol w:w="77"/>
        <w:gridCol w:w="80"/>
        <w:gridCol w:w="110"/>
        <w:gridCol w:w="1113"/>
        <w:gridCol w:w="77"/>
        <w:gridCol w:w="80"/>
        <w:gridCol w:w="110"/>
        <w:gridCol w:w="1113"/>
        <w:gridCol w:w="77"/>
      </w:tblGrid>
      <w:tr>
        <w:trPr>
          <w:trHeight w:hRule="exact" w:val="280"/>
        </w:trPr>
        <w:tc>
          <w:tcPr>
            <w:tcW w:type="dxa" w:w="472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280"/>
        </w:trPr>
        <w:tc>
          <w:tcPr>
            <w:tcW w:type="dxa" w:w="4720"/>
            <w:tcMar>
              <w:left w:type="dxa" w:w="60"/>
              <w:right w:type="dxa" w:w="0"/>
            </w:tcMar>
            <w:hMerge w:val="restart"/>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June 30, 2018</w:t>
            </w:r>
          </w:p>
        </w:tc>
        <w:tc>
          <w:tcPr>
            <w:tcMar>
              <w:left w:type="dxa" w:w="0"/>
              <w:right w:type="dxa" w:w="60"/>
            </w:tcMar>
            <w:tcBorders>
              <w:top w:val="single" w:sz="8" w:space="0"/>
              <w:bottom w:val="single" w:sz="8"/>
            </w:tcBorders>
            <w:hMerge w:val="continue"/>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United States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3,508,997</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3,846,083</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7,784,416</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7,251,712</w:t>
            </w:r>
          </w:p>
        </w:tc>
        <w:tc>
          <w:tcPr>
            <w:tcW w:type="dxa" w:w="77"/>
            <w:tcMar>
              <w:left w:type="dxa" w:w="0"/>
              <w:right w:type="dxa" w:w="0"/>
            </w:tcMar>
            <w:tcBorders>
              <w:top w:val="single" w:sz="8" w:space="0"/>
            </w:tcBorders>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Canada</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414,867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414,867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274,877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274,877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933,204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933,204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765,689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765,689</w:t>
            </w:r>
          </w:p>
        </w:tc>
        <w:tc>
          <w:tcPr>
            <w:tcW w:type="dxa" w:w="77"/>
            <w:tcMar>
              <w:left w:type="dxa" w:w="0"/>
              <w:right w:type="dxa" w:w="0"/>
            </w:tcMar>
            <w:tcBorders/>
          </w:tcPr>
          <w:p/>
        </w:tc>
      </w:tr>
      <w:tr>
        <w:trPr>
          <w:trHeight w:hRule="exact" w:val="300"/>
        </w:trPr>
        <w:tc>
          <w:tcPr>
            <w:tcW w:type="dxa" w:w="472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3,923,864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4,120,960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8,717,620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8,017,401</w:t>
            </w:r>
          </w:p>
        </w:tc>
        <w:tc>
          <w:tcPr>
            <w:tcW w:type="dxa" w:w="77"/>
            <w:tcMar>
              <w:left w:type="dxa" w:w="0"/>
              <w:right w:type="dxa" w:w="0"/>
            </w:tcMar>
            <w:tcBorders>
              <w:top w:val="single" w:sz="8" w:space="0"/>
              <w:bottom w:val="double" w:sz="4"/>
            </w:tcBorders>
          </w:tcPr>
          <w:p/>
        </w:tc>
      </w:tr>
    </w:tbl>
    <w:p>
      <w:pPr>
        <w:jc w:val="left"/>
        <w:keepLines/>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23"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11. 	SUBSEQUENT EVENTS</w:t>
      </w:r>
      <w:bookmarkStart w:id="8357" w:name="NOTE_11__Subsequent_Events"/>
      <w:bookmarkEnd w:id="8357"/>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1, 2019, the Board authorized and approved a share repurchase program under which the Company may repurchase up to </w:t>
      </w:r>
      <w:r>
        <w:rPr>
          <w:rFonts w:ascii="Times New Roman" w:hAnsi="Times New Roman" w:eastAsia="Times New Roman" w:cs="Times New Roman"/>
          <w:sz w:val="20"/>
        </w:rPr>
        <w:t xml:space="preserve">$3,500,000</w:t>
      </w:r>
      <w:r>
        <w:rPr>
          <w:rFonts w:ascii="Times New Roman" w:hAnsi="Times New Roman" w:eastAsia="Times New Roman" w:cs="Times New Roman"/>
          <w:sz w:val="20"/>
        </w:rPr>
        <w:t xml:space="preserve"> of its common stock from time to time through December 31, 2020, subject to market conditions. As of August 9, 2019, the Company had not repurchased any shares of common stock under the share repurchase program.</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26, 2019, pursuant to the terms of the Merger Agreement, the Company issued to the former shareholders of TapInfluence </w:t>
      </w:r>
      <w:r>
        <w:rPr>
          <w:rFonts w:ascii="Times New Roman" w:hAnsi="Times New Roman" w:eastAsia="Times New Roman" w:cs="Times New Roman"/>
          <w:sz w:val="20"/>
        </w:rPr>
        <w:t xml:space="preserve">6,908,251</w:t>
      </w:r>
      <w:r>
        <w:rPr>
          <w:rFonts w:ascii="Times New Roman" w:hAnsi="Times New Roman" w:eastAsia="Times New Roman" w:cs="Times New Roman"/>
          <w:sz w:val="20"/>
        </w:rPr>
        <w:t xml:space="preserve"> shares of its common stock valued at </w:t>
      </w:r>
      <w:r>
        <w:rPr>
          <w:rFonts w:ascii="Times New Roman" w:hAnsi="Times New Roman" w:eastAsia="Times New Roman" w:cs="Times New Roman"/>
          <w:sz w:val="20"/>
        </w:rPr>
        <w:t xml:space="preserve">$3,500,000</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$0.50664</w:t>
      </w:r>
      <w:r>
        <w:rPr>
          <w:rFonts w:ascii="Times New Roman" w:hAnsi="Times New Roman" w:eastAsia="Times New Roman" w:cs="Times New Roman"/>
          <w:sz w:val="20"/>
        </w:rPr>
        <w:t xml:space="preserve"> per share, using the 30-day VWAP as reported by the Nasdaq Capital Market prior to the issuance date. The Company recognized a gain of </w:t>
      </w:r>
      <w:r>
        <w:rPr>
          <w:rFonts w:ascii="Times New Roman" w:hAnsi="Times New Roman" w:eastAsia="Times New Roman" w:cs="Times New Roman"/>
          <w:sz w:val="20"/>
        </w:rPr>
        <w:t xml:space="preserve">$752,589</w:t>
      </w:r>
      <w:r>
        <w:rPr>
          <w:rFonts w:ascii="Times New Roman" w:hAnsi="Times New Roman" w:eastAsia="Times New Roman" w:cs="Times New Roman"/>
          <w:sz w:val="20"/>
        </w:rPr>
        <w:t xml:space="preserve"> on the settlement of this acquisition cost payable as a result of the difference between the actual closing market price of the common stock of </w:t>
      </w:r>
      <w:r>
        <w:rPr>
          <w:rFonts w:ascii="Times New Roman" w:hAnsi="Times New Roman" w:eastAsia="Times New Roman" w:cs="Times New Roman"/>
          <w:sz w:val="20"/>
        </w:rPr>
        <w:t xml:space="preserve">$0.3977</w:t>
      </w:r>
      <w:r>
        <w:rPr>
          <w:rFonts w:ascii="Times New Roman" w:hAnsi="Times New Roman" w:eastAsia="Times New Roman" w:cs="Times New Roman"/>
          <w:sz w:val="20"/>
        </w:rPr>
        <w:t xml:space="preserve"> on the settlement date and the 30-day VWAP.</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31, 2019, the Company made the third and final annual installment payment under the ZenContent Stock Purchase Agreement, of </w:t>
      </w:r>
      <w:r>
        <w:rPr>
          <w:rFonts w:ascii="Times New Roman" w:hAnsi="Times New Roman" w:eastAsia="Times New Roman" w:cs="Times New Roman"/>
          <w:sz w:val="20"/>
        </w:rPr>
        <w:t xml:space="preserve">447,489</w:t>
      </w:r>
      <w:r>
        <w:rPr>
          <w:rFonts w:ascii="Times New Roman" w:hAnsi="Times New Roman" w:eastAsia="Times New Roman" w:cs="Times New Roman"/>
          <w:sz w:val="20"/>
        </w:rPr>
        <w:t xml:space="preserve"> shares of our common stock valued at </w:t>
      </w:r>
      <w:r>
        <w:rPr>
          <w:rFonts w:ascii="Times New Roman" w:hAnsi="Times New Roman" w:eastAsia="Times New Roman" w:cs="Times New Roman"/>
          <w:sz w:val="20"/>
        </w:rPr>
        <w:t xml:space="preserve">$222,223</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$0.4966</w:t>
      </w:r>
      <w:r>
        <w:rPr>
          <w:rFonts w:ascii="Times New Roman" w:hAnsi="Times New Roman" w:eastAsia="Times New Roman" w:cs="Times New Roman"/>
          <w:sz w:val="20"/>
        </w:rPr>
        <w:t xml:space="preserve"> per share, using the 30-day VWAP as reported by the Nasdaq Capital Market prior to the issuance date. The Company recognized a gain of </w:t>
      </w:r>
      <w:r>
        <w:rPr>
          <w:rFonts w:ascii="Times New Roman" w:hAnsi="Times New Roman" w:eastAsia="Times New Roman" w:cs="Times New Roman"/>
          <w:sz w:val="20"/>
        </w:rPr>
        <w:t xml:space="preserve">$41,258</w:t>
      </w:r>
      <w:r>
        <w:rPr>
          <w:rFonts w:ascii="Times New Roman" w:hAnsi="Times New Roman" w:eastAsia="Times New Roman" w:cs="Times New Roman"/>
          <w:sz w:val="20"/>
        </w:rPr>
        <w:t xml:space="preserve"> on the settlement of this acquisition cost payable as a result of the difference between the actual closing market price of the common stock of </w:t>
      </w:r>
      <w:r>
        <w:rPr>
          <w:rFonts w:ascii="Times New Roman" w:hAnsi="Times New Roman" w:eastAsia="Times New Roman" w:cs="Times New Roman"/>
          <w:sz w:val="20"/>
        </w:rPr>
        <w:t xml:space="preserve">$0.4044</w:t>
      </w:r>
      <w:r>
        <w:rPr>
          <w:rFonts w:ascii="Times New Roman" w:hAnsi="Times New Roman" w:eastAsia="Times New Roman" w:cs="Times New Roman"/>
          <w:sz w:val="20"/>
        </w:rPr>
        <w:t xml:space="preserve"> on the settlement date and the 30-day VWAP.</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21"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2 – MANAGEMENT’S DISCUSSION AND ANALYSIS OF FINANCIAL CONDITION AND RESULTS OF OPERATIONS</w:t>
      </w:r>
      <w:bookmarkStart w:id="19401" w:name="Item_2____Management_s_Discussion_and_An"/>
      <w:bookmarkEnd w:id="19401"/>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4"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Cautionary Note Regarding Forward-Looking Information</w:t>
      </w:r>
      <w:bookmarkStart w:id="60089" w:name="Cautionary_Note_Regarding_Forward_Lookin"/>
      <w:bookmarkEnd w:id="60089"/>
    </w:p>
    <w:p>
      <w:pPr>
        <w:jc w:val="left"/>
        <w:spacing w:before="120"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	</w:t>
      </w:r>
      <w:r>
        <w:rPr>
          <w:rFonts w:ascii="Times New Roman" w:hAnsi="Times New Roman" w:eastAsia="Times New Roman" w:cs="Times New Roman"/>
          <w:sz w:val="20"/>
        </w:rPr>
        <w:t xml:space="preserve">This Quarterly Report on Form 10-Q (this “Quarterly Report”) contains “forward-looking statements” intended to qualify for the safe harbor from liability established by the Private Securities Litigation Reform Act of 1995. The statements, which are not historical facts contained in this report, including those contained in Management’s Discussion and Analysis of Financial Condition and Results of Operations, and the notes to our unaudited consolidated financial statements, particularly those that utilize terminology such as “may,” “will,” “would,” “could,” “should,” “expects,” “anticipates,” “estimates,” “believes,” “intends,” “likely,” “projects,” “plans,” “pursue,” “strategy” or “future,” or the negative of these words or other words or expressions of similar meaning, are forward-looking statements. Such statements are based on currently available operating, financial and competitive information, and are subject to inherent risks, uncertainties and changes in circumstances that are difficult to predict and many of which are outside of our control. Future events and our actual results and financial condition may differ materially from those reflected in these forward-looking statements. Therefore, you should not rely on any of these forward-looking statements. Important factors that could cause these differences include, but are not limited to, the following:</w:t>
      </w:r>
    </w:p>
    <w:p>
      <w:pPr>
        <w:ind w:left="1440" w:firstLine="-360"/>
        <w:jc w:val="left"/>
        <w:spacing w:before="120"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raise additional funding;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issue shares to settle future acquisition costs payable;</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customer cancellations;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maintain and grow our business;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variability of operating results;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2"/>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establish effective disclosure controls and procedures and internal control over financial reporting;</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2"/>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regain compliance with the minimum bid price requirements for continued listing of our common stock on the Nasdaq Capital Market;</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maintain and enhance our brand;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development and introduction of new products and services;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successful integration of acquired companies, technologies and assets into our portfolio of software and services;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marketing and other business development initiatives;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competition in the industry;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general government regulation;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economic conditions;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dependence on key personnel;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ability to attract, hire and retain personnel who possess the technical skills and experience necessary to meet the service requirements of our customers;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protect our intellectual property;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potential liability with respect to actions taken by our existing and past employees;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risks associated with international sales;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and the other risks and uncertainties described in the Risk Factors section of this Quarterly Report and our Annual Report on Form 10-K for the year ended December 31, 2018.</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All forward-looking statements in this document are based on our current expectations, intentions and beliefs using information currently available to us as of the date of this Quarterly Report, and we assume no obligation to update any forward-looking statements, except as required by law.  Forward-looking statements involve known and unknown risks, uncertainties and other factors that may cause the actual results to differ materially from any future results, performance or achievements expressed or implied by such forward-looking statements.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Company Overview</w:t>
      </w:r>
      <w:bookmarkStart w:id="2033" w:name="Company_Overview"/>
      <w:bookmarkEnd w:id="2033"/>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creates and operates online marketplaces that connect marketers with content creators. Our technology brings the marketers and creators together, enabling their transactions to be completed at scale through the management of custom content workflow, creator search and targeting, bidding, analytics and payment processing.</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help power the creator economy, allowing everyone from college students and stay-at-home individuals to celebrities and accredited journalists the opportunity to monetize their content, creativity and influence through our marketers. These creators are compensated by IZEA for producing unique content such as long and short form text, videos, photos, status updates, and illustrations for marketers or distributing such content on behalf of marketers through their personal websites, blogs, and social media channels.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Marketers, including brands, agencies, and publishers, engage us to gain access to our industry expertise, technology, analytics, and network of creators. The majority of the marketers engage us to perform these services on their behalf, but they also have the ability to use our marketplaces on a self-service basis. Our technology is used for two primary purposes: the engagement of creators for influencer marketing campaigns, or the engagement of creators to create stand-alone custom content for the marketers’ own use and distribution. Marketers receive influential consumer content and engaging, shareable stories that drive awareness.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primary technology platforms, </w:t>
      </w:r>
      <w:r>
        <w:rPr>
          <w:rFonts w:ascii="Times New Roman" w:hAnsi="Times New Roman" w:eastAsia="Times New Roman" w:cs="Times New Roman"/>
          <w:sz w:val="20"/>
          <w:i w:val="true"/>
        </w:rPr>
        <w:t xml:space="preserve">The IZEA Exchange </w:t>
      </w:r>
      <w:r>
        <w:rPr>
          <w:rFonts w:ascii="Times New Roman" w:hAnsi="Times New Roman" w:eastAsia="Times New Roman" w:cs="Times New Roman"/>
          <w:sz w:val="20"/>
        </w:rPr>
        <w:t xml:space="preserve">(“</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enable transactions to be completed at scale through the management of custom content workflow, creator search and targeting, bidding, analytics, and payment processing.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are designed to provide a unified ecosystem that enables the creation and publication of multiple types of custom content through a creator’s personal websites, blogs, or social media channels including Twitter, Facebook, Instagram, and YouTube, among others. In addition to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we operate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technology platform, which we acquired in January 2015 and the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platform, which we acquired in July 2016.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was originally designed as a self-service content marketplace to replace editorial newsrooms located in the news agencies with a “virtual newsroom” of creators to produce their content needs and to handle their content workflow. After the acquisition, we began to utilize the creators in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to produce professional custom content for brands, in addition to the self-service functionality used by newspapers. The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platform is an in-house workflow tool that enables us to produce highly scalable, multi-part production of content for both e-commerce entities, as well as brand customers.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5" w:type="default"/>
        </w:sectPr>
      </w:pPr>
    </w:p>
    <w:p>
      <w:pPr>
        <w:ind w:right="200"/>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Key Components of Results of Operations</w:t>
      </w:r>
      <w:bookmarkStart w:id="7195" w:name="Key_Components_of_Results_of_Operations"/>
      <w:bookmarkEnd w:id="7195"/>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measure revenue associated with our business under two reportable business segments; Managed Services and SaaS Services. Overall consolidated results of operations are evaluated based on Revenue, Cost of Revenue, Sales and Marketing expenses, General and Administrative expenses, Depreciation and Amortization, and Other Income (Expense), net.</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generate revenue from five primary sources: (1) revenue from our managed services when a marketer (typically a brand, agency or partner) pays us to provide custom content, influencer marketing, amplification or other consulting services (“Managed Services”); (2) revenue from fees charged to self-service customers on their marketplace spend within our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(“Marketplace Spend Fees”); (3) revenue from fees charged to access the </w:t>
      </w:r>
      <w:r>
        <w:rPr>
          <w:rFonts w:ascii="Times New Roman" w:hAnsi="Times New Roman" w:eastAsia="Times New Roman" w:cs="Times New Roman"/>
          <w:sz w:val="20"/>
          <w:i w:val="true"/>
        </w:rPr>
        <w:t xml:space="preserve">IZEAx, Ebyline,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(“License Fees”); (4) revenue from transactions generated by the self-service use of our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for professional custom content (“Legacy Workflow Fees”); and (5) revenue derived from other fees such as inactivity fees, early cash-out fees, and plan fees charged to users of our platforms (“Other”).</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As discussed in more detail within “Critical Accounting Policies and Use of Estimates” and in “Note 1. Company and Summary of Significant Accounting Policies,” of this Quarterly Report, revenue from Marketplace Spend Fees and Legacy Workflow Fees is reported on a net basis and revenue from all other sources, including Managed Services, License Fees and Other are reported on a gross basis. We further categorize these sources into two primary operating segments, Managed Services and SaaS Services (which includes revenue from Marketplace Spend Fees, License Fees and Legacy Workflow Fees.)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before="1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Cost of Revenue</w:t>
      </w:r>
    </w:p>
    <w:p>
      <w:pPr>
        <w:ind w:right="28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cost of revenue consists of direct costs paid to our third-party creators who provide the custom content, influencer marketing or amplification services for our Managed Service customers where we report revenue on a gross basis. It also includes internal costs related to our campaign fulfillment and SaaS support departments.  These costs include salaries, bonuses, commissions, stock-based compensation, employee benefit costs, and miscellaneous departmental costs related to the personnel who are primarily responsible for providing support to our customers and ultimately fulfillment of our obligations under our contracts with customers. Where appropriate, we capitalize costs that were incurred with software that is developed or acquired for our revenue supporting platforms and amortize these costs over the estimated useful lives of those platforms. This amortization is separately stated in Depreciation and amortization on our consolidated statements of operations.</w:t>
      </w:r>
    </w:p>
    <w:p>
      <w:pPr>
        <w:jc w:val="left"/>
        <w:spacing w:before="11"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Sales and Marketing</w:t>
      </w:r>
      <w:r>
        <w:rPr>
          <w:rFonts w:ascii="Times New Roman" w:hAnsi="Times New Roman" w:eastAsia="Times New Roman" w:cs="Times New Roman"/>
          <w:sz w:val="20"/>
        </w:rPr>
      </w:r>
    </w:p>
    <w:p>
      <w:pPr>
        <w:ind w:right="28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sales and marketing expense consists primarily of salaries, bonuses, commissions, stock-based compensation, employee benefit costs, travel and miscellaneous departmental costs for our sales and sales support personnel, as well as marketing expenses such as brand marketing, public relation events, trade shows and marketing materials, and travel expenses.</w:t>
      </w:r>
    </w:p>
    <w:p>
      <w:pPr>
        <w:jc w:val="left"/>
        <w:spacing w:before="11"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General and Administrative</w:t>
      </w:r>
      <w:r>
        <w:rPr>
          <w:rFonts w:ascii="Times New Roman" w:hAnsi="Times New Roman" w:eastAsia="Times New Roman" w:cs="Times New Roman"/>
          <w:sz w:val="20"/>
          <w:b w:val="true"/>
        </w:rPr>
      </w:r>
    </w:p>
    <w:p>
      <w:pPr>
        <w:ind w:right="28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general and administrative expense consists primarily of salaries, bonuses, commissions, stock-based compensation, employee benefit costs, and miscellaneous departmental costs related to our executive, finance, legal, human resources, and other administrative personnel. It also includes travel, public company and investor relations expenses, as well as accounting and legal professional services fees, leasehold facilities­ related costs, and other corporate­ related expenses. General and administrative expense also includes our technology and development costs consisting primarily of our payroll costs for our internal engineers and contractors responsible for developing, maintaining and improving our technology, along with hosting and software subscription costs. These costs are expensed as incurred, except to the extent that they are associated with internal use software that qualifies for capitalization, which are then recorded as software development costs in the consolidated balance sheet. We also capitalize costs that are related to our acquired intangible assets. Depreciation and amortization related to these costs are separately stated under depreciation and amortization. General and administrative expense also includes current period gains and losses on costs previously accrued related to our acquisitions.</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Depreciation and Amortization</w:t>
      </w:r>
    </w:p>
    <w:p>
      <w:pPr>
        <w:ind w:right="28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consists primarily of amortization on our internal use software and acquired intangible assets from our business acquisitions. To a lesser extent, we also have depreciation and amortization on equipment and leasehold improvements used by our personnel. Costs are amortized or depreciated over the estimated useful lives of the associated assets.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Other (Expense) Income</w:t>
      </w:r>
    </w:p>
    <w:p>
      <w:pPr>
        <w:ind w:firstLine="720" w:right="3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Interest expense is mainly related to the imputed interest on our acquisition costs payable and interest when we use our secured credit facility.</w:t>
      </w:r>
    </w:p>
    <w:p>
      <w:pPr>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w:t>
      </w:r>
      <w:r>
        <w:rPr>
          <w:rFonts w:ascii="Times New Roman" w:hAnsi="Times New Roman" w:eastAsia="Times New Roman" w:cs="Times New Roman"/>
          <w:sz w:val="20"/>
        </w:rPr>
        <w:t xml:space="preserve">Other income consists primarily of interest income for interest earned on our cash and cash equivalent balances and foreign currency exchange gains and losses on foreign currency transactions, primarily related to the Canadian Dollar.</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2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Results of Operations for the </w:t>
      </w:r>
      <w:r>
        <w:rPr>
          <w:rFonts w:ascii="Times New Roman" w:hAnsi="Times New Roman" w:eastAsia="Times New Roman" w:cs="Times New Roman"/>
          <w:sz w:val="20"/>
          <w:b w:val="true"/>
        </w:rPr>
        <w:t xml:space="preserve">Three Months Ended</w:t>
      </w:r>
      <w:r>
        <w:rPr>
          <w:rFonts w:ascii="Times New Roman" w:hAnsi="Times New Roman" w:eastAsia="Times New Roman" w:cs="Times New Roman"/>
          <w:sz w:val="20"/>
          <w:b w:val="true"/>
        </w:rPr>
        <w:t xml:space="preserve"> </w:t>
      </w:r>
      <w:r>
        <w:rPr>
          <w:rFonts w:ascii="Times New Roman" w:hAnsi="Times New Roman" w:eastAsia="Times New Roman" w:cs="Times New Roman"/>
          <w:sz w:val="20"/>
          <w:b w:val="true"/>
        </w:rPr>
        <w:t xml:space="preserve">June 30, 2019</w:t>
      </w:r>
      <w:r>
        <w:rPr>
          <w:rFonts w:ascii="Times New Roman" w:hAnsi="Times New Roman" w:eastAsia="Times New Roman" w:cs="Times New Roman"/>
          <w:sz w:val="20"/>
          <w:b w:val="true"/>
        </w:rPr>
        <w:t xml:space="preserve"> and </w:t>
      </w:r>
      <w:r>
        <w:rPr>
          <w:rFonts w:ascii="Times New Roman" w:hAnsi="Times New Roman" w:eastAsia="Times New Roman" w:cs="Times New Roman"/>
          <w:sz w:val="20"/>
          <w:b w:val="true"/>
        </w:rPr>
        <w:t xml:space="preserve">2018</w:t>
      </w:r>
      <w:bookmarkStart w:id="61478" w:name="Comparison_of_Three_Months_Ended"/>
      <w:bookmarkEnd w:id="61478"/>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a summary of our consolidated statements of operations and the change between the periods:</w:t>
      </w:r>
    </w:p>
    <w:tbl>
      <w:tblPr>
        <w:tblW w:type="dxa" w:w="10240"/>
        <w:tblLayout w:type="fixed"/>
        <w:jc w:val="justify"/>
      </w:tblPr>
      <w:tblGrid>
        <w:gridCol w:w="5480"/>
        <w:gridCol w:w="110"/>
        <w:gridCol w:w="933"/>
        <w:gridCol w:w="77"/>
        <w:gridCol w:w="80"/>
        <w:gridCol w:w="110"/>
        <w:gridCol w:w="953"/>
        <w:gridCol w:w="77"/>
        <w:gridCol w:w="80"/>
        <w:gridCol w:w="110"/>
        <w:gridCol w:w="933"/>
        <w:gridCol w:w="77"/>
        <w:gridCol w:w="80"/>
        <w:gridCol w:w="1140"/>
      </w:tblGrid>
      <w:tr>
        <w:trPr>
          <w:trHeight w:hRule="exact" w:val="280"/>
        </w:trPr>
        <w:tc>
          <w:tcPr>
            <w:tcW w:type="dxa" w:w="54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left"/>
              <w:keepNext/>
              <w:keepLines/>
              <w:spacing w:before="40" w:after="40" w:line="240" w:lineRule="auto"/>
              <w:rPr/>
            </w:pPr>
            <w:r>
              <w:rPr/>
            </w:r>
          </w:p>
        </w:tc>
        <w:tc>
          <w:tcPr>
            <w:tcMar>
              <w:left w:type="dxa" w:w="6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54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r>
      <w:tr>
        <w:trPr>
          <w:trHeight w:hRule="exact" w:val="280"/>
        </w:trPr>
        <w:tc>
          <w:tcPr>
            <w:tcW w:type="dxa" w:w="54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3,923,864</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4,120,960</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(197,096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r>
      <w:tr>
        <w:trPr>
          <w:trHeight w:hRule="exact" w:val="300"/>
        </w:trPr>
        <w:tc>
          <w:tcPr>
            <w:tcW w:type="dxa" w:w="54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54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Costs and expenses: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5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 of revenue (exclusive of amortization)</w:t>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1,817,659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1,817,659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1,930,298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1,930,298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(112,639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(112,639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w:t>
            </w:r>
          </w:p>
        </w:tc>
      </w:tr>
      <w:tr>
        <w:trPr>
          <w:trHeight w:hRule="exact" w:val="280"/>
        </w:trPr>
        <w:tc>
          <w:tcPr>
            <w:tcW w:type="dxa" w:w="5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Sales and marketing</w:t>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1,362,242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1,362,242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1,735,596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1,735,596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(373,354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(373,354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w:t>
            </w:r>
          </w:p>
        </w:tc>
      </w:tr>
      <w:tr>
        <w:trPr>
          <w:trHeight w:hRule="exact" w:val="280"/>
        </w:trPr>
        <w:tc>
          <w:tcPr>
            <w:tcW w:type="dxa" w:w="5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General and administrative</w:t>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2,232,305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2,232,305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1,970,610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1,970,610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261,695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261,695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w:t>
            </w:r>
          </w:p>
        </w:tc>
      </w:tr>
      <w:tr>
        <w:trPr>
          <w:trHeight w:hRule="exact" w:val="280"/>
        </w:trPr>
        <w:tc>
          <w:tcPr>
            <w:tcW w:type="dxa" w:w="5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0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448,105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448,105</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210,691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210,691</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237,414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237,414</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w:t>
            </w:r>
          </w:p>
        </w:tc>
      </w:tr>
      <w:tr>
        <w:trPr>
          <w:trHeight w:hRule="exact" w:val="280"/>
        </w:trPr>
        <w:tc>
          <w:tcPr>
            <w:tcW w:type="dxa" w:w="548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costs and expenses</w:t>
            </w:r>
          </w:p>
        </w:tc>
        <w:tc>
          <w:tcPr>
            <w:tcW w:type="dxa" w:w="104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5,860,311</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5,860,311</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5,847,195</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5,847,195</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13,116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13,116</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4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Loss from operations</w:t>
            </w:r>
          </w:p>
        </w:tc>
        <w:tc>
          <w:tcPr>
            <w:tcW w:type="dxa" w:w="104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(1,936,447</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(1,936,447</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(1,726,235</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(1,726,235</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(210,212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(210,212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w:t>
            </w:r>
          </w:p>
        </w:tc>
      </w:tr>
      <w:tr>
        <w:trPr>
          <w:trHeight w:hRule="exact" w:val="280"/>
        </w:trPr>
        <w:tc>
          <w:tcPr>
            <w:tcW w:type="dxa" w:w="54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(expense) income:</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5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 net</w:t>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(86,737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(86,737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(35,403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(35,403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(51,334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(51,334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145%</w:t>
            </w:r>
          </w:p>
        </w:tc>
      </w:tr>
      <w:tr>
        <w:trPr>
          <w:trHeight w:hRule="exact" w:val="280"/>
        </w:trPr>
        <w:tc>
          <w:tcPr>
            <w:tcW w:type="dxa" w:w="5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 net</w:t>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113,801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113,801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(113,801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(113,801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r>
      <w:tr>
        <w:trPr>
          <w:trHeight w:hRule="exact" w:val="280"/>
        </w:trPr>
        <w:tc>
          <w:tcPr>
            <w:tcW w:type="dxa" w:w="5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net</w:t>
            </w:r>
          </w:p>
        </w:tc>
        <w:tc>
          <w:tcPr>
            <w:tcW w:type="dxa" w:w="10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30,798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30,798</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82</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30,716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30,716</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37,459%</w:t>
            </w:r>
          </w:p>
        </w:tc>
      </w:tr>
      <w:tr>
        <w:trPr>
          <w:trHeight w:hRule="exact" w:val="280"/>
        </w:trPr>
        <w:tc>
          <w:tcPr>
            <w:tcW w:type="dxa" w:w="548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other (expense) income, net</w:t>
            </w:r>
          </w:p>
        </w:tc>
        <w:tc>
          <w:tcPr>
            <w:tcW w:type="dxa" w:w="10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(55,939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(55,939</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78,480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78,480</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(134,419</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(134,419</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w:t>
            </w:r>
          </w:p>
        </w:tc>
      </w:tr>
      <w:tr>
        <w:trPr>
          <w:trHeight w:hRule="exact" w:val="300"/>
        </w:trPr>
        <w:tc>
          <w:tcPr>
            <w:tcW w:type="dxa" w:w="5480"/>
            <w:tcMar>
              <w:left w:type="dxa" w:w="78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(1,992,386</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(1,647,755</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(344,631</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40"/>
            <w:tcMar>
              <w:left w:type="dxa" w:w="60"/>
              <w:right w:type="dxa" w:w="60"/>
            </w:tcMar>
            <w:tcBorders>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w:t>
            </w:r>
          </w:p>
        </w:tc>
      </w:tr>
    </w:tbl>
    <w:p>
      <w:pPr>
        <w:jc w:val="both"/>
        <w:spacing w:before="60"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w:t>
      </w:r>
    </w:p>
    <w:p>
      <w:pPr>
        <w:jc w:val="left"/>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illustrates our revenue by type, the percentage of total revenue by type, and the change between the periods:</w:t>
      </w:r>
    </w:p>
    <w:tbl>
      <w:tblPr>
        <w:tblW w:type="dxa" w:w="10240"/>
        <w:tblLayout w:type="fixed"/>
        <w:jc w:val="left"/>
      </w:tblPr>
      <w:tblGrid>
        <w:gridCol w:w="3960"/>
        <w:gridCol w:w="110"/>
        <w:gridCol w:w="933"/>
        <w:gridCol w:w="77"/>
        <w:gridCol w:w="80"/>
        <w:gridCol w:w="800"/>
        <w:gridCol w:w="80"/>
        <w:gridCol w:w="110"/>
        <w:gridCol w:w="933"/>
        <w:gridCol w:w="77"/>
        <w:gridCol w:w="80"/>
        <w:gridCol w:w="800"/>
        <w:gridCol w:w="80"/>
        <w:gridCol w:w="110"/>
        <w:gridCol w:w="933"/>
        <w:gridCol w:w="77"/>
        <w:gridCol w:w="80"/>
        <w:gridCol w:w="920"/>
      </w:tblGrid>
      <w:tr>
        <w:trPr>
          <w:trHeight w:hRule="exact" w:val="280"/>
        </w:trPr>
        <w:tc>
          <w:tcPr>
            <w:tcW w:type="dxa" w:w="39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left"/>
              <w:keepNext/>
              <w:keepLines/>
              <w:spacing w:before="40" w:after="40" w:line="240" w:lineRule="auto"/>
              <w:rPr/>
            </w:pPr>
            <w:r>
              <w:rPr/>
            </w:r>
          </w:p>
        </w:tc>
        <w:tc>
          <w:tcPr>
            <w:tcMar>
              <w:left w:type="dxa" w:w="6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92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39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hMerge w:val="continue"/>
            <w:tcBorders>
              <w:top w:val="single" w:sz="8" w:space="0"/>
            </w:tcBorders>
          </w:tcPr>
          <w:p/>
        </w:tc>
        <w:tc>
          <w:tcPr>
            <w:tcW w:type="dxa" w:w="0"/>
            <w:tcMar>
              <w:left w:type="dxa" w:w="0"/>
              <w:right w:type="dxa" w:w="0"/>
            </w:tcMar>
            <w:hMerge w:val="continue"/>
            <w:tcBorders>
              <w:top w:val="single" w:sz="8" w:space="0"/>
            </w:tcBorders>
            <w:vAlign w:val="bottom"/>
          </w:tcPr>
          <w:p>
            <w:pPr>
              <w:jc w:val="left"/>
              <w:keepNext/>
              <w:keepLines/>
              <w:spacing w:before="40" w:after="40" w:line="240" w:lineRule="auto"/>
              <w:rPr/>
            </w:pPr>
            <w:r>
              <w:rPr/>
            </w: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80"/>
            <w:tcMar>
              <w:left w:type="dxa" w:w="0"/>
              <w:right w:type="dxa" w:w="0"/>
            </w:tcMar>
            <w:hMerge w:val="restart"/>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hMerge w:val="continue"/>
            <w:tcBorders>
              <w:top w:val="single" w:sz="8" w:space="0"/>
            </w:tcBorders>
          </w:tcPr>
          <w:p/>
        </w:tc>
        <w:tc>
          <w:tcPr>
            <w:tcW w:type="dxa" w:w="0"/>
            <w:tcMar>
              <w:left w:type="dxa" w:w="0"/>
              <w:right w:type="dxa" w:w="0"/>
            </w:tcMar>
            <w:hMerge w:val="continue"/>
            <w:tcBorders>
              <w:top w:val="single" w:sz="8" w:space="0"/>
            </w:tcBorders>
            <w:vAlign w:val="bottom"/>
          </w:tcPr>
          <w:p>
            <w:pPr>
              <w:jc w:val="left"/>
              <w:keepNext/>
              <w:keepLines/>
              <w:spacing w:before="40" w:after="40" w:line="240" w:lineRule="auto"/>
              <w:rPr/>
            </w:pPr>
            <w:r>
              <w:rPr/>
            </w: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92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r>
      <w:tr>
        <w:trPr>
          <w:trHeight w:hRule="exact" w:val="300"/>
        </w:trPr>
        <w:tc>
          <w:tcPr>
            <w:tcW w:type="dxa" w:w="39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Managed Services 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2,991,571</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8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76%</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4,004,850</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8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(1,013,279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9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w:t>
            </w:r>
          </w:p>
        </w:tc>
      </w:tr>
      <w:tr>
        <w:trPr>
          <w:trHeight w:hRule="exact" w:val="300"/>
        </w:trPr>
        <w:tc>
          <w:tcPr>
            <w:tcW w:type="dxa" w:w="39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2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39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Legacy Workflow Fees</w:t>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44,291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44,291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55,880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55,880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(11,589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9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w:t>
            </w:r>
          </w:p>
        </w:tc>
      </w:tr>
      <w:tr>
        <w:trPr>
          <w:trHeight w:hRule="exact" w:val="300"/>
        </w:trPr>
        <w:tc>
          <w:tcPr>
            <w:tcW w:type="dxa" w:w="39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w:t>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314,638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314,638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6,881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307,757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307,757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4,473%</w:t>
            </w:r>
          </w:p>
        </w:tc>
      </w:tr>
      <w:tr>
        <w:trPr>
          <w:trHeight w:hRule="exact" w:val="300"/>
        </w:trPr>
        <w:tc>
          <w:tcPr>
            <w:tcW w:type="dxa" w:w="39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License Fees</w:t>
            </w:r>
          </w:p>
        </w:tc>
        <w:tc>
          <w:tcPr>
            <w:tcW w:type="dxa" w:w="10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548,494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548,494</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39,347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39,347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509,147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509,147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2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1,294%</w:t>
            </w:r>
          </w:p>
        </w:tc>
      </w:tr>
      <w:tr>
        <w:trPr>
          <w:trHeight w:hRule="exact" w:val="300"/>
        </w:trPr>
        <w:tc>
          <w:tcPr>
            <w:tcW w:type="dxa" w:w="39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SaaS Services Revenue</w:t>
            </w:r>
          </w:p>
        </w:tc>
        <w:tc>
          <w:tcPr>
            <w:tcW w:type="dxa" w:w="104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907,423</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907,423</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102,108</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102,108</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805,315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805,315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789%</w:t>
            </w:r>
          </w:p>
        </w:tc>
      </w:tr>
      <w:tr>
        <w:trPr>
          <w:trHeight w:hRule="exact" w:val="300"/>
        </w:trPr>
        <w:tc>
          <w:tcPr>
            <w:tcW w:type="dxa" w:w="39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20"/>
            <w:tcMar>
              <w:left w:type="dxa" w:w="60"/>
              <w:right w:type="dxa" w:w="60"/>
            </w:tcMar>
            <w:tcBorders>
              <w:top w:val="single" w:sz="8" w:space="0"/>
            </w:tcBorders>
            <w:vAlign w:val="bottom"/>
          </w:tcPr>
          <w:p>
            <w:pPr>
              <w:jc w:val="left"/>
              <w:keepNext/>
              <w:keepLines/>
              <w:spacing w:before="40" w:after="40" w:line="240" w:lineRule="auto"/>
              <w:rPr/>
            </w:pPr>
            <w:r>
              <w:rPr/>
            </w:r>
          </w:p>
        </w:tc>
      </w:tr>
      <w:tr>
        <w:trPr>
          <w:trHeight w:hRule="exact" w:val="300"/>
        </w:trPr>
        <w:tc>
          <w:tcPr>
            <w:tcW w:type="dxa" w:w="39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Other Revenue</w:t>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24,870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24,870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8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10,868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10,868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w:t>
            </w:r>
          </w:p>
        </w:tc>
      </w:tr>
      <w:tr>
        <w:trPr>
          <w:trHeight w:hRule="exact" w:val="300"/>
        </w:trPr>
        <w:tc>
          <w:tcPr>
            <w:tcW w:type="dxa" w:w="3960"/>
            <w:tcMar>
              <w:left w:type="dxa" w:w="54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Total Revenue</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3,923,864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80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4,120,960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80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3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(197,096</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92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Historically, we have invested the majority of our time and resources in our Managed Services business, which provides the majority of our revenue. Our acquisitions of Ebyline and ZenContent allowed us to expand our product offerings to provide custom content in addition to and in combination with our influencer marketing campaigns to expand our Managed Services. Our July 2018 merger with TapInfluence provided a springboard for the SaaS Services segment and an immediate increase of market share in the Marketplace Spend Fees and License Fees on SaaS Services.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Managed Services</w:t>
      </w:r>
      <w:r>
        <w:rPr>
          <w:rFonts w:ascii="Times New Roman" w:hAnsi="Times New Roman" w:eastAsia="Times New Roman" w:cs="Times New Roman"/>
          <w:sz w:val="20"/>
        </w:rPr>
        <w:t xml:space="preserve"> revenue decreased by </w:t>
      </w:r>
      <w:r>
        <w:rPr>
          <w:rFonts w:ascii="Times New Roman" w:hAnsi="Times New Roman" w:eastAsia="Times New Roman" w:cs="Times New Roman"/>
          <w:sz w:val="20"/>
        </w:rPr>
        <w:t xml:space="preserve">25%</w:t>
      </w:r>
      <w:r>
        <w:rPr>
          <w:rFonts w:ascii="Times New Roman" w:hAnsi="Times New Roman" w:eastAsia="Times New Roman" w:cs="Times New Roman"/>
          <w:sz w:val="20"/>
        </w:rPr>
        <w:t xml:space="preserve"> over the same period in 2018, due to a significant decrease in our front-line sales personnel.</w:t>
      </w:r>
    </w:p>
    <w:p>
      <w:pPr>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SaaS Services</w:t>
      </w:r>
      <w:r>
        <w:rPr>
          <w:rFonts w:ascii="Times New Roman" w:hAnsi="Times New Roman" w:eastAsia="Times New Roman" w:cs="Times New Roman"/>
          <w:sz w:val="20"/>
        </w:rPr>
        <w:t xml:space="preserve"> revenue is generated by the self-service use of our technology platforms by marketers to manage their own content workflow and influencer marketing campaigns. It consists of fees earned on the marketer’s spend within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Ebyline </w:t>
      </w:r>
      <w:r>
        <w:rPr>
          <w:rFonts w:ascii="Times New Roman" w:hAnsi="Times New Roman" w:eastAsia="Times New Roman" w:cs="Times New Roman"/>
          <w:sz w:val="20"/>
        </w:rPr>
        <w:t xml:space="preserve">platforms, along with the license and support fees to access the platform services.</w:t>
      </w:r>
    </w:p>
    <w:p>
      <w:pPr>
        <w:ind w:left="720" w:firstLine="-360"/>
        <w:jc w:val="left"/>
        <w:keepLines/>
        <w:spacing w:before="120" w:line="288" w:lineRule="auto"/>
        <w:rPr>
          <w:rFonts w:ascii="Times New Roman" w:hAnsi="Times New Roman" w:eastAsia="Times New Roman" w:cs="Times New Roman"/>
          <w:sz w:val="20"/>
          <w:i w:val="true"/>
          <w:rFonts w:ascii="Times New Roman" w:hAnsi="Times New Roman" w:eastAsia="Times New Roman" w:cs="Times New Roman"/>
          <w:sz w:val="20"/>
          <w:i w:val="true"/>
        </w:rPr>
        <w:numPr>
          <w:ilvl w:val="0"/>
          <w:numId w:val="241"/>
        </w:numPr>
      </w:pPr>
      <w:r>
        <w:rPr>
          <w:rFonts w:ascii="Times New Roman" w:hAnsi="Times New Roman" w:eastAsia="Times New Roman" w:cs="Times New Roman"/>
          <w:sz w:val="20"/>
          <w:i w:val="true"/>
        </w:rPr>
        <w:t xml:space="preserve"/>
      </w:r>
      <w:r>
        <w:rPr>
          <w:rFonts w:ascii="Times New Roman" w:hAnsi="Times New Roman" w:eastAsia="Times New Roman" w:cs="Times New Roman"/>
          <w:sz w:val="20"/>
          <w:i w:val="true"/>
        </w:rPr>
        <w:t xml:space="preserve">Legacy Workflow Fees</w:t>
      </w:r>
      <w:r>
        <w:rPr>
          <w:rFonts w:ascii="Times New Roman" w:hAnsi="Times New Roman" w:eastAsia="Times New Roman" w:cs="Times New Roman"/>
          <w:sz w:val="20"/>
        </w:rPr>
        <w:t xml:space="preserve"> revenue represents self-service transactions through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for professional custom content workflow. This revenue is declining quarter over quarter due to the ongoing consolidation and cutbacks in the newspaper industry. Revenue from Legacy Workflow Fees transactions decreased to </w:t>
      </w:r>
      <w:r>
        <w:rPr>
          <w:rFonts w:ascii="Times New Roman" w:hAnsi="Times New Roman" w:eastAsia="Times New Roman" w:cs="Times New Roman"/>
          <w:sz w:val="20"/>
        </w:rPr>
        <w:t xml:space="preserve">$44,291</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$55,880</w:t>
      </w:r>
      <w:r>
        <w:rPr>
          <w:rFonts w:ascii="Times New Roman" w:hAnsi="Times New Roman" w:eastAsia="Times New Roman" w:cs="Times New Roman"/>
          <w:sz w:val="20"/>
        </w:rPr>
        <w:t xml:space="preserve"> for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With the addition of TapInfluence and its SaaS revenue model and our modifications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which now allows marketers to purchase custom content, in addition to sponsored posts, we have shifted our focus away from this platform and its content generated primarily for newspapers and traditional publishers, and expect Legacy Workflow Fees revenue to continue to decline going forward.</w:t>
      </w:r>
    </w:p>
    <w:p>
      <w:pPr>
        <w:ind w:left="720" w:firstLine="-360"/>
        <w:jc w:val="left"/>
        <w:spacing w:before="120" w:line="288" w:lineRule="auto"/>
        <w:rPr>
          <w:rFonts w:ascii="Times New Roman" w:hAnsi="Times New Roman" w:eastAsia="Times New Roman" w:cs="Times New Roman"/>
          <w:sz w:val="20"/>
          <w:i w:val="true"/>
          <w:rFonts w:ascii="Times New Roman" w:hAnsi="Times New Roman" w:eastAsia="Times New Roman" w:cs="Times New Roman"/>
          <w:sz w:val="20"/>
          <w:i w:val="true"/>
        </w:rPr>
        <w:numPr>
          <w:ilvl w:val="0"/>
          <w:numId w:val="241"/>
        </w:numPr>
      </w:pPr>
      <w:r>
        <w:rPr>
          <w:rFonts w:ascii="Times New Roman" w:hAnsi="Times New Roman" w:eastAsia="Times New Roman" w:cs="Times New Roman"/>
          <w:sz w:val="20"/>
          <w:i w:val="true"/>
        </w:rPr>
        <w:t xml:space="preserve"/>
      </w:r>
      <w:r>
        <w:rPr>
          <w:rFonts w:ascii="Times New Roman" w:hAnsi="Times New Roman" w:eastAsia="Times New Roman" w:cs="Times New Roman"/>
          <w:sz w:val="20"/>
          <w:i w:val="true"/>
        </w:rPr>
        <w:t xml:space="preserve">Marketplace Spend Fees</w:t>
      </w:r>
      <w:r>
        <w:rPr>
          <w:rFonts w:ascii="Times New Roman" w:hAnsi="Times New Roman" w:eastAsia="Times New Roman" w:cs="Times New Roman"/>
          <w:sz w:val="20"/>
        </w:rPr>
        <w:t xml:space="preserve"> revenue primarily results from marketers and partners using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beginning in July 2018, the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on a SaaS basis to distribute content for marketing and influencer marketing campaigns. Revenue from Marketplace Spend Fees increased by </w:t>
      </w:r>
      <w:r>
        <w:rPr>
          <w:rFonts w:ascii="Times New Roman" w:hAnsi="Times New Roman" w:eastAsia="Times New Roman" w:cs="Times New Roman"/>
          <w:sz w:val="20"/>
        </w:rPr>
        <w:t xml:space="preserve">$307,757</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when compared with the same period of 2018, primarily as a result of our merger with TapInfluence. Revenue from Marketplace Spend Fees represents our net margins received on this business.</w:t>
      </w:r>
    </w:p>
    <w:p>
      <w:pPr>
        <w:ind w:left="720" w:firstLine="-360"/>
        <w:jc w:val="left"/>
        <w:spacing w:before="120" w:line="288" w:lineRule="auto"/>
        <w:rPr>
          <w:rFonts w:ascii="Times New Roman" w:hAnsi="Times New Roman" w:eastAsia="Times New Roman" w:cs="Times New Roman"/>
          <w:sz w:val="20"/>
          <w:i w:val="true"/>
          <w:rFonts w:ascii="Times New Roman" w:hAnsi="Times New Roman" w:eastAsia="Times New Roman" w:cs="Times New Roman"/>
          <w:sz w:val="20"/>
          <w:i w:val="true"/>
        </w:rPr>
        <w:numPr>
          <w:ilvl w:val="0"/>
          <w:numId w:val="241"/>
        </w:numPr>
      </w:pPr>
      <w:r>
        <w:rPr>
          <w:rFonts w:ascii="Times New Roman" w:hAnsi="Times New Roman" w:eastAsia="Times New Roman" w:cs="Times New Roman"/>
          <w:sz w:val="20"/>
          <w:i w:val="true"/>
        </w:rPr>
        <w:t xml:space="preserve"/>
      </w:r>
      <w:r>
        <w:rPr>
          <w:rFonts w:ascii="Times New Roman" w:hAnsi="Times New Roman" w:eastAsia="Times New Roman" w:cs="Times New Roman"/>
          <w:sz w:val="20"/>
          <w:i w:val="true"/>
        </w:rPr>
        <w:t xml:space="preserve">License Fees </w:t>
      </w:r>
      <w:r>
        <w:rPr>
          <w:rFonts w:ascii="Times New Roman" w:hAnsi="Times New Roman" w:eastAsia="Times New Roman" w:cs="Times New Roman"/>
          <w:sz w:val="20"/>
        </w:rPr>
        <w:t xml:space="preserve">revenue are generated primarily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 License Fees revenue increased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$548,494</w:t>
      </w:r>
      <w:r>
        <w:rPr>
          <w:rFonts w:ascii="Times New Roman" w:hAnsi="Times New Roman" w:eastAsia="Times New Roman" w:cs="Times New Roman"/>
          <w:sz w:val="20"/>
        </w:rPr>
        <w:t xml:space="preserve">, primarily as a result of the merger with TapInfluence, compared to </w:t>
      </w:r>
      <w:r>
        <w:rPr>
          <w:rFonts w:ascii="Times New Roman" w:hAnsi="Times New Roman" w:eastAsia="Times New Roman" w:cs="Times New Roman"/>
          <w:sz w:val="20"/>
        </w:rPr>
        <w:t xml:space="preserve">$39,347</w:t>
      </w:r>
      <w:r>
        <w:rPr>
          <w:rFonts w:ascii="Times New Roman" w:hAnsi="Times New Roman" w:eastAsia="Times New Roman" w:cs="Times New Roman"/>
          <w:sz w:val="20"/>
        </w:rPr>
        <w:t xml:space="preserve"> in the same period of the prior year.</w:t>
      </w:r>
    </w:p>
    <w:p>
      <w:pPr>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Other </w:t>
      </w:r>
      <w:r>
        <w:rPr>
          <w:rFonts w:ascii="Times New Roman" w:hAnsi="Times New Roman" w:eastAsia="Times New Roman" w:cs="Times New Roman"/>
          <w:sz w:val="20"/>
        </w:rPr>
        <w:t xml:space="preserve">revenue consists of other fees, such as inactivity fees, early cash-out fees, and plan fees charged to users of our platforms. These fees did not have a significant effect on our revenue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Cost of Revenue</w:t>
      </w:r>
    </w:p>
    <w:p>
      <w:pPr>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Cost of revenue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$112,639</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6%</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Cost of revenue as a percentage of revenue improved from </w:t>
      </w:r>
      <w:r>
        <w:rPr>
          <w:rFonts w:ascii="Times New Roman" w:hAnsi="Times New Roman" w:eastAsia="Times New Roman" w:cs="Times New Roman"/>
          <w:sz w:val="20"/>
        </w:rPr>
        <w:t xml:space="preserve">46.8%</w:t>
      </w:r>
      <w:r>
        <w:rPr>
          <w:rFonts w:ascii="Times New Roman" w:hAnsi="Times New Roman" w:eastAsia="Times New Roman" w:cs="Times New Roman"/>
          <w:sz w:val="20"/>
        </w:rPr>
        <w:t xml:space="preserve"> in 2018 to </w:t>
      </w:r>
      <w:r>
        <w:rPr>
          <w:rFonts w:ascii="Times New Roman" w:hAnsi="Times New Roman" w:eastAsia="Times New Roman" w:cs="Times New Roman"/>
          <w:sz w:val="20"/>
        </w:rPr>
        <w:t xml:space="preserve">46.3%</w:t>
      </w:r>
      <w:r>
        <w:rPr>
          <w:rFonts w:ascii="Times New Roman" w:hAnsi="Times New Roman" w:eastAsia="Times New Roman" w:cs="Times New Roman"/>
          <w:sz w:val="20"/>
        </w:rPr>
        <w:t xml:space="preserve"> in 2019, due to an increase of approximately </w:t>
      </w:r>
      <w:r>
        <w:rPr>
          <w:rFonts w:ascii="Times New Roman" w:hAnsi="Times New Roman" w:eastAsia="Times New Roman" w:cs="Times New Roman"/>
          <w:sz w:val="20"/>
        </w:rPr>
        <w:t xml:space="preserve">$805,000</w:t>
      </w:r>
      <w:r>
        <w:rPr>
          <w:rFonts w:ascii="Times New Roman" w:hAnsi="Times New Roman" w:eastAsia="Times New Roman" w:cs="Times New Roman"/>
          <w:sz w:val="20"/>
        </w:rPr>
        <w:t xml:space="preserve"> in our higher margin revenue from SaaS Services, which is recognized on a net basis.	</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Sales and Marketing</w:t>
      </w:r>
      <w:r>
        <w:rPr>
          <w:rFonts w:ascii="Times New Roman" w:hAnsi="Times New Roman" w:eastAsia="Times New Roman" w:cs="Times New Roman"/>
          <w:sz w:val="20"/>
        </w:rPr>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Sales and marketing expense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$373,354</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22%</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Our average number of sales and marketing personnel, excluding support personnel, declined by </w:t>
      </w:r>
      <w:r>
        <w:rPr>
          <w:rFonts w:ascii="Times New Roman" w:hAnsi="Times New Roman" w:eastAsia="Times New Roman" w:cs="Times New Roman"/>
          <w:sz w:val="20"/>
        </w:rPr>
        <w:t xml:space="preserve">29%</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when compared with 2018 which, along with the decrease in variable compensation linked with sales performance, contributed to a reduction of approximately </w:t>
      </w:r>
      <w:r>
        <w:rPr>
          <w:rFonts w:ascii="Times New Roman" w:hAnsi="Times New Roman" w:eastAsia="Times New Roman" w:cs="Times New Roman"/>
          <w:sz w:val="20"/>
        </w:rPr>
        <w:t xml:space="preserve">$249,000</w:t>
      </w:r>
      <w:r>
        <w:rPr>
          <w:rFonts w:ascii="Times New Roman" w:hAnsi="Times New Roman" w:eastAsia="Times New Roman" w:cs="Times New Roman"/>
          <w:sz w:val="20"/>
        </w:rPr>
        <w:t xml:space="preserve"> in sales and marketing payroll and personnel related expenses.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General and Administrative</w:t>
      </w:r>
      <w:r>
        <w:rPr>
          <w:rFonts w:ascii="Times New Roman" w:hAnsi="Times New Roman" w:eastAsia="Times New Roman" w:cs="Times New Roman"/>
          <w:sz w:val="20"/>
          <w:b w:val="true"/>
        </w:rPr>
      </w:r>
    </w:p>
    <w:p>
      <w:pPr>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General and administrative expense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$261,695</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13%</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General and administrative expense for the three months ended June 30, 2018 were reduced by a gain associated with the change in fair value of derivatives of $113,801, and by a net gain associated with adjusting acquisition costs payable to fair value of $231,502. Adjusting for these discrete items, general and administrative expenses for the three months ended June 30, 2019 decreased by $96,835, or approximately 4%. General and administrative expenses were impacted most notably by increases in payroll and personnel related costs for our development function of approximately $81,000, an increase in software licensing and hosting fees of approximately $90,000, primarily related to Amazon Web Services (“AWS”) hosting costs and costs to upgrade our financial reporting software, and a decrease in professional services and recruiting spend of approximately $218,000.</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capitalized software development costs of </w:t>
      </w:r>
      <w:r>
        <w:rPr>
          <w:rFonts w:ascii="Times New Roman" w:hAnsi="Times New Roman" w:eastAsia="Times New Roman" w:cs="Times New Roman"/>
          <w:sz w:val="20"/>
        </w:rPr>
        <w:t xml:space="preserve">$104,830</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which was </w:t>
      </w:r>
      <w:r>
        <w:rPr>
          <w:rFonts w:ascii="Times New Roman" w:hAnsi="Times New Roman" w:eastAsia="Times New Roman" w:cs="Times New Roman"/>
          <w:sz w:val="20"/>
        </w:rPr>
        <w:t xml:space="preserve">$33,472</w:t>
      </w:r>
      <w:r>
        <w:rPr>
          <w:rFonts w:ascii="Times New Roman" w:hAnsi="Times New Roman" w:eastAsia="Times New Roman" w:cs="Times New Roman"/>
          <w:sz w:val="20"/>
        </w:rPr>
        <w:t xml:space="preserve"> higher than in the prior year period. This increase in software development costs was directly attributable to the development of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3.0, the upgraded platform released in April 2019.</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Depreciation and Amortization</w:t>
      </w:r>
    </w:p>
    <w:p>
      <w:pPr>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$237,414</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113%</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on property and equipment was </w:t>
      </w:r>
      <w:r>
        <w:rPr>
          <w:rFonts w:ascii="Times New Roman" w:hAnsi="Times New Roman" w:eastAsia="Times New Roman" w:cs="Times New Roman"/>
          <w:sz w:val="20"/>
        </w:rPr>
        <w:t xml:space="preserve">$35,946</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$56,828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Depreciation expense has declined primarily due to certain assets becoming fully depreciated.</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Amortization expense was </w:t>
      </w:r>
      <w:r>
        <w:rPr>
          <w:rFonts w:ascii="Times New Roman" w:hAnsi="Times New Roman" w:eastAsia="Times New Roman" w:cs="Times New Roman"/>
          <w:sz w:val="20"/>
        </w:rPr>
        <w:t xml:space="preserve">$412,158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$153,862</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Amortization expense related to intangible assets acquired in the Ebyline, ZenContent, and TapInfluence acquisitions was </w:t>
      </w:r>
      <w:r>
        <w:rPr>
          <w:rFonts w:ascii="Times New Roman" w:hAnsi="Times New Roman" w:eastAsia="Times New Roman" w:cs="Times New Roman"/>
          <w:sz w:val="20"/>
        </w:rPr>
        <w:t xml:space="preserve">322,907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$80,241</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Amortization expense related to internal use software development costs was </w:t>
      </w:r>
      <w:r>
        <w:rPr>
          <w:rFonts w:ascii="Times New Roman" w:hAnsi="Times New Roman" w:eastAsia="Times New Roman" w:cs="Times New Roman"/>
          <w:sz w:val="20"/>
        </w:rPr>
        <w:t xml:space="preserve">$89,251</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$73,622</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Other (Expense) Income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Interest expense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$51,334</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$86,737</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due primarily to higher interest rates and higher average amounts outstanding on our credit facility in 2019, and interest incurred related to our acquisition costs payable.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recorded income of </w:t>
      </w:r>
      <w:r>
        <w:rPr>
          <w:rFonts w:ascii="Times New Roman" w:hAnsi="Times New Roman" w:eastAsia="Times New Roman" w:cs="Times New Roman"/>
          <w:sz w:val="20"/>
        </w:rPr>
        <w:t xml:space="preserve">$113,801</w:t>
      </w:r>
      <w:r>
        <w:rPr>
          <w:rFonts w:ascii="Times New Roman" w:hAnsi="Times New Roman" w:eastAsia="Times New Roman" w:cs="Times New Roman"/>
          <w:sz w:val="20"/>
        </w:rPr>
        <w:t xml:space="preserve"> resulting from the change in the fair value of restricted stock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2018</w:t>
      </w:r>
      <w:r>
        <w:rPr>
          <w:rFonts w:ascii="Times New Roman" w:hAnsi="Times New Roman" w:eastAsia="Times New Roman" w:cs="Times New Roman"/>
          <w:sz w:val="20"/>
        </w:rPr>
        <w:t xml:space="preserv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w:t>
      </w:r>
      <w:r>
        <w:rPr>
          <w:rFonts w:ascii="Times New Roman" w:hAnsi="Times New Roman" w:eastAsia="Times New Roman" w:cs="Times New Roman"/>
          <w:sz w:val="20"/>
        </w:rPr>
        <w:t xml:space="preserve">$30,716</w:t>
      </w:r>
      <w:r>
        <w:rPr>
          <w:rFonts w:ascii="Times New Roman" w:hAnsi="Times New Roman" w:eastAsia="Times New Roman" w:cs="Times New Roman"/>
          <w:sz w:val="20"/>
        </w:rPr>
        <w:t xml:space="preserve"> increase in other income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when compared to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is primarily attributable to interest income on our invested cash balances.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Net Loss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Net loss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$1,992,386</w:t>
      </w:r>
      <w:r>
        <w:rPr>
          <w:rFonts w:ascii="Times New Roman" w:hAnsi="Times New Roman" w:eastAsia="Times New Roman" w:cs="Times New Roman"/>
          <w:sz w:val="20"/>
        </w:rPr>
        <w:t xml:space="preserve">, a </w:t>
      </w:r>
      <w:r>
        <w:rPr>
          <w:rFonts w:ascii="Times New Roman" w:hAnsi="Times New Roman" w:eastAsia="Times New Roman" w:cs="Times New Roman"/>
          <w:sz w:val="20"/>
        </w:rPr>
        <w:t xml:space="preserve">$344,631</w:t>
      </w:r>
      <w:r>
        <w:rPr>
          <w:rFonts w:ascii="Times New Roman" w:hAnsi="Times New Roman" w:eastAsia="Times New Roman" w:cs="Times New Roman"/>
          <w:sz w:val="20"/>
        </w:rPr>
        <w:t xml:space="preserve"> increase in the net loss of </w:t>
      </w:r>
      <w:r>
        <w:rPr>
          <w:rFonts w:ascii="Times New Roman" w:hAnsi="Times New Roman" w:eastAsia="Times New Roman" w:cs="Times New Roman"/>
          <w:sz w:val="20"/>
        </w:rPr>
        <w:t xml:space="preserve">$1,647,755</w:t>
      </w:r>
      <w:r>
        <w:rPr>
          <w:rFonts w:ascii="Times New Roman" w:hAnsi="Times New Roman" w:eastAsia="Times New Roman" w:cs="Times New Roman"/>
          <w:sz w:val="20"/>
        </w:rPr>
        <w:t xml:space="preserve"> for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increase in net loss was impacted primarily by the factors discussed previously.</w:t>
      </w:r>
    </w:p>
    <w:p>
      <w:pPr>
        <w:sectPr>
          <w:pgNumType w:fmt="decimal" w:chapSep="period"/>
          <w:pgSz w:w="12240" w:h="15840"/>
          <w:pgMar w:top="860" w:left="1000" w:right="1000" w:bottom="860" w:footer="460" w:gutter="0" w:header="160"/>
          <w:headerReference r:id="rId1" w:type="default"/>
          <w:footerReference r:id="rId27"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Results of Operations for the </w:t>
      </w:r>
      <w:r>
        <w:rPr>
          <w:rFonts w:ascii="Times New Roman" w:hAnsi="Times New Roman" w:eastAsia="Times New Roman" w:cs="Times New Roman"/>
          <w:sz w:val="20"/>
          <w:b w:val="true"/>
        </w:rPr>
        <w:t xml:space="preserve">Six Months Ended</w:t>
      </w:r>
      <w:r>
        <w:rPr>
          <w:rFonts w:ascii="Times New Roman" w:hAnsi="Times New Roman" w:eastAsia="Times New Roman" w:cs="Times New Roman"/>
          <w:sz w:val="20"/>
          <w:b w:val="true"/>
        </w:rPr>
        <w:t xml:space="preserve"> </w:t>
      </w:r>
      <w:r>
        <w:rPr>
          <w:rFonts w:ascii="Times New Roman" w:hAnsi="Times New Roman" w:eastAsia="Times New Roman" w:cs="Times New Roman"/>
          <w:sz w:val="20"/>
          <w:b w:val="true"/>
        </w:rPr>
        <w:t xml:space="preserve">June 30, 2019</w:t>
      </w:r>
      <w:r>
        <w:rPr>
          <w:rFonts w:ascii="Times New Roman" w:hAnsi="Times New Roman" w:eastAsia="Times New Roman" w:cs="Times New Roman"/>
          <w:sz w:val="20"/>
          <w:b w:val="true"/>
        </w:rPr>
        <w:t xml:space="preserve"> and </w:t>
      </w:r>
      <w:r>
        <w:rPr>
          <w:rFonts w:ascii="Times New Roman" w:hAnsi="Times New Roman" w:eastAsia="Times New Roman" w:cs="Times New Roman"/>
          <w:sz w:val="20"/>
          <w:b w:val="true"/>
        </w:rPr>
        <w:t xml:space="preserve">2018</w:t>
      </w:r>
      <w:bookmarkStart w:id="63986" w:name="Comparison_of_Six_Months_Ended"/>
      <w:bookmarkEnd w:id="63986"/>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a summary of our consolidated statements of operations and the change between the periods:</w:t>
      </w:r>
    </w:p>
    <w:tbl>
      <w:tblPr>
        <w:tblW w:type="dxa" w:w="10240"/>
        <w:tblLayout w:type="fixed"/>
        <w:jc w:val="justify"/>
      </w:tblPr>
      <w:tblGrid>
        <w:gridCol w:w="4900"/>
        <w:gridCol w:w="110"/>
        <w:gridCol w:w="1093"/>
        <w:gridCol w:w="77"/>
        <w:gridCol w:w="80"/>
        <w:gridCol w:w="110"/>
        <w:gridCol w:w="1073"/>
        <w:gridCol w:w="77"/>
        <w:gridCol w:w="80"/>
        <w:gridCol w:w="110"/>
        <w:gridCol w:w="1093"/>
        <w:gridCol w:w="77"/>
        <w:gridCol w:w="80"/>
        <w:gridCol w:w="1280"/>
      </w:tblGrid>
      <w:tr>
        <w:trPr>
          <w:trHeight w:hRule="exact" w:val="280"/>
        </w:trPr>
        <w:tc>
          <w:tcPr>
            <w:tcW w:type="dxa" w:w="49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r>
      <w:tr>
        <w:trPr>
          <w:trHeight w:hRule="exact" w:val="300"/>
        </w:trPr>
        <w:tc>
          <w:tcPr>
            <w:tcW w:type="dxa" w:w="490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r>
      <w:tr>
        <w:trPr>
          <w:trHeight w:hRule="exact" w:val="280"/>
        </w:trPr>
        <w:tc>
          <w:tcPr>
            <w:tcW w:type="dxa" w:w="49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8,717,620</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8,017,401</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700,219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r>
      <w:tr>
        <w:trPr>
          <w:trHeight w:hRule="exact" w:val="300"/>
        </w:trPr>
        <w:tc>
          <w:tcPr>
            <w:tcW w:type="dxa" w:w="49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49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Costs and expenses: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49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 of revenue (exclusive of amortization)</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3,916,950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3,916,950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4,093,440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4,093,440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(176,490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(176,490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w:t>
            </w:r>
          </w:p>
        </w:tc>
      </w:tr>
      <w:tr>
        <w:trPr>
          <w:trHeight w:hRule="exact" w:val="280"/>
        </w:trPr>
        <w:tc>
          <w:tcPr>
            <w:tcW w:type="dxa" w:w="49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Sales and marketing</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2,719,909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2,719,909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3,491,122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3,491,122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(771,213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(771,213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w:t>
            </w:r>
          </w:p>
        </w:tc>
      </w:tr>
      <w:tr>
        <w:trPr>
          <w:trHeight w:hRule="exact" w:val="280"/>
        </w:trPr>
        <w:tc>
          <w:tcPr>
            <w:tcW w:type="dxa" w:w="49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General and administrative</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4,844,359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4,844,359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3,585,832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3,585,832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1,258,527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1,258,527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w:t>
            </w:r>
          </w:p>
        </w:tc>
      </w:tr>
      <w:tr>
        <w:trPr>
          <w:trHeight w:hRule="exact" w:val="280"/>
        </w:trPr>
        <w:tc>
          <w:tcPr>
            <w:tcW w:type="dxa" w:w="49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884,329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884,329</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476,146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476,146</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408,183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408,183</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w:t>
            </w:r>
          </w:p>
        </w:tc>
      </w:tr>
      <w:tr>
        <w:trPr>
          <w:trHeight w:hRule="exact" w:val="280"/>
        </w:trPr>
        <w:tc>
          <w:tcPr>
            <w:tcW w:type="dxa" w:w="490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costs and expenses</w:t>
            </w:r>
          </w:p>
        </w:tc>
        <w:tc>
          <w:tcPr>
            <w:tcW w:type="dxa" w:w="120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12,365,547</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12,365,547</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8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11,646,540</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11,646,540</w:t>
            </w:r>
          </w:p>
        </w:tc>
        <w:tc>
          <w:tcPr>
            <w:tcW w:type="dxa" w:w="77"/>
            <w:tcMar>
              <w:left w:type="dxa" w:w="0"/>
              <w:right w:type="dxa" w:w="0"/>
            </w:tcMar>
            <w:tcBorders>
              <w:top w:val="single" w:sz="8" w:space="0"/>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719,007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719,007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8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w:t>
            </w:r>
          </w:p>
        </w:tc>
      </w:tr>
      <w:tr>
        <w:trPr>
          <w:trHeight w:hRule="exact" w:val="280"/>
        </w:trPr>
        <w:tc>
          <w:tcPr>
            <w:tcW w:type="dxa" w:w="49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Loss from operations</w:t>
            </w:r>
          </w:p>
        </w:tc>
        <w:tc>
          <w:tcPr>
            <w:tcW w:type="dxa" w:w="120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(3,647,927</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(3,647,927</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(3,629,139</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(3,629,139</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(18,788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(18,788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8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r>
      <w:tr>
        <w:trPr>
          <w:trHeight w:hRule="exact" w:val="280"/>
        </w:trPr>
        <w:tc>
          <w:tcPr>
            <w:tcW w:type="dxa" w:w="49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(expense) income:</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49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 net</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(215,201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(215,201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(56,714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(56,714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(158,487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(158,487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279%</w:t>
            </w:r>
          </w:p>
        </w:tc>
      </w:tr>
      <w:tr>
        <w:trPr>
          <w:trHeight w:hRule="exact" w:val="280"/>
        </w:trPr>
        <w:tc>
          <w:tcPr>
            <w:tcW w:type="dxa" w:w="49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 net</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r>
      <w:tr>
        <w:trPr>
          <w:trHeight w:hRule="exact" w:val="280"/>
        </w:trPr>
        <w:tc>
          <w:tcPr>
            <w:tcW w:type="dxa" w:w="49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net</w:t>
            </w: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40,162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40,162</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4,772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4,772</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35,390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35,390</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8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742%</w:t>
            </w:r>
          </w:p>
        </w:tc>
      </w:tr>
      <w:tr>
        <w:trPr>
          <w:trHeight w:hRule="exact" w:val="280"/>
        </w:trPr>
        <w:tc>
          <w:tcPr>
            <w:tcW w:type="dxa" w:w="490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other (expense) income, net</w:t>
            </w:r>
          </w:p>
        </w:tc>
        <w:tc>
          <w:tcPr>
            <w:tcW w:type="dxa" w:w="120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(175,039</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(175,039</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8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(63,736</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(63,736</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(111,303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(111,303</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8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w:t>
            </w:r>
          </w:p>
        </w:tc>
      </w:tr>
      <w:tr>
        <w:trPr>
          <w:trHeight w:hRule="exact" w:val="300"/>
        </w:trPr>
        <w:tc>
          <w:tcPr>
            <w:tcW w:type="dxa" w:w="4900"/>
            <w:tcMar>
              <w:left w:type="dxa" w:w="78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(3,822,966</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(3,692,875</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(130,091</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280"/>
            <w:tcMar>
              <w:left w:type="dxa" w:w="60"/>
              <w:right w:type="dxa" w:w="60"/>
            </w:tcMar>
            <w:tcBorders>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w:t>
            </w:r>
          </w:p>
        </w:tc>
      </w:tr>
    </w:tbl>
    <w:p>
      <w:pPr>
        <w:jc w:val="both"/>
        <w:spacing w:before="60"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w:t>
      </w:r>
    </w:p>
    <w:p>
      <w:pPr>
        <w:jc w:val="left"/>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illustrates our revenue by type, the percentage of total revenue by type, and the change between the periods:</w:t>
      </w:r>
    </w:p>
    <w:tbl>
      <w:tblPr>
        <w:tblW w:type="dxa" w:w="10240"/>
        <w:tblLayout w:type="fixed"/>
        <w:jc w:val="left"/>
      </w:tblPr>
      <w:tblGrid>
        <w:gridCol w:w="3560"/>
        <w:gridCol w:w="110"/>
        <w:gridCol w:w="973"/>
        <w:gridCol w:w="77"/>
        <w:gridCol w:w="80"/>
        <w:gridCol w:w="960"/>
        <w:gridCol w:w="80"/>
        <w:gridCol w:w="110"/>
        <w:gridCol w:w="893"/>
        <w:gridCol w:w="77"/>
        <w:gridCol w:w="80"/>
        <w:gridCol w:w="960"/>
        <w:gridCol w:w="80"/>
        <w:gridCol w:w="110"/>
        <w:gridCol w:w="973"/>
        <w:gridCol w:w="77"/>
        <w:gridCol w:w="80"/>
        <w:gridCol w:w="960"/>
      </w:tblGrid>
      <w:tr>
        <w:trPr>
          <w:trHeight w:hRule="exact" w:val="280"/>
        </w:trPr>
        <w:tc>
          <w:tcPr>
            <w:tcW w:type="dxa" w:w="35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left"/>
              <w:keepNext/>
              <w:keepLines/>
              <w:spacing w:before="40" w:after="40" w:line="240" w:lineRule="auto"/>
              <w:rPr/>
            </w:pPr>
            <w:r>
              <w:rPr/>
            </w:r>
          </w:p>
        </w:tc>
        <w:tc>
          <w:tcPr>
            <w:tcMar>
              <w:left w:type="dxa" w:w="6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35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hMerge w:val="continue"/>
            <w:tcBorders>
              <w:top w:val="single" w:sz="8" w:space="0"/>
            </w:tcBorders>
          </w:tcPr>
          <w:p/>
        </w:tc>
        <w:tc>
          <w:tcPr>
            <w:tcW w:type="dxa" w:w="0"/>
            <w:tcMar>
              <w:left w:type="dxa" w:w="0"/>
              <w:right w:type="dxa" w:w="0"/>
            </w:tcMar>
            <w:hMerge w:val="continue"/>
            <w:tcBorders>
              <w:top w:val="single" w:sz="8" w:space="0"/>
            </w:tcBorders>
            <w:vAlign w:val="bottom"/>
          </w:tcPr>
          <w:p>
            <w:pPr>
              <w:jc w:val="left"/>
              <w:keepNext/>
              <w:keepLines/>
              <w:spacing w:before="40" w:after="40" w:line="240" w:lineRule="auto"/>
              <w:rPr/>
            </w:pPr>
            <w:r>
              <w:rPr/>
            </w: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80"/>
            <w:tcMar>
              <w:left w:type="dxa" w:w="0"/>
              <w:right w:type="dxa" w:w="0"/>
            </w:tcMar>
            <w:hMerge w:val="restart"/>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hMerge w:val="continue"/>
            <w:tcBorders>
              <w:top w:val="single" w:sz="8" w:space="0"/>
            </w:tcBorders>
          </w:tcPr>
          <w:p/>
        </w:tc>
        <w:tc>
          <w:tcPr>
            <w:tcW w:type="dxa" w:w="0"/>
            <w:tcMar>
              <w:left w:type="dxa" w:w="0"/>
              <w:right w:type="dxa" w:w="0"/>
            </w:tcMar>
            <w:hMerge w:val="continue"/>
            <w:tcBorders>
              <w:top w:val="single" w:sz="8" w:space="0"/>
            </w:tcBorders>
            <w:vAlign w:val="bottom"/>
          </w:tcPr>
          <w:p>
            <w:pPr>
              <w:jc w:val="left"/>
              <w:keepNext/>
              <w:keepLines/>
              <w:spacing w:before="40" w:after="40" w:line="240" w:lineRule="auto"/>
              <w:rPr/>
            </w:pPr>
            <w:r>
              <w:rPr/>
            </w: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9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r>
      <w:tr>
        <w:trPr>
          <w:trHeight w:hRule="exact" w:val="300"/>
        </w:trPr>
        <w:tc>
          <w:tcPr>
            <w:tcW w:type="dxa" w:w="3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Managed Services 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6,858,803</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96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79%</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7,801,515</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96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(942,712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w:t>
            </w:r>
          </w:p>
        </w:tc>
      </w:tr>
      <w:tr>
        <w:trPr>
          <w:trHeight w:hRule="exact" w:val="300"/>
        </w:trPr>
        <w:tc>
          <w:tcPr>
            <w:tcW w:type="dxa" w:w="3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35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Legacy Workflow Fees</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91,621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91,621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116,585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116,585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(24,964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(24,964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w:t>
            </w:r>
          </w:p>
        </w:tc>
      </w:tr>
      <w:tr>
        <w:trPr>
          <w:trHeight w:hRule="exact" w:val="300"/>
        </w:trPr>
        <w:tc>
          <w:tcPr>
            <w:tcW w:type="dxa" w:w="35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689,291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689,291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9,724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9,724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679,567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679,567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6,989%</w:t>
            </w:r>
          </w:p>
        </w:tc>
      </w:tr>
      <w:tr>
        <w:trPr>
          <w:trHeight w:hRule="exact" w:val="300"/>
        </w:trPr>
        <w:tc>
          <w:tcPr>
            <w:tcW w:type="dxa" w:w="35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License Fees</w:t>
            </w: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1,039,588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1,039,588</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52,611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52,611</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986,977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986,977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1,876%</w:t>
            </w:r>
          </w:p>
        </w:tc>
      </w:tr>
      <w:tr>
        <w:trPr>
          <w:trHeight w:hRule="exact" w:val="300"/>
        </w:trPr>
        <w:tc>
          <w:tcPr>
            <w:tcW w:type="dxa" w:w="3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SaaS Services Revenue</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1,820,500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1,820,500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178,920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178,920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1,641,580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1,641,580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917%</w:t>
            </w:r>
          </w:p>
        </w:tc>
      </w:tr>
      <w:tr>
        <w:trPr>
          <w:trHeight w:hRule="exact" w:val="300"/>
        </w:trPr>
        <w:tc>
          <w:tcPr>
            <w:tcW w:type="dxa" w:w="3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top w:val="single" w:sz="8" w:space="0"/>
            </w:tcBorders>
            <w:vAlign w:val="bottom"/>
          </w:tcPr>
          <w:p>
            <w:pPr>
              <w:jc w:val="left"/>
              <w:keepNext/>
              <w:keepLines/>
              <w:spacing w:before="40" w:after="40" w:line="240" w:lineRule="auto"/>
              <w:rPr/>
            </w:pPr>
            <w:r>
              <w:rPr/>
            </w:r>
          </w:p>
        </w:tc>
      </w:tr>
      <w:tr>
        <w:trPr>
          <w:trHeight w:hRule="exact" w:val="300"/>
        </w:trPr>
        <w:tc>
          <w:tcPr>
            <w:tcW w:type="dxa" w:w="3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Other Revenue</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38,317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38,317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36,966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w:t>
            </w:r>
          </w:p>
        </w:tc>
      </w:tr>
      <w:tr>
        <w:trPr>
          <w:trHeight w:hRule="exact" w:val="300"/>
        </w:trPr>
        <w:tc>
          <w:tcPr>
            <w:tcW w:type="dxa" w:w="3560"/>
            <w:tcMar>
              <w:left w:type="dxa" w:w="54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Total Revenue</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8,717,620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96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9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8,017,401</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96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700,219</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96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Historically, we have invested the majority of our time and resources in our Managed Services business, which provides the majority of our revenue. Our acquisitions of Ebyline and ZenContent allowed us to expand our product offerings to provide custom content in addition to and in combination with our influencer marketing campaigns to expand our Managed Services. Our July 2018 merger with TapInfluence provided a springboard for the SaaS Services segment and an immediate increase of market share in the Marketplace Spend Fees and License Fees on SaaS Services.	</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color w:val="ee2724"/>
        </w:rPr>
        <w:t xml:space="preserve">	</w:t>
      </w:r>
      <w:r>
        <w:rPr>
          <w:rFonts w:ascii="Times New Roman" w:hAnsi="Times New Roman" w:eastAsia="Times New Roman" w:cs="Times New Roman"/>
          <w:sz w:val="20"/>
        </w:rPr>
        <w:t xml:space="preserve">Managed Services revenue decreased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from the same period in 2018, due to a significant decrease in our front-line sales personnel.</w:t>
      </w:r>
    </w:p>
    <w:p>
      <w:pPr>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SaaS Services</w:t>
      </w:r>
      <w:r>
        <w:rPr>
          <w:rFonts w:ascii="Times New Roman" w:hAnsi="Times New Roman" w:eastAsia="Times New Roman" w:cs="Times New Roman"/>
          <w:sz w:val="20"/>
        </w:rPr>
        <w:t xml:space="preserve"> revenue is generated by the self-service use of our technology platforms by marketers to manage their own content workflow and influencer marketing campaigns. It consists of fees earned on the marketer’s spend within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Ebyline </w:t>
      </w:r>
      <w:r>
        <w:rPr>
          <w:rFonts w:ascii="Times New Roman" w:hAnsi="Times New Roman" w:eastAsia="Times New Roman" w:cs="Times New Roman"/>
          <w:sz w:val="20"/>
        </w:rPr>
        <w:t xml:space="preserve">platforms, along with the license and support fees to access the platform services.	</w:t>
      </w:r>
    </w:p>
    <w:p>
      <w:pPr>
        <w:ind w:left="720" w:firstLine="-360"/>
        <w:jc w:val="left"/>
        <w:spacing w:before="120" w:line="288" w:lineRule="auto"/>
        <w:rPr>
          <w:rFonts w:ascii="Times New Roman" w:hAnsi="Times New Roman" w:eastAsia="Times New Roman" w:cs="Times New Roman"/>
          <w:sz w:val="20"/>
          <w:i w:val="true"/>
          <w:rFonts w:ascii="Times New Roman" w:hAnsi="Times New Roman" w:eastAsia="Times New Roman" w:cs="Times New Roman"/>
          <w:sz w:val="20"/>
          <w:i w:val="true"/>
        </w:rPr>
        <w:numPr>
          <w:ilvl w:val="0"/>
          <w:numId w:val="251"/>
        </w:numPr>
      </w:pPr>
      <w:r>
        <w:rPr>
          <w:rFonts w:ascii="Times New Roman" w:hAnsi="Times New Roman" w:eastAsia="Times New Roman" w:cs="Times New Roman"/>
          <w:sz w:val="20"/>
          <w:i w:val="true"/>
        </w:rPr>
        <w:t xml:space="preserve"/>
      </w:r>
      <w:r>
        <w:rPr>
          <w:rFonts w:ascii="Times New Roman" w:hAnsi="Times New Roman" w:eastAsia="Times New Roman" w:cs="Times New Roman"/>
          <w:sz w:val="20"/>
          <w:i w:val="true"/>
        </w:rPr>
        <w:t xml:space="preserve">Legacy Workflow Fees </w:t>
      </w:r>
      <w:r>
        <w:rPr>
          <w:rFonts w:ascii="Times New Roman" w:hAnsi="Times New Roman" w:eastAsia="Times New Roman" w:cs="Times New Roman"/>
          <w:sz w:val="20"/>
        </w:rPr>
        <w:t xml:space="preserve">revenue represents self-service transactions through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for professional custom content workflow. This revenue is declining quarter over quarter due to the ongoing consolidation and cutbacks in the newspaper industry. Revenue from Legacy Workflow Fees transactions decreased to </w:t>
      </w:r>
      <w:r>
        <w:rPr>
          <w:rFonts w:ascii="Times New Roman" w:hAnsi="Times New Roman" w:eastAsia="Times New Roman" w:cs="Times New Roman"/>
          <w:sz w:val="20"/>
        </w:rPr>
        <w:t xml:space="preserve">$91,621</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$116,585</w:t>
      </w:r>
      <w:r>
        <w:rPr>
          <w:rFonts w:ascii="Times New Roman" w:hAnsi="Times New Roman" w:eastAsia="Times New Roman" w:cs="Times New Roman"/>
          <w:sz w:val="20"/>
        </w:rPr>
        <w:t xml:space="preserve"> for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With the addition of TapInfluence and its SaaS revenue model and our modifications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which now allows marketers to purchase custom content, in addition to sponsored posts, we have shifted our focus away from this platform and its content generated primarily for newspapers and traditional publishers, and expect Legacy Workflow Fees revenue to continue to decline going forward.</w:t>
      </w:r>
    </w:p>
    <w:p>
      <w:pPr>
        <w:ind w:left="720" w:firstLine="-360"/>
        <w:jc w:val="left"/>
        <w:spacing w:before="120" w:line="288" w:lineRule="auto"/>
        <w:rPr>
          <w:rFonts w:ascii="Times New Roman" w:hAnsi="Times New Roman" w:eastAsia="Times New Roman" w:cs="Times New Roman"/>
          <w:sz w:val="20"/>
          <w:i w:val="true"/>
          <w:rFonts w:ascii="Times New Roman" w:hAnsi="Times New Roman" w:eastAsia="Times New Roman" w:cs="Times New Roman"/>
          <w:sz w:val="20"/>
          <w:i w:val="true"/>
        </w:rPr>
        <w:numPr>
          <w:ilvl w:val="0"/>
          <w:numId w:val="251"/>
        </w:numPr>
      </w:pPr>
      <w:r>
        <w:rPr>
          <w:rFonts w:ascii="Times New Roman" w:hAnsi="Times New Roman" w:eastAsia="Times New Roman" w:cs="Times New Roman"/>
          <w:sz w:val="20"/>
          <w:i w:val="true"/>
        </w:rPr>
        <w:t xml:space="preserve"/>
      </w:r>
      <w:r>
        <w:rPr>
          <w:rFonts w:ascii="Times New Roman" w:hAnsi="Times New Roman" w:eastAsia="Times New Roman" w:cs="Times New Roman"/>
          <w:sz w:val="20"/>
          <w:i w:val="true"/>
        </w:rPr>
        <w:t xml:space="preserve">Marketplace Spend Fees</w:t>
      </w:r>
      <w:r>
        <w:rPr>
          <w:rFonts w:ascii="Times New Roman" w:hAnsi="Times New Roman" w:eastAsia="Times New Roman" w:cs="Times New Roman"/>
          <w:sz w:val="20"/>
        </w:rPr>
        <w:t xml:space="preserve"> revenue primarily results from marketers and partners using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beginning in July 2018, the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on a SaaS basis to distribute content for marketing and influencer marketing campaigns. We increased our revenue from Marketplace Spend Fees by </w:t>
      </w:r>
      <w:r>
        <w:rPr>
          <w:rFonts w:ascii="Times New Roman" w:hAnsi="Times New Roman" w:eastAsia="Times New Roman" w:cs="Times New Roman"/>
          <w:sz w:val="20"/>
        </w:rPr>
        <w:t xml:space="preserve">$679,567</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when compared with the same period of 2018, primarily as a result of our merger with TapInfluence. Revenue from Marketplace Spend Fees represents our net margins received on this business.</w:t>
      </w:r>
    </w:p>
    <w:p>
      <w:pPr>
        <w:ind w:left="720" w:firstLine="-360"/>
        <w:jc w:val="left"/>
        <w:spacing w:before="120" w:line="288" w:lineRule="auto"/>
        <w:rPr>
          <w:rFonts w:ascii="Times New Roman" w:hAnsi="Times New Roman" w:eastAsia="Times New Roman" w:cs="Times New Roman"/>
          <w:sz w:val="20"/>
          <w:i w:val="true"/>
          <w:rFonts w:ascii="Times New Roman" w:hAnsi="Times New Roman" w:eastAsia="Times New Roman" w:cs="Times New Roman"/>
          <w:sz w:val="20"/>
          <w:i w:val="true"/>
        </w:rPr>
        <w:numPr>
          <w:ilvl w:val="0"/>
          <w:numId w:val="251"/>
        </w:numPr>
      </w:pPr>
      <w:r>
        <w:rPr>
          <w:rFonts w:ascii="Times New Roman" w:hAnsi="Times New Roman" w:eastAsia="Times New Roman" w:cs="Times New Roman"/>
          <w:sz w:val="20"/>
          <w:i w:val="true"/>
        </w:rPr>
        <w:t xml:space="preserve"/>
      </w:r>
      <w:r>
        <w:rPr>
          <w:rFonts w:ascii="Times New Roman" w:hAnsi="Times New Roman" w:eastAsia="Times New Roman" w:cs="Times New Roman"/>
          <w:sz w:val="20"/>
          <w:i w:val="true"/>
        </w:rPr>
        <w:t xml:space="preserve">License Fees </w:t>
      </w:r>
      <w:r>
        <w:rPr>
          <w:rFonts w:ascii="Times New Roman" w:hAnsi="Times New Roman" w:eastAsia="Times New Roman" w:cs="Times New Roman"/>
          <w:sz w:val="20"/>
        </w:rPr>
        <w:t xml:space="preserve">revenue are generated primarily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 License Fees revenue increased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$1,039,588</w:t>
      </w:r>
      <w:r>
        <w:rPr>
          <w:rFonts w:ascii="Times New Roman" w:hAnsi="Times New Roman" w:eastAsia="Times New Roman" w:cs="Times New Roman"/>
          <w:sz w:val="20"/>
        </w:rPr>
        <w:t xml:space="preserve">, primarily as a result of the merger with TapInfluence, compared to </w:t>
      </w:r>
      <w:r>
        <w:rPr>
          <w:rFonts w:ascii="Times New Roman" w:hAnsi="Times New Roman" w:eastAsia="Times New Roman" w:cs="Times New Roman"/>
          <w:sz w:val="20"/>
        </w:rPr>
        <w:t xml:space="preserve">$52,611</w:t>
      </w:r>
      <w:r>
        <w:rPr>
          <w:rFonts w:ascii="Times New Roman" w:hAnsi="Times New Roman" w:eastAsia="Times New Roman" w:cs="Times New Roman"/>
          <w:sz w:val="20"/>
        </w:rPr>
        <w:t xml:space="preserve"> in the same period of the prior year.</w:t>
      </w:r>
    </w:p>
    <w:p>
      <w:pPr>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Other </w:t>
      </w:r>
      <w:r>
        <w:rPr>
          <w:rFonts w:ascii="Times New Roman" w:hAnsi="Times New Roman" w:eastAsia="Times New Roman" w:cs="Times New Roman"/>
          <w:sz w:val="20"/>
        </w:rPr>
        <w:t xml:space="preserve">revenue consists of other fees, such as inactivity fees, early cash-out fees, and plan fees charged to users of our platforms. These fees did not have a significant effect on our revenue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Cost of Revenue</w:t>
      </w:r>
    </w:p>
    <w:p>
      <w:pPr>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Cost of revenue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$176,490</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4%</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Cost of revenue as a percentage of revenue improved from </w:t>
      </w:r>
      <w:r>
        <w:rPr>
          <w:rFonts w:ascii="Times New Roman" w:hAnsi="Times New Roman" w:eastAsia="Times New Roman" w:cs="Times New Roman"/>
          <w:sz w:val="20"/>
        </w:rPr>
        <w:t xml:space="preserve">51%</w:t>
      </w:r>
      <w:r>
        <w:rPr>
          <w:rFonts w:ascii="Times New Roman" w:hAnsi="Times New Roman" w:eastAsia="Times New Roman" w:cs="Times New Roman"/>
          <w:sz w:val="20"/>
        </w:rPr>
        <w:t xml:space="preserve"> in 2018 to </w:t>
      </w:r>
      <w:r>
        <w:rPr>
          <w:rFonts w:ascii="Times New Roman" w:hAnsi="Times New Roman" w:eastAsia="Times New Roman" w:cs="Times New Roman"/>
          <w:sz w:val="20"/>
        </w:rPr>
        <w:t xml:space="preserve">45%</w:t>
      </w:r>
      <w:r>
        <w:rPr>
          <w:rFonts w:ascii="Times New Roman" w:hAnsi="Times New Roman" w:eastAsia="Times New Roman" w:cs="Times New Roman"/>
          <w:sz w:val="20"/>
        </w:rPr>
        <w:t xml:space="preserve"> in 2019, due to an increase of approximately </w:t>
      </w:r>
      <w:r>
        <w:rPr>
          <w:rFonts w:ascii="Times New Roman" w:hAnsi="Times New Roman" w:eastAsia="Times New Roman" w:cs="Times New Roman"/>
          <w:sz w:val="20"/>
        </w:rPr>
        <w:t xml:space="preserve">$1,642,000</w:t>
      </w:r>
      <w:r>
        <w:rPr>
          <w:rFonts w:ascii="Times New Roman" w:hAnsi="Times New Roman" w:eastAsia="Times New Roman" w:cs="Times New Roman"/>
          <w:sz w:val="20"/>
        </w:rPr>
        <w:t xml:space="preserve"> in our higher margin revenue from SaaS Services, which is recognized on a net basis.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Sales and Marketing</w:t>
      </w:r>
      <w:r>
        <w:rPr>
          <w:rFonts w:ascii="Times New Roman" w:hAnsi="Times New Roman" w:eastAsia="Times New Roman" w:cs="Times New Roman"/>
          <w:sz w:val="20"/>
        </w:rPr>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Sales and marketing expense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$771,213</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22%</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Our average number of sales and marketing personnel, excluding support personnel, declined by </w:t>
      </w:r>
      <w:r>
        <w:rPr>
          <w:rFonts w:ascii="Times New Roman" w:hAnsi="Times New Roman" w:eastAsia="Times New Roman" w:cs="Times New Roman"/>
          <w:sz w:val="20"/>
        </w:rPr>
        <w:t xml:space="preserve">28%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when compared with 2018 which, along with the decrease in variable compensation linked with sales performance, contributed to a reduction of approximately $528,000 in sales and marketing payroll and personnel related expenses.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General and Administrative</w:t>
      </w:r>
      <w:r>
        <w:rPr>
          <w:rFonts w:ascii="Times New Roman" w:hAnsi="Times New Roman" w:eastAsia="Times New Roman" w:cs="Times New Roman"/>
          <w:sz w:val="20"/>
          <w:b w:val="true"/>
        </w:rPr>
      </w:r>
    </w:p>
    <w:p>
      <w:pPr>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General and administrative expense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$1,258,527</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35%</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General and administrative expense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included a loss on the settlement of acquisition costs payable of </w:t>
      </w:r>
      <w:r>
        <w:rPr>
          <w:rFonts w:ascii="Times New Roman" w:hAnsi="Times New Roman" w:eastAsia="Times New Roman" w:cs="Times New Roman"/>
          <w:sz w:val="20"/>
        </w:rPr>
        <w:t xml:space="preserve">$191,439</w:t>
      </w:r>
      <w:r>
        <w:rPr>
          <w:rFonts w:ascii="Times New Roman" w:hAnsi="Times New Roman" w:eastAsia="Times New Roman" w:cs="Times New Roman"/>
          <w:sz w:val="20"/>
        </w:rPr>
        <w:t xml:space="preserve"> associated with our January 2019 payment related to the acquisition of TapInfluence. General and administrative expense for the six months ended June 30, 2018 was reduced by a gain of </w:t>
      </w:r>
      <w:r>
        <w:rPr>
          <w:rFonts w:ascii="Times New Roman" w:hAnsi="Times New Roman" w:eastAsia="Times New Roman" w:cs="Times New Roman"/>
          <w:sz w:val="20"/>
        </w:rPr>
        <w:t xml:space="preserve">$624,596</w:t>
      </w:r>
      <w:r>
        <w:rPr>
          <w:rFonts w:ascii="Times New Roman" w:hAnsi="Times New Roman" w:eastAsia="Times New Roman" w:cs="Times New Roman"/>
          <w:sz w:val="20"/>
        </w:rPr>
        <w:t xml:space="preserve"> on the adjustment of acquisition costs to fair value. Adjusting for these discrete items, general and administrative expense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$442,492</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General and administrative expenses were impacted most notably by increased payroll and personnel related costs for our administrative and development functions of approximately </w:t>
      </w:r>
      <w:r>
        <w:rPr>
          <w:rFonts w:ascii="Times New Roman" w:hAnsi="Times New Roman" w:eastAsia="Times New Roman" w:cs="Times New Roman"/>
          <w:sz w:val="20"/>
        </w:rPr>
        <w:t xml:space="preserve">$214,000</w:t>
      </w:r>
      <w:r>
        <w:rPr>
          <w:rFonts w:ascii="Times New Roman" w:hAnsi="Times New Roman" w:eastAsia="Times New Roman" w:cs="Times New Roman"/>
          <w:sz w:val="20"/>
        </w:rPr>
        <w:t xml:space="preserve">, decreased professional services and recruiting spend of approximately </w:t>
      </w:r>
      <w:r>
        <w:rPr>
          <w:rFonts w:ascii="Times New Roman" w:hAnsi="Times New Roman" w:eastAsia="Times New Roman" w:cs="Times New Roman"/>
          <w:sz w:val="20"/>
        </w:rPr>
        <w:t xml:space="preserve">$86,000</w:t>
      </w:r>
      <w:r>
        <w:rPr>
          <w:rFonts w:ascii="Times New Roman" w:hAnsi="Times New Roman" w:eastAsia="Times New Roman" w:cs="Times New Roman"/>
          <w:sz w:val="20"/>
        </w:rPr>
        <w:t xml:space="preserve">, and an increase in software licensing and hosting fees of approximately </w:t>
      </w:r>
      <w:r>
        <w:rPr>
          <w:rFonts w:ascii="Times New Roman" w:hAnsi="Times New Roman" w:eastAsia="Times New Roman" w:cs="Times New Roman"/>
          <w:sz w:val="20"/>
        </w:rPr>
        <w:t xml:space="preserve">$184,000</w:t>
      </w:r>
      <w:r>
        <w:rPr>
          <w:rFonts w:ascii="Times New Roman" w:hAnsi="Times New Roman" w:eastAsia="Times New Roman" w:cs="Times New Roman"/>
          <w:sz w:val="20"/>
        </w:rPr>
        <w:t xml:space="preserve">, primarily related to AWS hosting costs and costs to upgrade our financial reporting software.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ff0000"/>
        </w:rPr>
        <w:t xml:space="preserve">	</w:t>
      </w:r>
      <w:r>
        <w:rPr>
          <w:rFonts w:ascii="Times New Roman" w:hAnsi="Times New Roman" w:eastAsia="Times New Roman" w:cs="Times New Roman"/>
          <w:sz w:val="20"/>
        </w:rPr>
        <w:t xml:space="preserve">We capitalized software development costs of </w:t>
      </w:r>
      <w:r>
        <w:rPr>
          <w:rFonts w:ascii="Times New Roman" w:hAnsi="Times New Roman" w:eastAsia="Times New Roman" w:cs="Times New Roman"/>
          <w:sz w:val="20"/>
        </w:rPr>
        <w:t xml:space="preserve">$451,619</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which was </w:t>
      </w:r>
      <w:r>
        <w:rPr>
          <w:rFonts w:ascii="Times New Roman" w:hAnsi="Times New Roman" w:eastAsia="Times New Roman" w:cs="Times New Roman"/>
          <w:sz w:val="20"/>
        </w:rPr>
        <w:t xml:space="preserve">$193,965</w:t>
      </w:r>
      <w:r>
        <w:rPr>
          <w:rFonts w:ascii="Times New Roman" w:hAnsi="Times New Roman" w:eastAsia="Times New Roman" w:cs="Times New Roman"/>
          <w:sz w:val="20"/>
        </w:rPr>
        <w:t xml:space="preserve"> higher than in the prior year period. This increase in software development costs was directly attributable to the development of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3.0, the upgraded platform released in April 2019.</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Depreciation and Amortization</w:t>
      </w:r>
    </w:p>
    <w:p>
      <w:pPr>
        <w:jc w:val="left"/>
        <w:keepNex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$408,183</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86%</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on property and equipment was </w:t>
      </w:r>
      <w:r>
        <w:rPr>
          <w:rFonts w:ascii="Times New Roman" w:hAnsi="Times New Roman" w:eastAsia="Times New Roman" w:cs="Times New Roman"/>
          <w:sz w:val="20"/>
        </w:rPr>
        <w:t xml:space="preserve">$74,423</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$112,866</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Depreciation expense has declined primarily due to certain assets becoming fully depreciated.</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Amortization expense was </w:t>
      </w:r>
      <w:r>
        <w:rPr>
          <w:rFonts w:ascii="Times New Roman" w:hAnsi="Times New Roman" w:eastAsia="Times New Roman" w:cs="Times New Roman"/>
          <w:sz w:val="20"/>
        </w:rPr>
        <w:t xml:space="preserve">$809,907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$363,280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Amortization expense related to intangible assets acquired in the Ebyline, ZenContent, and TapInfluence acquisitions was </w:t>
      </w:r>
      <w:r>
        <w:rPr>
          <w:rFonts w:ascii="Times New Roman" w:hAnsi="Times New Roman" w:eastAsia="Times New Roman" w:cs="Times New Roman"/>
          <w:sz w:val="20"/>
        </w:rPr>
        <w:t xml:space="preserve">$645,814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$216,036</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Amortization expense related to internal use software development costs was </w:t>
      </w:r>
      <w:r>
        <w:rPr>
          <w:rFonts w:ascii="Times New Roman" w:hAnsi="Times New Roman" w:eastAsia="Times New Roman" w:cs="Times New Roman"/>
          <w:sz w:val="20"/>
        </w:rPr>
        <w:t xml:space="preserve">$164,093</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$147,244</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Other (Expense) Income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Interest expense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$158,487</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$215,201</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due primarily to higher interest rates and higher average amounts outstanding on our credit facility in 2019, and interest incurred related to our acquisition costs payable.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recorded </w:t>
      </w:r>
      <w:r>
        <w:rPr>
          <w:rFonts w:ascii="Times New Roman" w:hAnsi="Times New Roman" w:eastAsia="Times New Roman" w:cs="Times New Roman"/>
          <w:sz w:val="20"/>
        </w:rPr>
        <w:t xml:space="preserve">$11,794</w:t>
      </w:r>
      <w:r>
        <w:rPr>
          <w:rFonts w:ascii="Times New Roman" w:hAnsi="Times New Roman" w:eastAsia="Times New Roman" w:cs="Times New Roman"/>
          <w:sz w:val="20"/>
        </w:rPr>
        <w:t xml:space="preserve"> resulting from the change in the fair value of restricted stock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2018</w:t>
      </w:r>
      <w:r>
        <w:rPr>
          <w:rFonts w:ascii="Times New Roman" w:hAnsi="Times New Roman" w:eastAsia="Times New Roman" w:cs="Times New Roman"/>
          <w:sz w:val="20"/>
        </w:rPr>
        <w:t xml:space="preserve"> with no comparable amount for the same period in 2019.</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w:t>
      </w:r>
      <w:r>
        <w:rPr>
          <w:rFonts w:ascii="Times New Roman" w:hAnsi="Times New Roman" w:eastAsia="Times New Roman" w:cs="Times New Roman"/>
          <w:sz w:val="20"/>
        </w:rPr>
        <w:t xml:space="preserve">$35,390</w:t>
      </w:r>
      <w:r>
        <w:rPr>
          <w:rFonts w:ascii="Times New Roman" w:hAnsi="Times New Roman" w:eastAsia="Times New Roman" w:cs="Times New Roman"/>
          <w:sz w:val="20"/>
        </w:rPr>
        <w:t xml:space="preserve"> increase in other income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when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results from a combination of net currency exchange gains related to our Canadian transactions, and interest earned on our invested cash subsequent to our May 2019 secondary offering.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Net Loss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Net loss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$3,822,966</w:t>
      </w:r>
      <w:r>
        <w:rPr>
          <w:rFonts w:ascii="Times New Roman" w:hAnsi="Times New Roman" w:eastAsia="Times New Roman" w:cs="Times New Roman"/>
          <w:sz w:val="20"/>
        </w:rPr>
        <w:t xml:space="preserve">, a </w:t>
      </w:r>
      <w:r>
        <w:rPr>
          <w:rFonts w:ascii="Times New Roman" w:hAnsi="Times New Roman" w:eastAsia="Times New Roman" w:cs="Times New Roman"/>
          <w:sz w:val="20"/>
        </w:rPr>
        <w:t xml:space="preserve">$130,091</w:t>
      </w:r>
      <w:r>
        <w:rPr>
          <w:rFonts w:ascii="Times New Roman" w:hAnsi="Times New Roman" w:eastAsia="Times New Roman" w:cs="Times New Roman"/>
          <w:sz w:val="20"/>
        </w:rPr>
        <w:t xml:space="preserve"> increase in the net loss of </w:t>
      </w:r>
      <w:r>
        <w:rPr>
          <w:rFonts w:ascii="Times New Roman" w:hAnsi="Times New Roman" w:eastAsia="Times New Roman" w:cs="Times New Roman"/>
          <w:sz w:val="20"/>
        </w:rPr>
        <w:t xml:space="preserve">$3,692,875</w:t>
      </w:r>
      <w:r>
        <w:rPr>
          <w:rFonts w:ascii="Times New Roman" w:hAnsi="Times New Roman" w:eastAsia="Times New Roman" w:cs="Times New Roman"/>
          <w:sz w:val="20"/>
        </w:rPr>
        <w:t xml:space="preserve"> for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increase in net loss was impacted primarily by the factors discussed previously.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8"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Non-GAAP Financial Measures</w:t>
      </w:r>
      <w:bookmarkStart w:id="65046" w:name="Non_GAAP_Financial_Measures"/>
      <w:bookmarkEnd w:id="65046"/>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Below are financial measures of our gross billings and Adjusted EBITDA. These are “non-GAAP financial measures” as defined under the rules of the Securities and Exchange Commission (the “SEC”). We use these non-GAAP financial measures to assess the progress of our business and make decisions on where to allocate our resources. As our business evolves, we may make changes in future periods to the key financial metrics that we consider to measure our business.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Gross Billings by Segment</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Company management evaluates its operations and makes strategic decisions based, in part, on gross billings from its two primary operating segments, Managed Services and SaaS Services. We define gross billings as the total dollar value of the amounts earned from our customers for the services we performed, or the amounts billed to our customers for their self-service purchase of goods and services on our platforms. Gross billings are the amounts of our reported revenue plus the cost of payments we made to third-party creators providing the content or sponsorship services, which are netted against revenue for generally accepted accounting principals in the United States (“GAAP”) reporting purposes.</w:t>
      </w:r>
    </w:p>
    <w:p>
      <w:pPr>
        <w:ind w:left="1100" w:firstLine="-300"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Gross billings for Managed Services is the same as revenue reported in our consolidated statements of operations on a GAAP basis, as there is no requirement to net the costs of revenue against the revenue. Gross billings for Marketplace Spend Fees (which are included in SaaS Services) differ from revenue reported in our consolidated statements of operations on a GAAP basis, which is presented net of the amounts we pay to our third-party creators providing the content or sponsorship services. Gross billings for all other revenue types equals the revenue reported in our consolidated statements of operations.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consider gross billings to be an important indicator of our potential performance as it measures the total dollar volume of transactions generated through our marketplaces. Tracking gross billings allows us to monitor the percentage of gross billings that we are able to retain after payments to our creators. Additionally, tracking gross billings is critical as it pertains to our credit risk and cash flow. We invoice our customers based on our services performed or based on their self-service transactions plus our fee. Then we remit the agreed-upon transaction price to the creators. If we do not collect the money from our customers prior to the time of payment to our creators, we could experience large swings in our cash flows. Finally, gross billings allows us to evaluate our transaction totals on an equal basis in order for us to see our contribution margins by revenue stream so that we can better understand where we should be allocating our resources.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our gross billings by revenue type, the percentage of total gross billings by type, and the change between the periods:</w:t>
      </w:r>
    </w:p>
    <w:tbl>
      <w:tblPr>
        <w:tblW w:type="dxa" w:w="10240"/>
        <w:tblLayout w:type="fixed"/>
        <w:jc w:val="left"/>
      </w:tblPr>
      <w:tblGrid>
        <w:gridCol w:w="3000"/>
        <w:gridCol w:w="110"/>
        <w:gridCol w:w="953"/>
        <w:gridCol w:w="77"/>
        <w:gridCol w:w="80"/>
        <w:gridCol w:w="1140"/>
        <w:gridCol w:w="80"/>
        <w:gridCol w:w="110"/>
        <w:gridCol w:w="953"/>
        <w:gridCol w:w="77"/>
        <w:gridCol w:w="80"/>
        <w:gridCol w:w="1140"/>
        <w:gridCol w:w="80"/>
        <w:gridCol w:w="110"/>
        <w:gridCol w:w="953"/>
        <w:gridCol w:w="77"/>
        <w:gridCol w:w="80"/>
        <w:gridCol w:w="1140"/>
      </w:tblGrid>
      <w:tr>
        <w:trPr>
          <w:trHeight w:hRule="exact" w:val="280"/>
        </w:trPr>
        <w:tc>
          <w:tcPr>
            <w:tcW w:type="dxa" w:w="30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left"/>
              <w:keepNext/>
              <w:keepLines/>
              <w:spacing w:before="40" w:after="40" w:line="240" w:lineRule="auto"/>
              <w:rPr/>
            </w:pPr>
            <w:r>
              <w:rPr/>
            </w:r>
          </w:p>
        </w:tc>
        <w:tc>
          <w:tcPr>
            <w:tcMar>
              <w:left w:type="dxa" w:w="6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30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hMerge w:val="continue"/>
            <w:tcBorders>
              <w:top w:val="single" w:sz="8" w:space="0"/>
            </w:tcBorders>
          </w:tcPr>
          <w:p/>
        </w:tc>
        <w:tc>
          <w:tcPr>
            <w:tcW w:type="dxa" w:w="0"/>
            <w:tcMar>
              <w:left w:type="dxa" w:w="0"/>
              <w:right w:type="dxa" w:w="0"/>
            </w:tcMar>
            <w:hMerge w:val="continue"/>
            <w:tcBorders>
              <w:top w:val="single" w:sz="8" w:space="0"/>
            </w:tcBorders>
            <w:vAlign w:val="bottom"/>
          </w:tcPr>
          <w:p>
            <w:pPr>
              <w:jc w:val="left"/>
              <w:keepNext/>
              <w:keepLines/>
              <w:spacing w:before="40" w:after="40" w:line="240" w:lineRule="auto"/>
              <w:rPr/>
            </w:pPr>
            <w:r>
              <w:rPr/>
            </w: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80"/>
            <w:tcMar>
              <w:left w:type="dxa" w:w="0"/>
              <w:right w:type="dxa" w:w="0"/>
            </w:tcMar>
            <w:hMerge w:val="restart"/>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hMerge w:val="continue"/>
            <w:tcBorders>
              <w:top w:val="single" w:sz="8" w:space="0"/>
            </w:tcBorders>
          </w:tcPr>
          <w:p/>
        </w:tc>
        <w:tc>
          <w:tcPr>
            <w:tcW w:type="dxa" w:w="0"/>
            <w:tcMar>
              <w:left w:type="dxa" w:w="0"/>
              <w:right w:type="dxa" w:w="0"/>
            </w:tcMar>
            <w:hMerge w:val="continue"/>
            <w:tcBorders>
              <w:top w:val="single" w:sz="8" w:space="0"/>
            </w:tcBorders>
            <w:vAlign w:val="bottom"/>
          </w:tcPr>
          <w:p>
            <w:pPr>
              <w:jc w:val="left"/>
              <w:keepNext/>
              <w:keepLines/>
              <w:spacing w:before="40" w:after="40" w:line="240" w:lineRule="auto"/>
              <w:rPr/>
            </w:pPr>
            <w:r>
              <w:rPr/>
            </w: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r>
      <w:tr>
        <w:trPr>
          <w:trHeight w:hRule="exact" w:val="300"/>
        </w:trPr>
        <w:tc>
          <w:tcPr>
            <w:tcW w:type="dxa" w:w="3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Managed Services 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2,991,571</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4,004,850</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82%</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(1,013,279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w:t>
            </w:r>
          </w:p>
        </w:tc>
      </w:tr>
      <w:tr>
        <w:trPr>
          <w:trHeight w:hRule="exact" w:val="300"/>
        </w:trPr>
        <w:tc>
          <w:tcPr>
            <w:tcW w:type="dxa" w:w="30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3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Legacy Workflow Fees</w:t>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606,756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606,756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790,957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790,957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(184,201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(184,201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w:t>
            </w:r>
          </w:p>
        </w:tc>
      </w:tr>
      <w:tr>
        <w:trPr>
          <w:trHeight w:hRule="exact" w:val="300"/>
        </w:trPr>
        <w:tc>
          <w:tcPr>
            <w:tcW w:type="dxa" w:w="3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w:t>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2,453,625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2,453,625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52,388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52,388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2,401,237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2,401,237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4,584%</w:t>
            </w:r>
          </w:p>
        </w:tc>
      </w:tr>
      <w:tr>
        <w:trPr>
          <w:trHeight w:hRule="exact" w:val="300"/>
        </w:trPr>
        <w:tc>
          <w:tcPr>
            <w:tcW w:type="dxa" w:w="3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License Fees</w:t>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548,494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548,494</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39,347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39,347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509,147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509,147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1,294%</w:t>
            </w:r>
          </w:p>
        </w:tc>
      </w:tr>
      <w:tr>
        <w:trPr>
          <w:trHeight w:hRule="exact" w:val="300"/>
        </w:trPr>
        <w:tc>
          <w:tcPr>
            <w:tcW w:type="dxa" w:w="3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SaaS Services Gross Billings</w:t>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3,608,875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3,608,875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882,692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882,692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2,726,183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2,726,183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w:t>
            </w:r>
          </w:p>
        </w:tc>
      </w:tr>
      <w:tr>
        <w:trPr>
          <w:trHeight w:hRule="exact" w:val="300"/>
        </w:trPr>
        <w:tc>
          <w:tcPr>
            <w:tcW w:type="dxa" w:w="30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tcBorders>
            <w:vAlign w:val="bottom"/>
          </w:tcPr>
          <w:p>
            <w:pPr>
              <w:jc w:val="left"/>
              <w:keepNext/>
              <w:keepLines/>
              <w:spacing w:before="40" w:after="40" w:line="240" w:lineRule="auto"/>
              <w:rPr/>
            </w:pPr>
            <w:r>
              <w:rPr/>
            </w:r>
          </w:p>
        </w:tc>
      </w:tr>
      <w:tr>
        <w:trPr>
          <w:trHeight w:hRule="exact" w:val="300"/>
        </w:trPr>
        <w:tc>
          <w:tcPr>
            <w:tcW w:type="dxa" w:w="3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Other Revenue</w:t>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24,870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24,870</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14,002</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10,868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10,868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w:t>
            </w:r>
          </w:p>
        </w:tc>
      </w:tr>
      <w:tr>
        <w:trPr>
          <w:trHeight w:hRule="exact" w:val="300"/>
        </w:trPr>
        <w:tc>
          <w:tcPr>
            <w:tcW w:type="dxa" w:w="30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shd w:val="solid" w:color="cceeff"/>
              </w:rPr>
              <w:t xml:space="preserve">Total Gross Billings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6,625,316</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4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4,901,544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4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1,723,772</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4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w:t>
            </w:r>
          </w:p>
        </w:tc>
      </w:tr>
    </w:tbl>
    <w:p>
      <w:pPr>
        <w:jc w:val="left"/>
        <w:spacing w:line="300" w:lineRule="exact"/>
        <w:rPr/>
      </w:pPr>
      <w:r>
        <w:rPr/>
      </w:r>
    </w:p>
    <w:tbl>
      <w:tblPr>
        <w:tblW w:type="dxa" w:w="10240"/>
        <w:tblLayout w:type="fixed"/>
        <w:jc w:val="left"/>
      </w:tblPr>
      <w:tblGrid>
        <w:gridCol w:w="3000"/>
        <w:gridCol w:w="110"/>
        <w:gridCol w:w="953"/>
        <w:gridCol w:w="77"/>
        <w:gridCol w:w="80"/>
        <w:gridCol w:w="1140"/>
        <w:gridCol w:w="80"/>
        <w:gridCol w:w="110"/>
        <w:gridCol w:w="953"/>
        <w:gridCol w:w="77"/>
        <w:gridCol w:w="80"/>
        <w:gridCol w:w="1140"/>
        <w:gridCol w:w="80"/>
        <w:gridCol w:w="110"/>
        <w:gridCol w:w="953"/>
        <w:gridCol w:w="77"/>
        <w:gridCol w:w="80"/>
        <w:gridCol w:w="1140"/>
      </w:tblGrid>
      <w:tr>
        <w:trPr>
          <w:trHeight w:hRule="exact" w:val="280"/>
        </w:trPr>
        <w:tc>
          <w:tcPr>
            <w:tcW w:type="dxa" w:w="30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left"/>
              <w:keepNext/>
              <w:keepLines/>
              <w:spacing w:before="40" w:after="40" w:line="240" w:lineRule="auto"/>
              <w:rPr/>
            </w:pPr>
            <w:r>
              <w:rPr/>
            </w:r>
          </w:p>
        </w:tc>
        <w:tc>
          <w:tcPr>
            <w:tcMar>
              <w:left w:type="dxa" w:w="6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30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hMerge w:val="continue"/>
            <w:tcBorders>
              <w:top w:val="single" w:sz="8" w:space="0"/>
            </w:tcBorders>
          </w:tcP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80"/>
            <w:tcMar>
              <w:left w:type="dxa" w:w="0"/>
              <w:right w:type="dxa" w:w="0"/>
            </w:tcMar>
            <w:hMerge w:val="restart"/>
            <w:tcBorders>
              <w:top w:val="single" w:sz="8" w:space="0"/>
            </w:tcBorders>
            <w:vAlign w:val="top"/>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hMerge w:val="continue"/>
            <w:tcBorders>
              <w:top w:val="single" w:sz="8" w:space="0"/>
            </w:tcBorders>
          </w:tcP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0"/>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r>
      <w:tr>
        <w:trPr>
          <w:trHeight w:hRule="exact" w:val="300"/>
        </w:trPr>
        <w:tc>
          <w:tcPr>
            <w:tcW w:type="dxa" w:w="3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Services 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6,858,803</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7,801,515</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(942,712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w:t>
            </w:r>
          </w:p>
        </w:tc>
      </w:tr>
      <w:tr>
        <w:trPr>
          <w:trHeight w:hRule="exact" w:val="300"/>
        </w:trPr>
        <w:tc>
          <w:tcPr>
            <w:tcW w:type="dxa" w:w="30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r>
      <w:tr>
        <w:trPr>
          <w:trHeight w:hRule="exact" w:val="300"/>
        </w:trPr>
        <w:tc>
          <w:tcPr>
            <w:tcW w:type="dxa" w:w="3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 Fees</w:t>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1,261,681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1,261,681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1,662,769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1,662,769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(401,088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(401,088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w:t>
            </w:r>
          </w:p>
        </w:tc>
      </w:tr>
      <w:tr>
        <w:trPr>
          <w:trHeight w:hRule="exact" w:val="300"/>
        </w:trPr>
        <w:tc>
          <w:tcPr>
            <w:tcW w:type="dxa" w:w="3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w:t>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5,256,146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5,256,146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58,043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58,043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5,198,103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5,198,103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8,956%</w:t>
            </w:r>
          </w:p>
        </w:tc>
      </w:tr>
      <w:tr>
        <w:trPr>
          <w:trHeight w:hRule="exact" w:val="300"/>
        </w:trPr>
        <w:tc>
          <w:tcPr>
            <w:tcW w:type="dxa" w:w="30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1,039,588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1,039,588</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52,611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52,611</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986,977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986,977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1,876%</w:t>
            </w:r>
          </w:p>
        </w:tc>
      </w:tr>
      <w:tr>
        <w:trPr>
          <w:trHeight w:hRule="exact" w:val="300"/>
        </w:trPr>
        <w:tc>
          <w:tcPr>
            <w:tcW w:type="dxa" w:w="3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SaaS Services Gross Billings</w:t>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7,557,415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7,557,415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1,773,423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1,773,423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5,783,992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5,783,992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w:t>
            </w:r>
          </w:p>
        </w:tc>
      </w:tr>
      <w:tr>
        <w:trPr>
          <w:trHeight w:hRule="exact" w:val="300"/>
        </w:trPr>
        <w:tc>
          <w:tcPr>
            <w:tcW w:type="dxa" w:w="30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left"/>
              <w:keepNext/>
              <w:keepLines/>
              <w:spacing w:before="40" w:after="40" w:line="240" w:lineRule="auto"/>
              <w:rPr/>
            </w:pPr>
            <w:r>
              <w:rPr/>
            </w: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top w:val="single" w:sz="8" w:space="0"/>
            </w:tcBorders>
            <w:vAlign w:val="bottom"/>
          </w:tcPr>
          <w:p>
            <w:pPr>
              <w:jc w:val="left"/>
              <w:keepNext/>
              <w:keepLines/>
              <w:spacing w:before="40" w:after="40" w:line="240" w:lineRule="auto"/>
              <w:rPr/>
            </w:pPr>
            <w:r>
              <w:rPr/>
            </w:r>
          </w:p>
        </w:tc>
      </w:tr>
      <w:tr>
        <w:trPr>
          <w:trHeight w:hRule="exact" w:val="300"/>
        </w:trPr>
        <w:tc>
          <w:tcPr>
            <w:tcW w:type="dxa" w:w="30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Revenue</w:t>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38,317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38,317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36,966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36,966</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w:t>
            </w:r>
          </w:p>
        </w:tc>
      </w:tr>
      <w:tr>
        <w:trPr>
          <w:trHeight w:hRule="exact" w:val="300"/>
        </w:trPr>
        <w:tc>
          <w:tcPr>
            <w:tcW w:type="dxa" w:w="30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Gross Billings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14,454,535</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4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9,611,904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4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4,842,631</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4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w:t>
            </w:r>
          </w:p>
        </w:tc>
      </w:tr>
    </w:tbl>
    <w:p>
      <w:pPr>
        <w:ind w:firstLine="720" w:right="20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Gross billings for our SaaS Services segment were </w:t>
      </w:r>
      <w:r>
        <w:rPr>
          <w:rFonts w:ascii="Times New Roman" w:hAnsi="Times New Roman" w:eastAsia="Times New Roman" w:cs="Times New Roman"/>
          <w:sz w:val="20"/>
        </w:rPr>
        <w:t xml:space="preserve">$3,608,875</w:t>
      </w:r>
      <w:r>
        <w:rPr>
          <w:rFonts w:ascii="Times New Roman" w:hAnsi="Times New Roman" w:eastAsia="Times New Roman" w:cs="Times New Roman"/>
          <w:sz w:val="20"/>
        </w:rPr>
        <w:t xml:space="preserve"> for the three months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 increase of </w:t>
      </w:r>
      <w:r>
        <w:rPr>
          <w:rFonts w:ascii="Times New Roman" w:hAnsi="Times New Roman" w:eastAsia="Times New Roman" w:cs="Times New Roman"/>
          <w:sz w:val="20"/>
        </w:rPr>
        <w:t xml:space="preserve">$2,726,183</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our gross billings for the SaaS Services segment were </w:t>
      </w:r>
      <w:r>
        <w:rPr>
          <w:rFonts w:ascii="Times New Roman" w:hAnsi="Times New Roman" w:eastAsia="Times New Roman" w:cs="Times New Roman"/>
          <w:sz w:val="20"/>
        </w:rPr>
        <w:t xml:space="preserve">$7,557,415</w:t>
      </w:r>
      <w:r>
        <w:rPr>
          <w:rFonts w:ascii="Times New Roman" w:hAnsi="Times New Roman" w:eastAsia="Times New Roman" w:cs="Times New Roman"/>
          <w:sz w:val="20"/>
        </w:rPr>
        <w:t xml:space="preserve">, an increase of </w:t>
      </w:r>
      <w:r>
        <w:rPr>
          <w:rFonts w:ascii="Times New Roman" w:hAnsi="Times New Roman" w:eastAsia="Times New Roman" w:cs="Times New Roman"/>
          <w:sz w:val="20"/>
        </w:rPr>
        <w:t xml:space="preserve">$5,783,992</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These increases were primarily due to the addition of TapInfluence in July 2018. We expect our merger with TapInfluence to have a continuing significant positive impact on our future gross billings in our SaaS Services segment as we build on the significant marketer base obtained from the merger, offset by the phasing out of our Legacy Workflow activity.</w:t>
      </w:r>
    </w:p>
    <w:p>
      <w:pPr>
        <w:ind w:firstLine="720"/>
        <w:jc w:val="left"/>
        <w:keepNext/>
        <w:keepLines/>
        <w:spacing w:before="120"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sets forth a reconciliation from the GAAP measurement of revenue to our non-GAAP financial measure of gross billings stated above and the percentage change between the periods:</w:t>
      </w:r>
    </w:p>
    <w:tbl>
      <w:tblPr>
        <w:tblW w:type="dxa" w:w="10240"/>
        <w:tblLayout w:type="fixed"/>
        <w:jc w:val="left"/>
      </w:tblPr>
      <w:tblGrid>
        <w:gridCol w:w="4160"/>
        <w:gridCol w:w="80"/>
        <w:gridCol w:w="110"/>
        <w:gridCol w:w="1253"/>
        <w:gridCol w:w="77"/>
        <w:gridCol w:w="80"/>
        <w:gridCol w:w="110"/>
        <w:gridCol w:w="1253"/>
        <w:gridCol w:w="77"/>
        <w:gridCol w:w="80"/>
        <w:gridCol w:w="110"/>
        <w:gridCol w:w="1253"/>
        <w:gridCol w:w="77"/>
        <w:gridCol w:w="80"/>
        <w:gridCol w:w="1440"/>
      </w:tblGrid>
      <w:tr>
        <w:trPr>
          <w:trHeight w:hRule="exact" w:val="280"/>
        </w:trPr>
        <w:tc>
          <w:tcPr>
            <w:tcW w:type="dxa" w:w="416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left"/>
              <w:keepNext/>
              <w:keepLines/>
              <w:spacing w:before="40" w:after="40" w:line="240" w:lineRule="auto"/>
              <w:rPr/>
            </w:pPr>
            <w:r>
              <w:rPr/>
            </w:r>
          </w:p>
        </w:tc>
        <w:tc>
          <w:tcPr>
            <w:tcMar>
              <w:left w:type="dxa" w:w="6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44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416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4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r>
      <w:tr>
        <w:trPr>
          <w:trHeight w:hRule="exact" w:val="300"/>
        </w:trPr>
        <w:tc>
          <w:tcPr>
            <w:tcW w:type="dxa" w:w="4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3,923,864</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4,120,960</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(197,096</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44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r>
      <w:tr>
        <w:trPr>
          <w:trHeight w:hRule="exact" w:val="280"/>
        </w:trPr>
        <w:tc>
          <w:tcPr>
            <w:tcW w:type="dxa" w:w="41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Plus payments made to third-party creators</w:t>
            </w:r>
            <w:r>
              <w:rPr>
                <w:rFonts w:ascii="Times New Roman" w:hAnsi="Times New Roman" w:eastAsia="Times New Roman" w:cs="Times New Roman"/>
                <w:sz w:val="18"/>
              </w:rPr>
              <w:t xml:space="preserve"> </w:t>
            </w:r>
            <w:r>
              <w:rPr>
                <w:rFonts w:ascii="Times New Roman" w:hAnsi="Times New Roman" w:eastAsia="Times New Roman" w:cs="Times New Roman"/>
                <w:sz w:val="20"/>
                <w:vertAlign w:val="superscript"/>
              </w:rPr>
              <w:t xml:space="preserve">(1)</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2,701,452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2,701,452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780,584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780,584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1,920,868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1,920,868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246%</w:t>
            </w:r>
          </w:p>
        </w:tc>
      </w:tr>
      <w:tr>
        <w:trPr>
          <w:trHeight w:hRule="exact" w:val="280"/>
        </w:trPr>
        <w:tc>
          <w:tcPr>
            <w:tcW w:type="dxa" w:w="41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Gross billings</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6,625,316</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4,901,544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1,723,772</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44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w:t>
            </w:r>
          </w:p>
        </w:tc>
      </w:tr>
    </w:tbl>
    <w:p>
      <w:pPr>
        <w:ind w:left="360" w:firstLine="-360"/>
        <w:jc w:val="left"/>
        <w:spacing w:before="60" w:after="260" w:line="288" w:lineRule="auto"/>
        <w:rPr>
          <w:rFonts w:ascii="Times New Roman" w:hAnsi="Times New Roman" w:eastAsia="Times New Roman" w:cs="Times New Roman"/>
          <w:sz w:val="18"/>
          <w:vertAlign w:val="superscript"/>
        </w:rPr>
      </w:pPr>
      <w:r>
        <w:rPr>
          <w:rFonts w:ascii="Times New Roman" w:hAnsi="Times New Roman" w:eastAsia="Times New Roman" w:cs="Times New Roman"/>
          <w:sz w:val="18"/>
          <w:vertAlign w:val="superscript"/>
        </w:rPr>
        <w:t xml:space="preserve">(1)</w:t>
      </w:r>
      <w:r>
        <w:rPr>
          <w:rFonts w:ascii="Times New Roman" w:hAnsi="Times New Roman" w:eastAsia="Times New Roman" w:cs="Times New Roman"/>
          <w:sz w:val="18"/>
        </w:rPr>
        <w:t xml:space="preserve"> 	</w:t>
      </w:r>
      <w:r>
        <w:rPr>
          <w:rFonts w:ascii="Times New Roman" w:hAnsi="Times New Roman" w:eastAsia="Times New Roman" w:cs="Times New Roman"/>
          <w:sz w:val="20"/>
        </w:rPr>
        <w:t xml:space="preserve">Payments made to third-party creators for the Legacy Workflow and Marketplace Spend components of our revenue reported on a net basis for GAAP.</w:t>
      </w:r>
    </w:p>
    <w:tbl>
      <w:tblPr>
        <w:tblW w:type="dxa" w:w="10240"/>
        <w:tblLayout w:type="fixed"/>
        <w:jc w:val="left"/>
      </w:tblPr>
      <w:tblGrid>
        <w:gridCol w:w="4160"/>
        <w:gridCol w:w="80"/>
        <w:gridCol w:w="110"/>
        <w:gridCol w:w="1253"/>
        <w:gridCol w:w="77"/>
        <w:gridCol w:w="80"/>
        <w:gridCol w:w="110"/>
        <w:gridCol w:w="1253"/>
        <w:gridCol w:w="77"/>
        <w:gridCol w:w="80"/>
        <w:gridCol w:w="110"/>
        <w:gridCol w:w="1253"/>
        <w:gridCol w:w="77"/>
        <w:gridCol w:w="80"/>
        <w:gridCol w:w="1440"/>
      </w:tblGrid>
      <w:tr>
        <w:trPr>
          <w:trHeight w:hRule="exact" w:val="280"/>
        </w:trPr>
        <w:tc>
          <w:tcPr>
            <w:tcW w:type="dxa" w:w="416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left"/>
              <w:keepNext/>
              <w:keepLines/>
              <w:spacing w:before="40" w:after="40" w:line="240" w:lineRule="auto"/>
              <w:rPr/>
            </w:pPr>
            <w:r>
              <w:rPr/>
            </w:r>
          </w:p>
        </w:tc>
        <w:tc>
          <w:tcPr>
            <w:tcMar>
              <w:left w:type="dxa" w:w="6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44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416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44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w:t>
            </w:r>
          </w:p>
        </w:tc>
      </w:tr>
      <w:tr>
        <w:trPr>
          <w:trHeight w:hRule="exact" w:val="300"/>
        </w:trPr>
        <w:tc>
          <w:tcPr>
            <w:tcW w:type="dxa" w:w="4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8,717,620</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8,017,401</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700,219</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4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r>
      <w:tr>
        <w:trPr>
          <w:trHeight w:hRule="exact" w:val="280"/>
        </w:trPr>
        <w:tc>
          <w:tcPr>
            <w:tcW w:type="dxa" w:w="41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Plus payments made to third-party creators</w:t>
            </w:r>
            <w:r>
              <w:rPr>
                <w:rFonts w:ascii="Times New Roman" w:hAnsi="Times New Roman" w:eastAsia="Times New Roman" w:cs="Times New Roman"/>
                <w:sz w:val="18"/>
              </w:rPr>
              <w:t xml:space="preserve"> </w:t>
            </w:r>
            <w:r>
              <w:rPr>
                <w:rFonts w:ascii="Times New Roman" w:hAnsi="Times New Roman" w:eastAsia="Times New Roman" w:cs="Times New Roman"/>
                <w:sz w:val="20"/>
                <w:vertAlign w:val="superscript"/>
              </w:rPr>
              <w:t xml:space="preserve">(1)</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5,736,915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5,736,915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1,594,503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1,594,503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4,142,412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4,142,412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4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260%</w:t>
            </w:r>
          </w:p>
        </w:tc>
      </w:tr>
      <w:tr>
        <w:trPr>
          <w:trHeight w:hRule="exact" w:val="280"/>
        </w:trPr>
        <w:tc>
          <w:tcPr>
            <w:tcW w:type="dxa" w:w="41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Gross billings</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14,454,535</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9,611,904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4,842,631</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440"/>
            <w:tcMar>
              <w:left w:type="dxa" w:w="60"/>
              <w:right w:type="dxa" w:w="60"/>
            </w:tcMar>
            <w:tcBorders>
              <w:top w:val="single" w:sz="8" w:space="0"/>
              <w:bottom w:val="double" w:sz="4"/>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w:t>
            </w:r>
          </w:p>
        </w:tc>
      </w:tr>
    </w:tbl>
    <w:p>
      <w:pPr>
        <w:ind w:left="360" w:firstLine="-360"/>
        <w:jc w:val="left"/>
        <w:spacing w:before="60" w:line="288" w:lineRule="auto"/>
        <w:rPr>
          <w:rFonts w:ascii="Times New Roman" w:hAnsi="Times New Roman" w:eastAsia="Times New Roman" w:cs="Times New Roman"/>
          <w:sz w:val="18"/>
          <w:vertAlign w:val="superscript"/>
        </w:rPr>
      </w:pPr>
      <w:r>
        <w:rPr>
          <w:rFonts w:ascii="Times New Roman" w:hAnsi="Times New Roman" w:eastAsia="Times New Roman" w:cs="Times New Roman"/>
          <w:sz w:val="18"/>
          <w:vertAlign w:val="superscript"/>
        </w:rPr>
        <w:t xml:space="preserve">(1)</w:t>
      </w:r>
      <w:r>
        <w:rPr>
          <w:rFonts w:ascii="Times New Roman" w:hAnsi="Times New Roman" w:eastAsia="Times New Roman" w:cs="Times New Roman"/>
          <w:sz w:val="18"/>
        </w:rPr>
        <w:t xml:space="preserve"> 	</w:t>
      </w:r>
      <w:r>
        <w:rPr>
          <w:rFonts w:ascii="Times New Roman" w:hAnsi="Times New Roman" w:eastAsia="Times New Roman" w:cs="Times New Roman"/>
          <w:sz w:val="20"/>
        </w:rPr>
        <w:t xml:space="preserve">Payments made to third-party creators for the Legacy Workflow and Marketplace Spend components of our revenue reported on a net basis for GAAP.</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Adjusted EBITDA</w:t>
      </w:r>
    </w:p>
    <w:p>
      <w:pPr>
        <w:jc w:val="left"/>
        <w:keepNex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define Adjusted EBITDA as earnings or loss before interest, taxes, depreciation and amortization, non-cash stock-based compensation, gain or loss on asset disposals or impairment, changes in acquisition cost estimates, and all other unusual or non-cash income and expense items such as gains or losses on settlement of liabilities and exchanges, and changes in the fair value of derivatives, if applicable.</w:t>
      </w:r>
    </w:p>
    <w:p>
      <w:pPr>
        <w:ind w:firstLine="720"/>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use Adjusted EBITDA as a measure of operating performance, for planning purposes, to allocate resources to enhance the financial performance of our business, and in communications with our Board of Directors regarding our financial performance. We believe that Adjusted EBITDA also provides useful information to investors as it excludes transactions not related to our core cash-generating operating business activities, and it provides consistency and facilitates period-to-period comparisons. We believe that excluding these transactions allows investors to meaningfully trend and analyze the performance of our core cash-generating operations.</w:t>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All companies do not calculate Adjusted EBITDA in the same manner, and Adjusted EBITDA as presented by us may not be comparable to Adjusted EBITDA presented by other companies, which limits its usefulness as a comparative measure. Moreover, Adjusted EBITDA has limitations as an analytical tool, and you should not consider it in isolation or as a substitute for an analysis of our results of operations as under GAAP. These limitations are that Adjusted EBITDA:</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6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stock-based compensation expense, which is a non-cash expense, but has been, and will continue to be for the foreseeable future, a significant recurring expense for our business and an important part of our compensation strategy; </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6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stock issued for payment of services, which is a non-cash expense, but has been, and is expected to be for the foreseeable future, an important means for us to compensate our directors, vendors and other parties who provide us with services; </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6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changes in acquisition cost estimates as a result of the allocation of acquisition costs payable to compensation expense which may be a significant recurring expense for our business if we continue to make business acquisitions;</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6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gains or losses on the settlement of acquisition costs payable or liabilities when the stock value, as agreed upon in the agreement, varies from the market price of our stock on the settlement date.  This is a non-cash expense, but will continue to be a recurring expense for our business on certain business contracts where the amounts can vary; </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6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unusual or expected non-recurring items such as large litigation reserves;</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6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depreciation and intangible assets amortization expense, impairment charges and gains or losses on disposal of equipment, which is not always a current period cash expense, but the assets being depreciated and amortized may have to be replaced in the future; and</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6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changes in fair value of derivatives, interest expense and other gains, losses, and expenses that we believe are not indicative of our ongoing core operating results, but these items may represent a reduction or increase in cash available to us.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Because of these limitations, Adjusted EBITDA should not be considered as a measure of discretionary cash available to us to invest in the operation and growth of our business or as a measure of cash that will be available to us to meet our obligations. You should compensate for these limitations by relying primarily on our GAAP results and using these non-GAAP financial measures as supplements. In evaluating these non-GAAP financial measures, you should be aware that in the future, we may incur expenses similar to those for which adjustments are made in calculating Adjusted EBITDA. Our presentation of these non-GAAP financial measures should also not be construed to infer that our future results will be unaffected by unusual or non-recurring items.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a reconciliation from the GAAP measurement of net loss to our non-GAAP financial measure of Adjusted EBITDA for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tbl>
      <w:tblPr>
        <w:tblW w:type="dxa" w:w="10240"/>
        <w:tblLayout w:type="fixed"/>
        <w:jc w:val="left"/>
      </w:tblPr>
      <w:tblGrid>
        <w:gridCol w:w="4240"/>
        <w:gridCol w:w="110"/>
        <w:gridCol w:w="1253"/>
        <w:gridCol w:w="77"/>
        <w:gridCol w:w="80"/>
        <w:gridCol w:w="110"/>
        <w:gridCol w:w="1253"/>
        <w:gridCol w:w="77"/>
        <w:gridCol w:w="80"/>
        <w:gridCol w:w="110"/>
        <w:gridCol w:w="1253"/>
        <w:gridCol w:w="77"/>
        <w:gridCol w:w="80"/>
        <w:gridCol w:w="110"/>
        <w:gridCol w:w="1253"/>
        <w:gridCol w:w="77"/>
      </w:tblGrid>
      <w:tr>
        <w:trPr>
          <w:trHeight w:hRule="exact" w:val="280"/>
        </w:trPr>
        <w:tc>
          <w:tcPr>
            <w:tcW w:type="dxa" w:w="42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Three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Six Months Ended June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280"/>
        </w:trPr>
        <w:tc>
          <w:tcPr>
            <w:tcW w:type="dxa" w:w="424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4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(1,992,386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(1,647,755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(3,822,966</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(3,692,875</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2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Non-cash stock-based compensation</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157,328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157,328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203,351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203,351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318,205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318,205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349,632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349,632</w:t>
            </w:r>
          </w:p>
        </w:tc>
        <w:tc>
          <w:tcPr>
            <w:tcW w:type="dxa" w:w="77"/>
            <w:tcMar>
              <w:left w:type="dxa" w:w="0"/>
              <w:right w:type="dxa" w:w="0"/>
            </w:tcMar>
            <w:tcBorders/>
          </w:tcPr>
          <w:p/>
        </w:tc>
      </w:tr>
      <w:tr>
        <w:trPr>
          <w:trHeight w:hRule="exact" w:val="300"/>
        </w:trPr>
        <w:tc>
          <w:tcPr>
            <w:tcW w:type="dxa" w:w="42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Non-cash stock issued for payment of services</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33,819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33,819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74,995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74,995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62,490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62,490</w:t>
            </w:r>
          </w:p>
        </w:tc>
        <w:tc>
          <w:tcPr>
            <w:tcW w:type="dxa" w:w="77"/>
            <w:tcMar>
              <w:left w:type="dxa" w:w="0"/>
              <w:right w:type="dxa" w:w="0"/>
            </w:tcMar>
            <w:tcBorders/>
          </w:tcPr>
          <w:p/>
        </w:tc>
      </w:tr>
      <w:tr>
        <w:trPr>
          <w:trHeight w:hRule="exact" w:val="300"/>
        </w:trPr>
        <w:tc>
          <w:tcPr>
            <w:tcW w:type="dxa" w:w="42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(113,801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(113,801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W w:type="dxa" w:w="77"/>
            <w:tcMar>
              <w:left w:type="dxa" w:w="0"/>
              <w:right w:type="dxa" w:w="0"/>
            </w:tcMar>
            <w:tcBorders/>
          </w:tcPr>
          <w:p/>
        </w:tc>
      </w:tr>
      <w:tr>
        <w:trPr>
          <w:trHeight w:hRule="exact" w:val="300"/>
        </w:trPr>
        <w:tc>
          <w:tcPr>
            <w:tcW w:type="dxa" w:w="42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Loss on settlement of acquisition costs payable</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191,439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191,439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500"/>
        </w:trPr>
        <w:tc>
          <w:tcPr>
            <w:tcW w:type="dxa" w:w="42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Increase (decrease) in value of acquisition costs payable</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2,669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(231,502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(231,502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5,333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5,333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(624,596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(624,596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2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86,737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86,737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35,403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35,403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215,201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215,201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56,714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56,714</w:t>
            </w:r>
          </w:p>
        </w:tc>
        <w:tc>
          <w:tcPr>
            <w:tcW w:type="dxa" w:w="77"/>
            <w:tcMar>
              <w:left w:type="dxa" w:w="0"/>
              <w:right w:type="dxa" w:w="0"/>
            </w:tcMar>
            <w:tcBorders/>
          </w:tcPr>
          <w:p/>
        </w:tc>
      </w:tr>
      <w:tr>
        <w:trPr>
          <w:trHeight w:hRule="exact" w:val="300"/>
        </w:trPr>
        <w:tc>
          <w:tcPr>
            <w:tcW w:type="dxa" w:w="42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448,105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448,105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210,691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210,691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884,329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884,329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476,146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476,146</w:t>
            </w:r>
          </w:p>
        </w:tc>
        <w:tc>
          <w:tcPr>
            <w:tcW w:type="dxa" w:w="77"/>
            <w:tcMar>
              <w:left w:type="dxa" w:w="0"/>
              <w:right w:type="dxa" w:w="0"/>
            </w:tcMar>
            <w:tcBorders/>
          </w:tcPr>
          <w:p/>
        </w:tc>
      </w:tr>
      <w:tr>
        <w:trPr>
          <w:trHeight w:hRule="exact" w:val="300"/>
        </w:trPr>
        <w:tc>
          <w:tcPr>
            <w:tcW w:type="dxa" w:w="42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non-cash items</w:t>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(7,580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(2,253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(8,095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24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Adjusted EBITDA</w:t>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(1,267,630</w:t>
            </w:r>
          </w:p>
        </w:tc>
        <w:tc>
          <w:tcPr>
            <w:tcW w:type="dxa" w:w="77"/>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(1,512,047</w:t>
            </w:r>
          </w:p>
        </w:tc>
        <w:tc>
          <w:tcPr>
            <w:tcW w:type="dxa" w:w="77"/>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(2,141,559</w:t>
            </w:r>
          </w:p>
        </w:tc>
        <w:tc>
          <w:tcPr>
            <w:tcW w:type="dxa" w:w="77"/>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(3,362,095</w:t>
            </w:r>
          </w:p>
        </w:tc>
        <w:tc>
          <w:tcPr>
            <w:tcW w:type="dxa" w:w="77"/>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240"/>
            <w:tcMar>
              <w:left w:type="dxa" w:w="18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424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3,923,864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4,120,960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8,717,620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8,017,401</w:t>
            </w:r>
          </w:p>
        </w:tc>
        <w:tc>
          <w:tcPr>
            <w:tcW w:type="dxa" w:w="77"/>
            <w:tcMar>
              <w:left w:type="dxa" w:w="0"/>
              <w:right w:type="dxa" w:w="0"/>
            </w:tcMar>
            <w:tcBorders/>
          </w:tcPr>
          <w:p/>
        </w:tc>
      </w:tr>
      <w:tr>
        <w:trPr>
          <w:trHeight w:hRule="exact" w:val="280"/>
        </w:trPr>
        <w:tc>
          <w:tcPr>
            <w:tcW w:type="dxa" w:w="424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Adjusted EBITDA as a % of Revenue</w:t>
            </w:r>
          </w:p>
        </w:tc>
        <w:tc>
          <w:tcPr>
            <w:tcW w:type="dxa" w:w="0"/>
            <w:tcMar>
              <w:left w:type="dxa" w:w="60"/>
              <w:right w:type="dxa" w:w="60"/>
            </w:tcMar>
            <w:tcBorders/>
            <w:vAlign w:val="bottom"/>
            <w:hMerge w:val="restart"/>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w:t>
            </w:r>
          </w:p>
        </w:tc>
        <w:tc>
          <w:tcPr>
            <w:tcMar>
              <w:left w:type="dxa" w:w="60"/>
              <w:right w:type="dxa" w:w="60"/>
            </w:tcMar>
            <w:tcBorders/>
            <w:hMerge w:val="continue"/>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w:t>
            </w:r>
          </w:p>
        </w:tc>
        <w:tc>
          <w:tcPr>
            <w:tcMar>
              <w:left w:type="dxa" w:w="0"/>
              <w:right w:type="dxa" w:w="60"/>
            </w:tcMar>
            <w:tcBorders/>
            <w:hMerge w:val="continue"/>
          </w:tcPr>
          <w:p/>
        </w:tc>
        <w:tc>
          <w:tcPr>
            <w:tcW w:type="dxa" w:w="80"/>
            <w:tcMar>
              <w:left w:type="dxa" w:w="0"/>
              <w:right w:type="dxa" w:w="0"/>
            </w:tcMar>
            <w:tcBorders/>
            <w:vAlign w:val="bottom"/>
          </w:tcPr>
          <w:p>
            <w:pPr>
              <w:jc w:val="left"/>
              <w:keepLines/>
              <w:spacing w:before="40" w:after="40" w:line="240" w:lineRule="auto"/>
              <w:rPr/>
            </w:pPr>
            <w:r>
              <w:rPr/>
            </w:r>
          </w:p>
        </w:tc>
        <w:tc>
          <w:tcPr>
            <w:tcW w:type="dxa" w:w="0"/>
            <w:tcMar>
              <w:left w:type="dxa" w:w="60"/>
              <w:right w:type="dxa" w:w="60"/>
            </w:tcMar>
            <w:tcBorders/>
            <w:vAlign w:val="bottom"/>
            <w:hMerge w:val="restart"/>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w:t>
            </w:r>
          </w:p>
        </w:tc>
        <w:tc>
          <w:tcPr>
            <w:tcMar>
              <w:left w:type="dxa" w:w="60"/>
              <w:right w:type="dxa" w:w="60"/>
            </w:tcMar>
            <w:tcBorders/>
            <w:hMerge w:val="continue"/>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w:t>
            </w:r>
          </w:p>
        </w:tc>
        <w:tc>
          <w:tcPr>
            <w:tcMar>
              <w:left w:type="dxa" w:w="0"/>
              <w:right w:type="dxa" w:w="60"/>
            </w:tcMar>
            <w:tcBorders/>
            <w:hMerge w:val="continue"/>
          </w:tcPr>
          <w:p/>
        </w:tc>
        <w:tc>
          <w:tcPr>
            <w:tcW w:type="dxa" w:w="80"/>
            <w:tcMar>
              <w:left w:type="dxa" w:w="0"/>
              <w:right w:type="dxa" w:w="0"/>
            </w:tcMar>
            <w:tcBorders/>
            <w:vAlign w:val="bottom"/>
          </w:tcPr>
          <w:p>
            <w:pPr>
              <w:jc w:val="left"/>
              <w:keepLines/>
              <w:spacing w:before="40" w:after="40" w:line="240" w:lineRule="auto"/>
              <w:rPr/>
            </w:pPr>
            <w:r>
              <w:rPr/>
            </w:r>
          </w:p>
        </w:tc>
        <w:tc>
          <w:tcPr>
            <w:tcW w:type="dxa" w:w="0"/>
            <w:tcMar>
              <w:left w:type="dxa" w:w="60"/>
              <w:right w:type="dxa" w:w="60"/>
            </w:tcMar>
            <w:tcBorders/>
            <w:vAlign w:val="bottom"/>
            <w:hMerge w:val="restart"/>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w:t>
            </w:r>
          </w:p>
        </w:tc>
        <w:tc>
          <w:tcPr>
            <w:tcMar>
              <w:left w:type="dxa" w:w="60"/>
              <w:right w:type="dxa" w:w="60"/>
            </w:tcMar>
            <w:tcBorders/>
            <w:hMerge w:val="continue"/>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w:t>
            </w:r>
          </w:p>
        </w:tc>
        <w:tc>
          <w:tcPr>
            <w:tcMar>
              <w:left w:type="dxa" w:w="0"/>
              <w:right w:type="dxa" w:w="60"/>
            </w:tcMar>
            <w:tcBorders/>
            <w:hMerge w:val="continue"/>
          </w:tcPr>
          <w:p/>
        </w:tc>
        <w:tc>
          <w:tcPr>
            <w:tcW w:type="dxa" w:w="80"/>
            <w:tcMar>
              <w:left w:type="dxa" w:w="0"/>
              <w:right w:type="dxa" w:w="0"/>
            </w:tcMar>
            <w:tcBorders/>
            <w:vAlign w:val="bottom"/>
          </w:tcPr>
          <w:p>
            <w:pPr>
              <w:jc w:val="left"/>
              <w:keepLines/>
              <w:spacing w:before="40" w:after="40" w:line="240" w:lineRule="auto"/>
              <w:rPr/>
            </w:pPr>
            <w:r>
              <w:rPr/>
            </w:r>
          </w:p>
        </w:tc>
        <w:tc>
          <w:tcPr>
            <w:tcW w:type="dxa" w:w="0"/>
            <w:tcMar>
              <w:left w:type="dxa" w:w="60"/>
              <w:right w:type="dxa" w:w="60"/>
            </w:tcMar>
            <w:tcBorders/>
            <w:vAlign w:val="bottom"/>
            <w:hMerge w:val="restart"/>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w:t>
            </w:r>
          </w:p>
        </w:tc>
        <w:tc>
          <w:tcPr>
            <w:tcMar>
              <w:left w:type="dxa" w:w="60"/>
              <w:right w:type="dxa" w:w="60"/>
            </w:tcMar>
            <w:tcBorders/>
            <w:hMerge w:val="continue"/>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w:t>
            </w:r>
          </w:p>
        </w:tc>
        <w:tc>
          <w:tcPr>
            <w:tcMar>
              <w:left w:type="dxa" w:w="0"/>
              <w:right w:type="dxa" w:w="60"/>
            </w:tcMar>
            <w:tcBorders/>
            <w:hMerge w:val="continue"/>
          </w:tcPr>
          <w:p/>
        </w:tc>
      </w:tr>
    </w:tbl>
    <w:p>
      <w:pPr>
        <w:ind w:firstLine="720"/>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29"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Liquidity and Capital Resources</w:t>
      </w:r>
      <w:bookmarkStart w:id="37102" w:name="Liquidity_and_Capital_Resources_"/>
      <w:bookmarkEnd w:id="37102"/>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had cash and cash equivalents of </w:t>
      </w:r>
      <w:r>
        <w:rPr>
          <w:rFonts w:ascii="Times New Roman" w:hAnsi="Times New Roman" w:eastAsia="Times New Roman" w:cs="Times New Roman"/>
          <w:sz w:val="20"/>
        </w:rPr>
        <w:t xml:space="preserve">$9,325,192</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as compared to </w:t>
      </w:r>
      <w:r>
        <w:rPr>
          <w:rFonts w:ascii="Times New Roman" w:hAnsi="Times New Roman" w:eastAsia="Times New Roman" w:cs="Times New Roman"/>
          <w:sz w:val="20"/>
        </w:rPr>
        <w:t xml:space="preserve">$1,968,403</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an increase of </w:t>
      </w:r>
      <w:r>
        <w:rPr>
          <w:rFonts w:ascii="Times New Roman" w:hAnsi="Times New Roman" w:eastAsia="Times New Roman" w:cs="Times New Roman"/>
          <w:sz w:val="20"/>
        </w:rPr>
        <w:t xml:space="preserve">$7,356,789</w:t>
      </w:r>
      <w:r>
        <w:rPr>
          <w:rFonts w:ascii="Times New Roman" w:hAnsi="Times New Roman" w:eastAsia="Times New Roman" w:cs="Times New Roman"/>
          <w:sz w:val="20"/>
        </w:rPr>
        <w:t xml:space="preserve"> primarily due to net proceeds received from our public securities offering in May 2019. We have incurred significant net losses and negative cash flow from operations for most periods since our inception, which has resulted in a total accumulated deficit of </w:t>
      </w:r>
      <w:r>
        <w:rPr>
          <w:rFonts w:ascii="Times New Roman" w:hAnsi="Times New Roman" w:eastAsia="Times New Roman" w:cs="Times New Roman"/>
          <w:sz w:val="20"/>
        </w:rPr>
        <w:t xml:space="preserve">$56,917,615</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To date, we have financed our operations through internally generated revenue from operations, the sale of our equity securities and borrowings under our secured credit facility.</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Cash used for operating activities was </w:t>
      </w:r>
      <w:r>
        <w:rPr>
          <w:rFonts w:ascii="Times New Roman" w:hAnsi="Times New Roman" w:eastAsia="Times New Roman" w:cs="Times New Roman"/>
          <w:sz w:val="20"/>
        </w:rPr>
        <w:t xml:space="preserve">$161,146</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is the net result of our net loss not being fully offset by the net conversion of working capital into cash. Net cash used for investing activities was </w:t>
      </w:r>
      <w:r>
        <w:rPr>
          <w:rFonts w:ascii="Times New Roman" w:hAnsi="Times New Roman" w:eastAsia="Times New Roman" w:cs="Times New Roman"/>
          <w:sz w:val="20"/>
        </w:rPr>
        <w:t xml:space="preserve">$464,261</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primarily due to the payment of </w:t>
      </w:r>
      <w:r>
        <w:rPr>
          <w:rFonts w:ascii="Times New Roman" w:hAnsi="Times New Roman" w:eastAsia="Times New Roman" w:cs="Times New Roman"/>
          <w:sz w:val="20"/>
        </w:rPr>
        <w:t xml:space="preserve">$451,619</w:t>
      </w:r>
      <w:r>
        <w:rPr>
          <w:rFonts w:ascii="Times New Roman" w:hAnsi="Times New Roman" w:eastAsia="Times New Roman" w:cs="Times New Roman"/>
          <w:sz w:val="20"/>
        </w:rPr>
        <w:t xml:space="preserve"> related to the development of our proprietary software and purchases of </w:t>
      </w:r>
      <w:r>
        <w:rPr>
          <w:rFonts w:ascii="Times New Roman" w:hAnsi="Times New Roman" w:eastAsia="Times New Roman" w:cs="Times New Roman"/>
          <w:sz w:val="20"/>
        </w:rPr>
        <w:t xml:space="preserve">$15,535</w:t>
      </w:r>
      <w:r>
        <w:rPr>
          <w:rFonts w:ascii="Times New Roman" w:hAnsi="Times New Roman" w:eastAsia="Times New Roman" w:cs="Times New Roman"/>
          <w:sz w:val="20"/>
        </w:rPr>
        <w:t xml:space="preserve"> for updated computer equipment. Cash provided by financing activities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$7,982,196</w:t>
      </w:r>
      <w:r>
        <w:rPr>
          <w:rFonts w:ascii="Times New Roman" w:hAnsi="Times New Roman" w:eastAsia="Times New Roman" w:cs="Times New Roman"/>
          <w:sz w:val="20"/>
        </w:rPr>
        <w:t xml:space="preserve"> which consisted primarily of net proceeds received from our public securities offering in May 2019, offset by net repayments on our secured credit facility of </w:t>
      </w:r>
      <w:r>
        <w:rPr>
          <w:rFonts w:ascii="Times New Roman" w:hAnsi="Times New Roman" w:eastAsia="Times New Roman" w:cs="Times New Roman"/>
          <w:sz w:val="20"/>
        </w:rPr>
        <w:t xml:space="preserve">$1,246,343</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Secured Credit Facility</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have a secured credit facility agreement with Western Alliance Bank, the parent company of Bridge Bank, National Association. Pursuant to this agreement, we may submit requests for funding up to 80% of our eligible accounts receivable up to a maximum credit limit of </w:t>
      </w:r>
      <w:r>
        <w:rPr>
          <w:rFonts w:ascii="Times New Roman" w:hAnsi="Times New Roman" w:eastAsia="Times New Roman" w:cs="Times New Roman"/>
          <w:sz w:val="20"/>
        </w:rPr>
        <w:t xml:space="preserve">$5 million</w:t>
      </w:r>
      <w:r>
        <w:rPr>
          <w:rFonts w:ascii="Times New Roman" w:hAnsi="Times New Roman" w:eastAsia="Times New Roman" w:cs="Times New Roman"/>
          <w:sz w:val="20"/>
        </w:rPr>
        <w:t xml:space="preserve">. Effective August 30, 2018, as a result of IZEA’s merger with TapInfluence, we entered into a Business Financing Modification Agreement and Consent with Western Alliance Bank to add TapInfluence as an additional borrower on the credit facility.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,we had </w:t>
      </w:r>
      <w:r>
        <w:rPr>
          <w:rFonts w:ascii="Times New Roman" w:hAnsi="Times New Roman" w:eastAsia="Times New Roman" w:cs="Times New Roman"/>
          <w:sz w:val="20"/>
        </w:rPr>
        <w:t xml:space="preserve">$279,945</w:t>
      </w:r>
      <w:r>
        <w:rPr>
          <w:rFonts w:ascii="Times New Roman" w:hAnsi="Times New Roman" w:eastAsia="Times New Roman" w:cs="Times New Roman"/>
          <w:sz w:val="20"/>
        </w:rPr>
        <w:t xml:space="preserve"> outstanding under this agreement. Assuming that all of our accounts receivable balance was eligible for funding, we had remaining available credit of </w:t>
      </w:r>
      <w:r>
        <w:rPr>
          <w:rFonts w:ascii="Times New Roman" w:hAnsi="Times New Roman" w:eastAsia="Times New Roman" w:cs="Times New Roman"/>
          <w:sz w:val="20"/>
        </w:rPr>
        <w:t xml:space="preserve">$3,068,388</w:t>
      </w:r>
      <w:r>
        <w:rPr>
          <w:rFonts w:ascii="Times New Roman" w:hAnsi="Times New Roman" w:eastAsia="Times New Roman" w:cs="Times New Roman"/>
          <w:sz w:val="20"/>
        </w:rPr>
        <w:t xml:space="preserve"> under the agreement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Acquisition Obligations</w:t>
      </w:r>
    </w:p>
    <w:p>
      <w:pPr>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ZenContent, Inc.</w:t>
      </w:r>
      <w:r>
        <w:rPr>
          <w:rFonts w:ascii="Times New Roman" w:hAnsi="Times New Roman" w:eastAsia="Times New Roman" w:cs="Times New Roman"/>
          <w:sz w:val="20"/>
        </w:rPr>
        <w:t xml:space="preserve">	</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31, 2016, we entered into a Stock Purchase Agreement (the “ZenContent Stock Purchase Agreement”) with ZenContent, Inc. (“ZenContent”), pursuant to which we purchased all of the outstanding shares of capital stock of ZenContent.</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31, 2019, we made the third and final annual installment payment under the ZenContent Stock Purchase Agreement of 447,489 shares of our common stock valued at $222,223 or $0.4966 per share, using a thirty (30) trading day volume-weighted average closing price (the “30-day VWAP”) as recorded by the Nasdaq Capital Market prior to the issuance date. We recognized a gain of $41,258 on the settlement of this acquisition cost payable as a result of the difference between the actual closing market price of the common stock of $0.4044 on the settlement date and the 30-day VWAP.</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We are also required to pay $45,000 in cash or stock, at the Company’s election, on or before November 1, 2019 in settlement of the final contingent performance payment.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TapInfluence</w:t>
      </w:r>
      <w:r>
        <w:rPr>
          <w:rFonts w:ascii="Times New Roman" w:hAnsi="Times New Roman" w:eastAsia="Times New Roman" w:cs="Times New Roman"/>
          <w:sz w:val="20"/>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26, 2018, we completed our merger with TapInfluence. Pursuant to the Agreement and Plan of Merger (the Merger Agreement”), we were required to pay the former TapInfluence stockholders an additional $4,500,000, less any final working capital adjustments, in the form of cash, common stock or a combination thereof, at our option, in two installments.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January 26, 2019, we paid the first installment of $884,583 ($1,000,000 less the final working capital adjustment of $115,416) using 660,136 shares of our common stock valued at $1.34 per share, using the 30-day VWAP as reported by the Nasdaq Capital Market prior to the issuance date. We recorded a $191,439 loss on the settlement of this acquisition cost payable as a result of the difference between the actual closing market price of the common stock of $1.63 on the settlement date and the 30-day VWAP of $1.34 required by the Merger Agreement.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26, 2019, we paid the second and final installment through the issuance to the former shareholders of TapInfluence of 6,908,251 shares of its common stock valued at $3,500,000, or $0.50664 per share, using the 30-day VWAP as required by the Merger Agreement. The Company recognized a gain of $752,589 on the settlement of this acquisition cost payable as a result of the difference between the actual closing market price of the common stock of $0.3977 on the settlement date and the 30-day VWAP.</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30" w:type="default"/>
        </w:sectPr>
      </w:pP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Off-Balance Sheet Arrangements</w:t>
      </w:r>
      <w:bookmarkStart w:id="30553" w:name="Off_Balance_Sheet_Arrangements"/>
      <w:bookmarkEnd w:id="30553"/>
    </w:p>
    <w:p>
      <w:pPr>
        <w:jc w:val="both"/>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we did not engage in any activities involving variable interest entities or off-balance sheet arrangements.</w:t>
      </w:r>
    </w:p>
    <w:p>
      <w:pPr>
        <w:ind w:firstLine="72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Critical Accounting Policies and Use of Estimates</w:t>
      </w:r>
      <w:bookmarkStart w:id="62874" w:name="Critical_Accounting_Policies_and_Use_of_"/>
      <w:bookmarkEnd w:id="62874"/>
    </w:p>
    <w:p>
      <w:pPr>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prepare our financial statements in conformity with accounting principles generally accepted in the United States (“GAAP”). Certain of our accounting policies require that we apply significant judgment in defining the appropriate assumptions for calculating financial estimates. By their nature, these judgments will be subject to an inherent degree of uncertainty. Our judgments are based upon the historical experience of the Company, terms of existing contracts, observance of trends in the industry, information provided by our customers and information available from other outside sources, as appropriate. For a summary of our significant accounting policies, please refer to Note 1. Company and Summary of Significant Accounting Policies included in this Quarterly Report. We consider accounting estimates to be critical accounting policies when:</w:t>
      </w:r>
    </w:p>
    <w:p>
      <w:pPr>
        <w:ind w:left="720" w:firstLine="-360"/>
        <w:jc w:val="left"/>
        <w:spacing w:before="120" w:line="288" w:lineRule="auto"/>
        <w:rPr>
          <w:rFonts w:ascii="Times New Roman" w:hAnsi="Times New Roman" w:eastAsia="Times New Roman" w:cs="Times New Roman"/>
          <w:sz w:val="20"/>
          <w:rFonts w:ascii="Times New Roman" w:hAnsi="Times New Roman" w:eastAsia="Times New Roman" w:cs="Times New Roman"/>
          <w:sz w:val="20"/>
        </w:rPr>
        <w:numPr>
          <w:ilvl w:val="0"/>
          <w:numId w:val="2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estimates involve matters that are highly uncertain at the time the accounting estimate is made; and</w:t>
      </w:r>
    </w:p>
    <w:p>
      <w:pPr>
        <w:ind w:left="72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different estimates or changes to estimates could have a material impact on the reported financial position, changes in financial position, or results of operations. </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When more than one accounting principle, or method of its application, is generally accepted, we select the principle or method that we consider to be the most appropriate when given the specific circumstances. Application of these accounting principles requires us to make estimates about the future resolution of existing uncertainties. Due to the inherent uncertainty involving estimates, actual results reported in the future may differ from our estimates. The following critical accounting policies are significantly affected by judgments, assumptions and estimates used in the preparation of the financial statements.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Accounts Receivable and Concentration of Credit Risk</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Accounts receivable are customer obligations due under normal trade terms. We consider an account to be delinquent when the customer has not paid its balance due by the associated due date. Uncollectibility of accounts receivable is not significant since most customers are bound by contract and are required to fund us for all the costs of an “opportunity,” defined as an order created by a marketer for a creator to develop or share content on behalf of a marketer. If a portion of the account balance is deemed uncollectible, we will either write-off the amount owed or provide a reserve based on our best estimate of the uncollectible portion of the account. Management estimates the collectibility of accounts by regularly evaluating individual customer receivables and considering a customer’s financial condition, credit history and current economic conditions. We have a reserve of </w:t>
      </w:r>
      <w:r>
        <w:rPr>
          <w:rFonts w:ascii="Times New Roman" w:hAnsi="Times New Roman" w:eastAsia="Times New Roman" w:cs="Times New Roman"/>
          <w:sz w:val="20"/>
        </w:rPr>
        <w:t xml:space="preserve">$120,060</w:t>
      </w:r>
      <w:r>
        <w:rPr>
          <w:rFonts w:ascii="Times New Roman" w:hAnsi="Times New Roman" w:eastAsia="Times New Roman" w:cs="Times New Roman"/>
          <w:sz w:val="20"/>
        </w:rPr>
        <w:t xml:space="preserve"> for doubtful accounts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We believe that this estimate is reasonable, but there can be no assurance that the estimate will not change as a result of a change in economic conditions or business conditions within the industry, the individual customers or our Company. Any adjustments to this account are reflected in the consolidated statements of operations as a general and administrative expense. Bad debt expense was </w:t>
      </w:r>
      <w:r>
        <w:rPr>
          <w:rFonts w:ascii="Times New Roman" w:hAnsi="Times New Roman" w:eastAsia="Times New Roman" w:cs="Times New Roman"/>
          <w:sz w:val="20"/>
        </w:rPr>
        <w:t xml:space="preserve">less than 1%</w:t>
      </w:r>
      <w:r>
        <w:rPr>
          <w:rFonts w:ascii="Times New Roman" w:hAnsi="Times New Roman" w:eastAsia="Times New Roman" w:cs="Times New Roman"/>
          <w:sz w:val="20"/>
        </w:rPr>
        <w:t xml:space="preserve"> of revenue for each of the </w:t>
      </w:r>
      <w:r>
        <w:rPr>
          <w:rFonts w:ascii="Times New Roman" w:hAnsi="Times New Roman" w:eastAsia="Times New Roman" w:cs="Times New Roman"/>
          <w:sz w:val="20"/>
        </w:rPr>
        <w:t xml:space="preserve">three and 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Concentrations of credit risk with respect to accounts receivable were typically limited, because a large number of geographically diverse customers make up our customer base, thus spreading the trade credit risk. However, with our acquisition of TapInfluence, we have increased credit exposure on certain customers who carry significant credit balances related to their Marketplace Spend. We control credit risk through credit approvals, credit limits and monitoring procedures. We perform credit evaluations of our customers, but generally do not require collateral to support accounts receivable. We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customer that accounted for </w:t>
      </w:r>
      <w:r>
        <w:rPr>
          <w:rFonts w:ascii="Times New Roman" w:hAnsi="Times New Roman" w:eastAsia="Times New Roman" w:cs="Times New Roman"/>
          <w:sz w:val="20"/>
        </w:rPr>
        <w:t xml:space="preserve">26%</w:t>
      </w:r>
      <w:r>
        <w:rPr>
          <w:rFonts w:ascii="Times New Roman" w:hAnsi="Times New Roman" w:eastAsia="Times New Roman" w:cs="Times New Roman"/>
          <w:sz w:val="20"/>
        </w:rPr>
        <w:t xml:space="preserve"> of total accounts receivable at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customers that together accounted for </w:t>
      </w:r>
      <w:r>
        <w:rPr>
          <w:rFonts w:ascii="Times New Roman" w:hAnsi="Times New Roman" w:eastAsia="Times New Roman" w:cs="Times New Roman"/>
          <w:sz w:val="20"/>
        </w:rPr>
        <w:t xml:space="preserve">36%</w:t>
      </w:r>
      <w:r>
        <w:rPr>
          <w:rFonts w:ascii="Times New Roman" w:hAnsi="Times New Roman" w:eastAsia="Times New Roman" w:cs="Times New Roman"/>
          <w:sz w:val="20"/>
        </w:rPr>
        <w:t xml:space="preserve"> of total accounts receivable at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Software Development Costs and Acquired Intangible Software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accordance with Accounting Standards Codification (“ASC”) 350-40,</w:t>
      </w:r>
      <w:r>
        <w:rPr>
          <w:rFonts w:ascii="Times New Roman" w:hAnsi="Times New Roman" w:eastAsia="Times New Roman" w:cs="Times New Roman"/>
          <w:sz w:val="20"/>
          <w:i w:val="true"/>
        </w:rPr>
        <w:t xml:space="preserve"> Internal Use Software,</w:t>
      </w:r>
      <w:r>
        <w:rPr>
          <w:rFonts w:ascii="Times New Roman" w:hAnsi="Times New Roman" w:eastAsia="Times New Roman" w:cs="Times New Roman"/>
          <w:sz w:val="20"/>
        </w:rPr>
        <w:t xml:space="preserve"> we capitalize certain internal use software development costs associated with creating and enhancing internally developed software related to our platforms. Software development activities generally consist of three stages (i) the research and planning stage, (ii) the application and development stage, and (iii) the post-implementation stage. Costs incurred in the research and planning stage and in the post-implementation stage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We have capitalized </w:t>
      </w:r>
      <w:r>
        <w:rPr>
          <w:rFonts w:ascii="Times New Roman" w:hAnsi="Times New Roman" w:eastAsia="Times New Roman" w:cs="Times New Roman"/>
          <w:sz w:val="20"/>
        </w:rPr>
        <w:t xml:space="preserve">$2,768,134</w:t>
      </w:r>
      <w:r>
        <w:rPr>
          <w:rFonts w:ascii="Times New Roman" w:hAnsi="Times New Roman" w:eastAsia="Times New Roman" w:cs="Times New Roman"/>
          <w:sz w:val="20"/>
        </w:rPr>
        <w:t xml:space="preserve"> to software development costs in the consolidated balance sheet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We also acquired additional proprietary software platforms valued at </w:t>
      </w:r>
      <w:r>
        <w:rPr>
          <w:rFonts w:ascii="Times New Roman" w:hAnsi="Times New Roman" w:eastAsia="Times New Roman" w:cs="Times New Roman"/>
          <w:sz w:val="20"/>
        </w:rPr>
        <w:t xml:space="preserve">$1,130,000</w:t>
      </w:r>
      <w:r>
        <w:rPr>
          <w:rFonts w:ascii="Times New Roman" w:hAnsi="Times New Roman" w:eastAsia="Times New Roman" w:cs="Times New Roman"/>
          <w:sz w:val="20"/>
        </w:rPr>
        <w:t xml:space="preserve"> during our acquisitions of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These costs are reflected as intangible assets in the consolidated balance sheet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We do not transfer ownership of our software to third parties. These software development and acquired technology costs are amortized on a straight-line basis over the estimated useful life of five years upon initial release of the software or additional features.</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Goodwill and Business Combinations</w:t>
      </w:r>
    </w:p>
    <w:p>
      <w:pPr>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Goodwill represents the excess of the purchase consideration of an acquired business over the fair value of the underlying net tangible and intangible assets. We have goodwill in connection with our acquisitions of Ebyline, ZenContent, and TapInfluence. Goodwill is not amortized, but instead it is tested for impairment at least annually. In the event that management determines that the value of goodwill has become impaired, we will record a charge for the amount of impairment during the fiscal quarter in which the determination is made.</w:t>
      </w:r>
    </w:p>
    <w:p>
      <w:pPr>
        <w:jc w:val="left"/>
        <w:keepNex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perform our annual impairment tests of goodwill as of October 1 of each year, or more frequently, if certain indicators are present. 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We have determined that prior to and after the acquisition of Ebyline and ZenContent, we had one reporting unit. Subsequent to the merger with TapInfluence, we have determined that we have two reporting units.</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 Recognition</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generate revenue from five primary sources: (1) revenue from our managed services when a marketer (typically a brand, agency or partner) pays us to provide custom content, influencer marketing, amplification or other consulting services (“Managed Services”); (2) revenue from fees charged to self-service customers on their marketplace spend within our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(“Marketplace Spend Fees”); (3) revenue from fees charged to access the </w:t>
      </w:r>
      <w:r>
        <w:rPr>
          <w:rFonts w:ascii="Times New Roman" w:hAnsi="Times New Roman" w:eastAsia="Times New Roman" w:cs="Times New Roman"/>
          <w:sz w:val="20"/>
          <w:i w:val="true"/>
        </w:rPr>
        <w:t xml:space="preserve">IZEAx, Ebyline,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(“License Fees”); (4) revenue from transactions generated by the self-service use of our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for professional custom (“Legacy Workflow Fees”); and (5) revenue derived from other fees such as inactivity fees, early cash-out fees, and plan fees charged to users of our platforms (“Other”).</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recognize revenue in accordance with Accounting Standards Codification Topic 606, </w:t>
      </w:r>
      <w:r>
        <w:rPr>
          <w:rFonts w:ascii="Times New Roman" w:hAnsi="Times New Roman" w:eastAsia="Times New Roman" w:cs="Times New Roman"/>
          <w:sz w:val="20"/>
          <w:i w:val="true"/>
        </w:rPr>
        <w:t xml:space="preserve">Revenue from Contracts with Customers </w:t>
      </w:r>
      <w:r>
        <w:rPr>
          <w:rFonts w:ascii="Times New Roman" w:hAnsi="Times New Roman" w:eastAsia="Times New Roman" w:cs="Times New Roman"/>
          <w:sz w:val="20"/>
        </w:rPr>
        <w:t xml:space="preserve">(“ASC 606”). Under ASC 606, revenue is recognized based on a five-step model which are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is recognized when the transfer of promised goods or services to customers is made in an amount that reflects the consideration to which the entity expects to be entitled in exchange for those goods or services. We apply the five-step model to contracts when it is probable that it will collect the consideration it is entitled to in exchange for the goods or services it transfers to the customer. At contract inception, once the contract is determined to be within the scope of ASC 606, we assess the goods or services promised within each contract and determines those that are distinct performance obligations. We also determine whether we act as an agent or a principal for each identified performance obligation. The determination of whether we act as the principal or the agent is highly subjective and requires us to evaluate a number of indicators individually and as a whole in order to make its determination</w:t>
      </w:r>
      <w:r>
        <w:rPr>
          <w:rFonts w:ascii="Times New Roman" w:hAnsi="Times New Roman" w:eastAsia="Times New Roman" w:cs="Times New Roman"/>
          <w:sz w:val="22"/>
        </w:rPr>
        <w:t xml:space="preserve">. </w:t>
      </w:r>
      <w:r>
        <w:rPr>
          <w:rFonts w:ascii="Times New Roman" w:hAnsi="Times New Roman" w:eastAsia="Times New Roman" w:cs="Times New Roman"/>
          <w:sz w:val="20"/>
        </w:rPr>
        <w:t xml:space="preserve">For transactions in which we act as a principal, revenue is reported on a gross basis as the amount paid by the marketer for the purchase of content or sponsorship, promotion and other related services and we record the amounts we pay to third-party creators as cost of revenue. For transactions in which we act as an agent, revenue is reported on a net basis as the amount we charged to the self-service marketer using our platforms, less the amounts paid to the third-party creators providing the service.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maintain separate arrangements with each marketer and content creator either in the form of a master agreement or terms of service, which specify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us to manage their advertising campaigns or custom content requests may prepay for services or request credit terms. Payment terms are typically 30 days from the invoice date. The agreement typically provides for either a non-refundable deposit, or a cancellation fee if the agreement is canceled by the customer prior to completion of services. Billings in advance of completed services are recorded as a contract liability until earned. We assess collectibility based on a number of factors, including the creditworthiness of the customer and payment and transaction history. The allocation of the transaction price to the performance obligations in the contract is based on a cost-plus methodology.</w:t>
      </w:r>
    </w:p>
    <w:p>
      <w:pPr>
        <w:jc w:val="left"/>
        <w:spacing w:before="12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Managed Services Revenue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For Managed Services Revenue, we enter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We may provide one type or a combination of all types of these performance obligations on a statement of work for a lump sum fee. We allocate revenue to each performance obligation in the contract at inception based on its relative standalone selling price. These performance obligations are to be provided over a stated period that generally ranges from one day to one year. Revenue is accounted for when the performance obligation has been satisfied depending on the type of service provided. We view our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we have no alternative for the custom content and we have an enforceable right to payment for performance completed to date under the contracts. We consider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our evaluations, revenue from Managed Services is reported on a gross basis because we have the primary obligation to fulfill the performance obligations and we create, review and control the services. We take on the risk of payment to any third-party creators and we establish the contract price directly with our customers based on the services requested in the statement of work.</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Marketplace Spend Fees and Legacy Workflow Fees Revenue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For Marketplace Spend Fees and Legacy Workflow Fees Revenue, the self-service customer instructs creators found through our platforms to provide and/or distribute custom content for an agreed upon transaction price. Our platforms control the contracting, description of services, acceptance of and payment for the requested content. This service is used primarily by news agencies or marketers to control the outsourcing of their content and advertising needs. We charge the self-service customer the transaction price plus a fee based on the contract. Revenue is recognized when the transaction is completed by the creator and accepted by the marketer. Based on our evaluations, Marketplace Spend Fees revenue is reported on a net basis since we are acting as an agent solely arranging for the third-party creator or influencer to provide the services directly to the self-service customer through the platform, and is typically recognized upon publishing or purchase of the marketplace spend by the creator and verification of the publishing by the marketer.</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License Fees Revenue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License Fees revenue is generated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Other Revenue</w:t>
      </w:r>
    </w:p>
    <w:p>
      <w:pPr>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Other revenue is generated when fees are charged to customers primarily related to monthly plan fees, inactivity fees, and early cash-out fees. Plan fees are recognized within the month they relate to, inactivity fees are recognized at a point in time when the account is deemed inactive, and early cash-out fees are recognized when a cash-out either below certain minimum thresholds or with accelerated timing is requested.</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We do not typically engage in contracts that are longer than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year. Therefore, we do not capitalize costs to obtain our customer contracts as these amounts generally would be recognized over a period of less than one year and are not material.</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Changes in how we control and manage our platforms, our contractual terms, our business practices, or other changes in accounting standards or interpretations, may change the reporting of our revenue.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Stock-Based Compensation</w:t>
      </w:r>
    </w:p>
    <w:p>
      <w:pPr>
        <w:ind w:firstLine="720"/>
        <w:jc w:val="left"/>
        <w:keepNext/>
        <w:keepLines/>
        <w:spacing w:before="120" w:after="20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Stock Options	</w:t>
      </w:r>
    </w:p>
    <w:p>
      <w:pPr>
        <w:ind w:firstLine="720"/>
        <w:jc w:val="left"/>
        <w:keepNext/>
        <w:keepLines/>
        <w:spacing w:after="20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is measured at the grant date, based on the fair value of the award, and is recognized as an expense over the employee’s requisite service period.  We estimate the fair value of each stock option as of the date of grant using the Black-Scholes pricing model. Options typically vest ratably over four years with one-fourth of options vesting one year from the date of grant and the remaining options vesting monthly, in equal increments over the remaining three-year period and generally have five or ten-year contract lives. We use the closing stock price of our common stock on the date of the grant as the associated fair value of our common stock. We estimate the volatility of our common stock at the date of grant based on the volatility of comparable peer companies that are publicly traded and have had a longer trading history than us. We determine the expected life based on historical experience with similar awards, giving consideration to the contractual terms, vesting schedules and post-vesting forfeitures. We use the risk-free interest rate on the implied yield currently available on U.S. Treasury issues with an equivalent remaining term approximately equal to the expected life of the award. We have never paid any cash dividends on our common stock and do not anticipate paying any cash dividends in the foreseeable future. We estimate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w:t>
      </w:r>
    </w:p>
    <w:p>
      <w:pPr>
        <w:ind w:firstLine="720"/>
        <w:jc w:val="left"/>
        <w:spacing w:after="26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shows the number of stock options granted under our 2011 Equity Incentive Plans and the assumptions used to determine the fair value of those options during the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and 2018:</w:t>
      </w:r>
    </w:p>
    <w:tbl>
      <w:tblPr>
        <w:tblW w:type="dxa" w:w="10240"/>
        <w:tblLayout w:type="fixed"/>
        <w:jc w:val="left"/>
      </w:tblPr>
      <w:tblGrid>
        <w:gridCol w:w="1960"/>
        <w:gridCol w:w="80"/>
        <w:gridCol w:w="1300"/>
        <w:gridCol w:w="80"/>
        <w:gridCol w:w="1300"/>
        <w:gridCol w:w="80"/>
        <w:gridCol w:w="1300"/>
        <w:gridCol w:w="80"/>
        <w:gridCol w:w="1300"/>
        <w:gridCol w:w="80"/>
        <w:gridCol w:w="1300"/>
        <w:gridCol w:w="80"/>
        <w:gridCol w:w="1300"/>
      </w:tblGrid>
      <w:tr>
        <w:trPr>
          <w:trHeight w:hRule="exact" w:val="820"/>
        </w:trPr>
        <w:tc>
          <w:tcPr>
            <w:tcW w:type="dxa" w:w="19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Period Ended</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Total Stock Options Granted</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 Exercise Price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 Expected Term</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 Volatility</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 Risk-Free Interest Rate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Weighted-Average</w:t>
              <w:br w:type="textWrapping"/>
              <w:t xml:space="preserve">Grant Date
</w:t>
              <w:br w:type="textWrapping"/>
              <w:t xml:space="preserve">Fair Value</w:t>
            </w:r>
          </w:p>
        </w:tc>
      </w:tr>
      <w:tr>
        <w:trPr>
          <w:trHeight w:hRule="exact" w:val="280"/>
        </w:trPr>
        <w:tc>
          <w:tcPr>
            <w:tcW w:type="dxa" w:w="1960"/>
            <w:tcMar>
              <w:left w:type="dxa" w:w="180"/>
              <w:right w:type="dxa" w:w="60"/>
            </w:tcMar>
            <w:tcBorders>
              <w:top w:val="single" w:sz="8" w:space="0"/>
            </w:tcBorders>
            <w:vAlign w:val="top"/>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June 30, 2019</w:t>
            </w:r>
          </w:p>
        </w:tc>
        <w:tc>
          <w:tcPr>
            <w:tcW w:type="dxa" w:w="80"/>
            <w:tcMar>
              <w:left w:type="dxa" w:w="0"/>
              <w:right w:type="dxa" w:w="0"/>
            </w:tcMar>
            <w:tcBorders/>
            <w:vAlign w:val="top"/>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284,102</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62.01%</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$0.61</w:t>
            </w:r>
          </w:p>
        </w:tc>
      </w:tr>
      <w:tr>
        <w:trPr>
          <w:trHeight w:hRule="exact" w:val="280"/>
        </w:trPr>
        <w:tc>
          <w:tcPr>
            <w:tcW w:type="dxa" w:w="1960"/>
            <w:tcMar>
              <w:left w:type="dxa" w:w="180"/>
              <w:right w:type="dxa" w:w="60"/>
            </w:tcMar>
            <w:tcBorders/>
            <w:vAlign w:val="top"/>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June 30, 2018</w:t>
            </w:r>
          </w:p>
        </w:tc>
        <w:tc>
          <w:tcPr>
            <w:tcW w:type="dxa" w:w="80"/>
            <w:tcMar>
              <w:left w:type="dxa" w:w="0"/>
              <w:right w:type="dxa" w:w="0"/>
            </w:tcMar>
            <w:tcBorders/>
            <w:vAlign w:val="top"/>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33,589</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$2.75</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 years</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59.07%</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2.67%</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$1.52</w:t>
            </w:r>
          </w:p>
        </w:tc>
      </w:tr>
    </w:tbl>
    <w:p>
      <w:pPr>
        <w:ind w:firstLine="720"/>
        <w:jc w:val="left"/>
        <w:spacing w:before="18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There were outstanding options to purchase </w:t>
      </w:r>
      <w:r>
        <w:rPr>
          <w:rFonts w:ascii="Times New Roman" w:hAnsi="Times New Roman" w:eastAsia="Times New Roman" w:cs="Times New Roman"/>
          <w:sz w:val="20"/>
        </w:rPr>
        <w:t xml:space="preserve">1,212,574</w:t>
      </w:r>
      <w:r>
        <w:rPr>
          <w:rFonts w:ascii="Times New Roman" w:hAnsi="Times New Roman" w:eastAsia="Times New Roman" w:cs="Times New Roman"/>
          <w:sz w:val="20"/>
        </w:rPr>
        <w:t xml:space="preserve"> shares with a weighted average exercise price of </w:t>
      </w:r>
      <w:r>
        <w:rPr>
          <w:rFonts w:ascii="Times New Roman" w:hAnsi="Times New Roman" w:eastAsia="Times New Roman" w:cs="Times New Roman"/>
          <w:sz w:val="20"/>
        </w:rPr>
        <w:t xml:space="preserve">$4.15</w:t>
      </w:r>
      <w:r>
        <w:rPr>
          <w:rFonts w:ascii="Times New Roman" w:hAnsi="Times New Roman" w:eastAsia="Times New Roman" w:cs="Times New Roman"/>
          <w:sz w:val="20"/>
        </w:rPr>
        <w:t xml:space="preserve"> per share, of which options to purchase </w:t>
      </w:r>
      <w:r>
        <w:rPr>
          <w:rFonts w:ascii="Times New Roman" w:hAnsi="Times New Roman" w:eastAsia="Times New Roman" w:cs="Times New Roman"/>
          <w:sz w:val="20"/>
        </w:rPr>
        <w:t xml:space="preserve">703,770</w:t>
      </w:r>
      <w:r>
        <w:rPr>
          <w:rFonts w:ascii="Times New Roman" w:hAnsi="Times New Roman" w:eastAsia="Times New Roman" w:cs="Times New Roman"/>
          <w:sz w:val="20"/>
        </w:rPr>
        <w:t xml:space="preserve"> shares were exercisable with a weighted average exercise price of </w:t>
      </w:r>
      <w:r>
        <w:rPr>
          <w:rFonts w:ascii="Times New Roman" w:hAnsi="Times New Roman" w:eastAsia="Times New Roman" w:cs="Times New Roman"/>
          <w:sz w:val="20"/>
        </w:rPr>
        <w:t xml:space="preserve">$5.80</w:t>
      </w:r>
      <w:r>
        <w:rPr>
          <w:rFonts w:ascii="Times New Roman" w:hAnsi="Times New Roman" w:eastAsia="Times New Roman" w:cs="Times New Roman"/>
          <w:sz w:val="20"/>
        </w:rPr>
        <w:t xml:space="preserve"> per share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intrinsic value on outstanding options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$0</w:t>
      </w:r>
      <w:r>
        <w:rPr>
          <w:rFonts w:ascii="Times New Roman" w:hAnsi="Times New Roman" w:eastAsia="Times New Roman" w:cs="Times New Roman"/>
          <w:sz w:val="20"/>
        </w:rPr>
        <w:t xml:space="preserve">. The intrinsic value on exercisable options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$0</w:t>
      </w:r>
      <w:r>
        <w:rPr>
          <w:rFonts w:ascii="Times New Roman" w:hAnsi="Times New Roman" w:eastAsia="Times New Roman" w:cs="Times New Roman"/>
          <w:sz w:val="20"/>
        </w:rPr>
        <w:t xml:space="preserve">.</w:t>
      </w:r>
    </w:p>
    <w:p>
      <w:pPr>
        <w:ind w:firstLine="720"/>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we had outstanding unvested restricted stock units of </w:t>
      </w:r>
      <w:r>
        <w:rPr>
          <w:rFonts w:ascii="Times New Roman" w:hAnsi="Times New Roman" w:eastAsia="Times New Roman" w:cs="Times New Roman"/>
          <w:sz w:val="20"/>
        </w:rPr>
        <w:t xml:space="preserve">262,326</w:t>
      </w:r>
      <w:r>
        <w:rPr>
          <w:rFonts w:ascii="Times New Roman" w:hAnsi="Times New Roman" w:eastAsia="Times New Roman" w:cs="Times New Roman"/>
          <w:sz w:val="20"/>
        </w:rPr>
        <w:t xml:space="preserve"> shares with an intrinsic value of </w:t>
      </w:r>
      <w:r>
        <w:rPr>
          <w:rFonts w:ascii="Times New Roman" w:hAnsi="Times New Roman" w:eastAsia="Times New Roman" w:cs="Times New Roman"/>
          <w:sz w:val="20"/>
        </w:rPr>
        <w:t xml:space="preserve">$133,786</w:t>
      </w:r>
      <w:r>
        <w:rPr>
          <w:rFonts w:ascii="Times New Roman" w:hAnsi="Times New Roman" w:eastAsia="Times New Roman" w:cs="Times New Roman"/>
          <w:sz w:val="20"/>
        </w:rPr>
        <w:t xml:space="preserve">.</w:t>
      </w:r>
    </w:p>
    <w:p>
      <w:pPr>
        <w:ind w:firstLine="720"/>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31"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Recent Accounting Pronouncements</w:t>
      </w:r>
      <w:bookmarkStart w:id="29350" w:name="Recent_Accounting_Pronouncements"/>
      <w:bookmarkEnd w:id="29350"/>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See “Note 1. Company and Summary of Significant Accounting Policies,” under Item 1 of this Quarterly Report for information on recent pronouncements.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3 – QUANTITATIVE AND QUALITATIVE DISCLOSURES ABOUT MARKET RISK</w:t>
      </w:r>
      <w:bookmarkStart w:id="57869" w:name="Item_3__Quantitive_and_Qualitatve_Disclo"/>
      <w:bookmarkEnd w:id="57869"/>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Not applicable to smaller reporting companies.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4 – CONTROLS AND PROCEDURES</w:t>
      </w:r>
      <w:bookmarkStart w:id="6866" w:name="Item_4__Controls_and_Procedures"/>
      <w:bookmarkEnd w:id="6866"/>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Disclosure controls and procedures are controls and other procedures that are designed to ensure that information required to be disclosed by us in the reports that we file or submit under the Securities Exchange Act of 1934, as amended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under the Exchange Act is accumulated and communicated to our management, including our principal executive and principal financial officers, as appropriate to allow timely decisions regarding required disclosures.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designing and evaluating the disclosure controls and procedures, our management recognizes that any controls and procedures, no matter how well designed and operated, can provide only reasonable assurance of achieving the desired control objectives, and our management necessarily was required to apply its judgment in evaluating the cost-benefit relationship of possible controls and procedures. Furthermore, controls and procedures could be circumvented by the individual acts of some persons, by collusion or two or more people or by management override of the control. Misstatements due to error or fraud may occur and not be detected on a timely basis.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Evaluation of Disclosure Controls and Procedures</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connection with the preparation of this Quarterly Report on Form 10-Q for the quarter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an evaluation was performed under the supervision and with the participation of our management including our principal executive officer and principal financial officer to determine the effectiveness of the design and operation of our disclosure controls and procedures (as defined in Rules 13a-15(e) and 15d-15(e) under the Exchange Act) as of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Our disclosure controls and procedures are designed to ensure that information required to be disclosed in the reports we file or submit under the Exchange Act is recorded, processed, summarized, and reported within the time periods specified in the rules and forms of the SEC, and that such information is accumulated and communicated to our management, including our principal executive officer and principal financial officer, to allow timely decisions regarding required disclosures. Given that the remediation of material weakness outlined below has not been validated and tested, our principal executive and principal financial officers concluded that our disclosure controls and procedures were not effective as of June 30, 2019.</w:t>
      </w:r>
    </w:p>
    <w:p>
      <w:pPr>
        <w:ind w:right="14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 material weakness is a deficiency, or a combination of deficiencies, in internal control over financial reporting such that there is a reasonable possibility that a material misstatement of the company’s annual or interim financial statements will not be prevented or detected on a timely basis.</w:t>
      </w:r>
    </w:p>
    <w:p>
      <w:pPr>
        <w:ind w:right="1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connection with the 2017 year-end financial statement close and preparation of the corresponding 2017 Annual Report during early 2018, management determined that there were errors in our financial statements issued prior to 2017 related to our presentation of revenue related to the self-service Content Workflow portion of our revenue and our classification of cost of revenue related to our Managed Services. This conclusion resulted in the restatement of certain 2015 and 2016 Consolidated Financial Statements in our 2017 Annual Report on Form 10-K. At that time, we determined that we have a material weakness in the evaluation of the application of generally accepted accounting principles for our contractual arrangements with customers, more specifically the method of revenue recognition and the identification and classification of the costs of our services.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Because the remediation plans associated with this material weakness are still in process of being verified and tested, management concluded that we did not maintain effective internal control over financial reporting as of June 30, 2019.</w:t>
      </w:r>
    </w:p>
    <w:p>
      <w:pPr>
        <w:ind w:right="1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Remediation of Material Weakness</w:t>
      </w:r>
    </w:p>
    <w:p>
      <w:pPr>
        <w:ind w:right="1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To remediate the material weakness described above, we have identified appropriate additional controls including the engagement of independent third-party technical accounting experts to assist management with the adoption of new accounting and reporting requirements, the review and evaluation of significant contracts, and the related financial reporting. We are continuing to evaluate our processes and controls after giving effect to the additional controls. Further processes and controls may be added. We believe that these measures will remediate the material weakness identified and strengthen our internal control over financial reporting.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Changes in Internal Control over Financial Reporting</w:t>
      </w:r>
    </w:p>
    <w:p>
      <w:pPr>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During the quarter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the Company engaged third-party technical expertise to assist with tax-related accounting and reporting requirements on an ongoing basis. In addition, the Company engaged a third-party software provider to provide an automated solution for the back-office administration and accounting for the Company’s stock-based compensation programs. Both of these changes are expected to significantly improve the effectiveness of the Company’s internal control over financial reporting. Aside from these two items, there were no other changes in our internal control over financial reporting (as defined in Exchange Act Rules 13a-15(f) and 15d-15(f)) that occurred during the quarter ended </w:t>
      </w:r>
      <w:r>
        <w:rPr>
          <w:rFonts w:ascii="Times New Roman" w:hAnsi="Times New Roman" w:eastAsia="Times New Roman" w:cs="Times New Roman"/>
          <w:sz w:val="20"/>
        </w:rPr>
        <w:t xml:space="preserve">June 30, 2019</w:t>
      </w:r>
      <w:r>
        <w:rPr>
          <w:rFonts w:ascii="Times New Roman" w:hAnsi="Times New Roman" w:eastAsia="Times New Roman" w:cs="Times New Roman"/>
          <w:sz w:val="20"/>
        </w:rPr>
        <w:t xml:space="preserve"> that have materially affected, or are reasonably likely to materially affect, our internal control over financial reporting.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32" w:type="default"/>
        </w:sectPr>
      </w:pP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PART II – OTHER INFORMATION</w:t>
      </w:r>
      <w:bookmarkStart w:id="6077" w:name="PART_II___Other_Information"/>
      <w:bookmarkEnd w:id="6077"/>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sectPr>
          <w:pgNumType w:fmt="decimal" w:chapSep="period"/>
          <w:pgSz w:w="12240" w:h="15840"/>
          <w:pgMar w:top="860" w:left="1000" w:right="1000" w:bottom="860" w:footer="460" w:gutter="0" w:header="160"/>
          <w:headerReference r:id="rId1" w:type="default"/>
          <w:footerReference r:id="rId33"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1 – LEGAL PROCEEDINGS</w:t>
      </w:r>
      <w:bookmarkStart w:id="28138" w:name="Item_1____Legal_Proceedings"/>
      <w:bookmarkEnd w:id="28138"/>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 securities class action lawsuit, </w:t>
      </w:r>
      <w:r>
        <w:rPr>
          <w:rFonts w:ascii="Times New Roman" w:hAnsi="Times New Roman" w:eastAsia="Times New Roman" w:cs="Times New Roman"/>
          <w:sz w:val="20"/>
          <w:i w:val="true"/>
        </w:rPr>
        <w:t xml:space="preserve">Julian Perez, individually, and on behalf of all others similarly situated v. IZEA, Inc., et al</w:t>
      </w:r>
      <w:r>
        <w:rPr>
          <w:rFonts w:ascii="Times New Roman" w:hAnsi="Times New Roman" w:eastAsia="Times New Roman" w:cs="Times New Roman"/>
          <w:sz w:val="20"/>
        </w:rPr>
        <w:t xml:space="preserve">., case number 2:18-cv-02784-SVW-GJS was instituted April 4, 2018 in the U.S. District Court for the Central District of California against us and certain of our executive officers on behalf of certain purchasers of our common stock. The plaintiffs seek to recover damages for investors under federal securities laws. We have estimated and accrued a potential loss of $500,000 representing our deductible on the associated insurance coverage.</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April 15, 2019, a stipulation of settlement was filed in the U.S. District Court for the Central District of California that contained settlement terms as agreed upon by the parties to the </w:t>
      </w:r>
      <w:r>
        <w:rPr>
          <w:rFonts w:ascii="Times New Roman" w:hAnsi="Times New Roman" w:eastAsia="Times New Roman" w:cs="Times New Roman"/>
          <w:sz w:val="20"/>
          <w:i w:val="true"/>
        </w:rPr>
        <w:t xml:space="preserve">Perez</w:t>
      </w:r>
      <w:r>
        <w:rPr>
          <w:rFonts w:ascii="Times New Roman" w:hAnsi="Times New Roman" w:eastAsia="Times New Roman" w:cs="Times New Roman"/>
          <w:sz w:val="20"/>
        </w:rPr>
        <w:t xml:space="preserve"> class action lawsuit described above. The motion for preliminary approval of the settlement was granted on May 7, 2019. According to the terms of the settlement, as agreed upon by the parties, IZEA’s insurer deposited $800,000 into the settlement fund and we paid the remainder of our previously accrued insurance deductible of $400,000 into escrow to be used as settlement funds, inclusive of lead plaintiff awards and lead counsel fees. The settlement is subject to approval by the U.S. District Court, and the Court has scheduled a hearing for September 23, 2019. Upon final approval by the Court, the settlement will require that the </w:t>
      </w:r>
      <w:r>
        <w:rPr>
          <w:rFonts w:ascii="Times New Roman" w:hAnsi="Times New Roman" w:eastAsia="Times New Roman" w:cs="Times New Roman"/>
          <w:sz w:val="20"/>
          <w:i w:val="true"/>
        </w:rPr>
        <w:t xml:space="preserve">Perez</w:t>
      </w:r>
      <w:r>
        <w:rPr>
          <w:rFonts w:ascii="Times New Roman" w:hAnsi="Times New Roman" w:eastAsia="Times New Roman" w:cs="Times New Roman"/>
          <w:sz w:val="20"/>
        </w:rPr>
        <w:t xml:space="preserve"> lawsuit be dismissed with prejudice. In the event that the Court does not approve the settlement, we intend to vigorously defend against the claims based upon our belief that the claims are without merit.</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3, 2018, a shareholder derivative lawsuit, </w:t>
      </w:r>
      <w:r>
        <w:rPr>
          <w:rFonts w:ascii="Times New Roman" w:hAnsi="Times New Roman" w:eastAsia="Times New Roman" w:cs="Times New Roman"/>
          <w:sz w:val="20"/>
          <w:i w:val="true"/>
        </w:rPr>
        <w:t xml:space="preserve">Korene Stuart v. Edward H. Murphy et al.</w:t>
      </w:r>
      <w:r>
        <w:rPr>
          <w:rFonts w:ascii="Times New Roman" w:hAnsi="Times New Roman" w:eastAsia="Times New Roman" w:cs="Times New Roman"/>
          <w:sz w:val="20"/>
        </w:rPr>
        <w:t xml:space="preserve">, case number A-18-777135-C was instituted in the Eighth Judicial District Court of the State of Nevada, Clark County against certain executive officers and members of the Board of Directors for IZEA. IZEA has been named as a nominal defendant. The plaintiff seeks to recover damages on behalf of us for purported breaches of the individual defendants’ fiduciary duties as directors and/or officers of IZEA, unjust enrichment, abuse of control, gross mismanagement, and waste of corporate assets in violation of state common law.</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Additionally, on October 19, 2018, a shareholder derivative lawsuit, </w:t>
      </w:r>
      <w:r>
        <w:rPr>
          <w:rFonts w:ascii="Times New Roman" w:hAnsi="Times New Roman" w:eastAsia="Times New Roman" w:cs="Times New Roman"/>
          <w:sz w:val="20"/>
          <w:i w:val="true"/>
        </w:rPr>
        <w:t xml:space="preserve">Dennis E. Emond v. Edward H. Murphy et al.</w:t>
      </w:r>
      <w:r>
        <w:rPr>
          <w:rFonts w:ascii="Times New Roman" w:hAnsi="Times New Roman" w:eastAsia="Times New Roman" w:cs="Times New Roman"/>
          <w:sz w:val="20"/>
        </w:rPr>
        <w:t xml:space="preserve">, case number 2:18-cv-9040, was instituted in the U.S. District Court for the Central District of California against certain executive officers and members of the Board of Directors for IZEA. IZEA has been named as a nominal defendant. An amended complaint was filed on October 31, 2018. The plaintiff seeks to recover damages on behalf of us for purported breaches of the individual defendants’ fiduciary duties as directors and/or officers of IZEA, gross mismanagement and alleged violations of federal securities laws.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March 6, 2019, a stipulation of settlement was filed in the United States District Court for the Central District of California that contained settlement terms as agreed upon by the parties to the </w:t>
      </w:r>
      <w:r>
        <w:rPr>
          <w:rFonts w:ascii="Times New Roman" w:hAnsi="Times New Roman" w:eastAsia="Times New Roman" w:cs="Times New Roman"/>
          <w:sz w:val="20"/>
          <w:i w:val="true"/>
        </w:rPr>
        <w:t xml:space="preserve">Stuart</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Emond </w:t>
      </w:r>
      <w:r>
        <w:rPr>
          <w:rFonts w:ascii="Times New Roman" w:hAnsi="Times New Roman" w:eastAsia="Times New Roman" w:cs="Times New Roman"/>
          <w:sz w:val="20"/>
        </w:rPr>
        <w:t xml:space="preserve">shareholder derivative lawsuits described above. The settlement terms as agreed upon by the parties include that IZEA will direct its insurers to make a payment of $300,000 as a fee and service award to the plaintiffs and their counsel in the </w:t>
      </w:r>
      <w:r>
        <w:rPr>
          <w:rFonts w:ascii="Times New Roman" w:hAnsi="Times New Roman" w:eastAsia="Times New Roman" w:cs="Times New Roman"/>
          <w:sz w:val="20"/>
          <w:i w:val="true"/>
        </w:rPr>
        <w:t xml:space="preserve">Emond</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Stuart </w:t>
      </w:r>
      <w:r>
        <w:rPr>
          <w:rFonts w:ascii="Times New Roman" w:hAnsi="Times New Roman" w:eastAsia="Times New Roman" w:cs="Times New Roman"/>
          <w:sz w:val="20"/>
        </w:rPr>
        <w:t xml:space="preserve">lawsuits and further that IZEA will enact certain corporate governance reforms. The settlement is subject to approval by the United States District Court for the Central District of California, and the plaintiff presented his motion for preliminary approval of the settlement on May 13, 2019. The motion is currently pending before the Court. Upon final approval by the Court, the settlement will require that both the </w:t>
      </w:r>
      <w:r>
        <w:rPr>
          <w:rFonts w:ascii="Times New Roman" w:hAnsi="Times New Roman" w:eastAsia="Times New Roman" w:cs="Times New Roman"/>
          <w:sz w:val="20"/>
          <w:i w:val="true"/>
        </w:rPr>
        <w:t xml:space="preserve">Emond</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Stuart</w:t>
      </w:r>
      <w:r>
        <w:rPr>
          <w:rFonts w:ascii="Times New Roman" w:hAnsi="Times New Roman" w:eastAsia="Times New Roman" w:cs="Times New Roman"/>
          <w:sz w:val="20"/>
        </w:rPr>
        <w:t xml:space="preserve"> lawsuits be dismissed with prejudice. In the event that the Court does not approve the settlement, we intend to vigorously defend against the claims.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From time to time, we may become involved in various other lawsuits and legal proceedings that arise in the ordinary course of our business. Litigation is, however, subject to inherent uncertainties, and an adverse result in these or other matters may arise from time to time that may harm our business. We are currently not aware of any other legal proceedings or claims that we believe would or could have, individually or in the aggregate, a material adverse effect on us. Regardless of final outcomes, however, any such proceedings or claims may nonetheless impose a significant burden on management and employees and may come with costly defense costs or unfavorable preliminary interim rulings.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1A – RISK FACTORS</w:t>
      </w:r>
      <w:bookmarkStart w:id="2546" w:name="Item_1A__Risk_Factors"/>
      <w:bookmarkEnd w:id="2546"/>
    </w:p>
    <w:p>
      <w:pPr>
        <w:ind w:firstLine="720"/>
        <w:jc w:val="left"/>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addition to the information set forth in this report, you should carefully consider the factors discussed under Item 1A of Part I to our Annual Report on Form 10-K for the year ended December 31, 2018 regarding the numerous and varied risks, known and unknown, that may prevent us from achieving our goals. If any of these risks actually occur, our business, financial condition or results of operation may be materially and adversely affected. In such case, the trading price of our common stock could decline, and investors could lose all or part of their investment. These risk factors may not identify all risks that we face, and our operations could also be affected by factors that are not presently known to us or that we currently consider to be immaterial to our operations.</w:t>
      </w:r>
    </w:p>
    <w:p>
      <w:pPr>
        <w:ind w:firstLine="720"/>
        <w:jc w:val="left"/>
        <w:spacing w:before="120"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If we fail to regain compliance with the minimum closing bid requirements of the Nasdaq Capital Market or to satisfy other requirements for continued listing, our common stock may be delisted and the price of our common stock and our ability to access the capital markets could be negatively impacted.</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Our common stock is listed for trading on the Nasdaq Capital Market (“Nasdaq”). To maintain this listing, we must satisfy Nasdaq’s continued listing requirements, including, among other things, a minimum closing bid price requirement of $1.00 per share.</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June 13, 2019, we received a notification letter from Nasdaq informing us that for the prior 30 consecutive business days, the bid price of our common stock had closed below $1.00 per share. This notice had no immediate effect on our Nasdaq listing and we have 180 calendar days, or until December 10, 2019, to regain compliance. The closing bid price of our common stock must be at least $1.00 per share for a minimum of ten consecutive business days to regain compliance. If by that time we have not regained compliance with the bid price requirement, a second 180-day compliance period may be available, provided (i) we meet the continued listing requirement for market value of publicly held shares and all other applicable requirements for initial listing on Nasdaq (except for the bid price requirement), and (ii) we provide written notice to Nasdaq of our intention to cure this deficiency during the second compliance period by effecting a reverse stock split, if necessary.</w:t>
      </w:r>
    </w:p>
    <w:p>
      <w:pPr>
        <w:ind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If we are unable to regain compliance with the minimum closing bid price requirement by December 10, 2019, or such further extended period as may be provided by Nasdaq, or if we fail to meet any of the other continued listing requirements, our common stock may be delisted from Nasdaq, which could reduce the liquidity of our common stock materially and result in a corresponding material reduction in the price of our common stock. In addition, delisting could harm our ability to raise capital through alternative financing sources on terms acceptable to us, or at all, and may result in the potential loss of confidence by investors, employees and business development opportunities. Such a delisting likely would impair your ability to sell or purchase our common stock when you wish to do so. Further, if we were to be delisted from Nasdaq, our common stock may no longer be recognized as a “covered security” and we would be subject to regulation in each state in which we offer our securities. Thus, delisting from Nasdaq could adversely affect our ability to raise additional financing through the public or private sale of equity securities, would significantly impact the ability of investors to trade our securities and would negatively impact the value and liquidity of our common stock.</w:t>
      </w:r>
    </w:p>
    <w:p>
      <w:pPr>
        <w:ind w:firstLine="720"/>
        <w:jc w:val="left"/>
        <w:spacing w:before="120"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We have been named as a defendant in a securities class action lawsuit and other shareholder derivative lawsuits relating to an error in the presentation of revenues and classification of expenses in certain financial statements issued in prior years. This litigation, and any other similar or related claims or investigations, could result in substantial damages and cost and may divert management’s time and attention from our business.</w:t>
      </w:r>
    </w:p>
    <w:p>
      <w:pPr>
        <w:ind w:firstLine="540" w:right="30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 securities class action lawsuit, </w:t>
      </w:r>
      <w:r>
        <w:rPr>
          <w:rFonts w:ascii="Times New Roman" w:hAnsi="Times New Roman" w:eastAsia="Times New Roman" w:cs="Times New Roman"/>
          <w:sz w:val="20"/>
          <w:i w:val="true"/>
        </w:rPr>
        <w:t xml:space="preserve">Julian Perez, individually, and on behalf of all others similarly situated v. IZEA, Inc., et al</w:t>
      </w:r>
      <w:r>
        <w:rPr>
          <w:rFonts w:ascii="Times New Roman" w:hAnsi="Times New Roman" w:eastAsia="Times New Roman" w:cs="Times New Roman"/>
          <w:sz w:val="20"/>
        </w:rPr>
        <w:t xml:space="preserve">., case number 2:18-cv-02784-SVW-GJS was instituted April 4, 2018 in the U.S. District Court for the Central District of California against us and certain of our executive officers on behalf of certain purchasers of our common stock. The plaintiffs seek to recover damages for investors under federal securities laws. We have estimated and accrued a potential loss of $500,000 representing our deductible on associated insurance coverage.</w:t>
      </w:r>
    </w:p>
    <w:p>
      <w:pPr>
        <w:ind w:firstLine="540" w:right="30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April 15, 2019, a stipulation of settlement was filed in the U.S. District Court for the Central District of California that contained settlement terms as agreed upon by the parties to the </w:t>
      </w:r>
      <w:r>
        <w:rPr>
          <w:rFonts w:ascii="Times New Roman" w:hAnsi="Times New Roman" w:eastAsia="Times New Roman" w:cs="Times New Roman"/>
          <w:sz w:val="20"/>
          <w:i w:val="true"/>
        </w:rPr>
        <w:t xml:space="preserve">Perez</w:t>
      </w:r>
      <w:r>
        <w:rPr>
          <w:rFonts w:ascii="Times New Roman" w:hAnsi="Times New Roman" w:eastAsia="Times New Roman" w:cs="Times New Roman"/>
          <w:sz w:val="20"/>
        </w:rPr>
        <w:t xml:space="preserve"> class action lawsuit described above. The motion for preliminary approval of the settlement was granted on May 7, 2019. According to the terms of the settlement as agreed upon by the parties IZEA’s insurer deposited $800,000 into the settlement fund and we paid the remainder of our previously accrued insurance deductible of $400,000 into escrow to be used as settlement funds, inclusive of lead plaintiff awards and lead counsel fees. The settlement is subject to final approval by the U.S. District Court, and the Court has scheduled a hearing for September 23, 2019. Upon final approval by the Court, the settlement will require that the </w:t>
      </w:r>
      <w:r>
        <w:rPr>
          <w:rFonts w:ascii="Times New Roman" w:hAnsi="Times New Roman" w:eastAsia="Times New Roman" w:cs="Times New Roman"/>
          <w:sz w:val="20"/>
          <w:i w:val="true"/>
        </w:rPr>
        <w:t xml:space="preserve">Perez</w:t>
      </w:r>
      <w:r>
        <w:rPr>
          <w:rFonts w:ascii="Times New Roman" w:hAnsi="Times New Roman" w:eastAsia="Times New Roman" w:cs="Times New Roman"/>
          <w:sz w:val="20"/>
        </w:rPr>
        <w:t xml:space="preserve"> lawsuit be dismissed with prejudice. In the event that the Court does not approve the settlement, we intend to vigorously defend against the claims based upon our belief that the claims are without merit.</w:t>
      </w:r>
    </w:p>
    <w:p>
      <w:pPr>
        <w:ind w:firstLine="540" w:right="30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 2018, a shareholder derivative lawsuit, </w:t>
      </w:r>
      <w:r>
        <w:rPr>
          <w:rFonts w:ascii="Times New Roman" w:hAnsi="Times New Roman" w:eastAsia="Times New Roman" w:cs="Times New Roman"/>
          <w:sz w:val="20"/>
          <w:i w:val="true"/>
        </w:rPr>
        <w:t xml:space="preserve">Korene Stuart v. Edward H. Murphy et al</w:t>
      </w:r>
      <w:r>
        <w:rPr>
          <w:rFonts w:ascii="Times New Roman" w:hAnsi="Times New Roman" w:eastAsia="Times New Roman" w:cs="Times New Roman"/>
          <w:sz w:val="20"/>
        </w:rPr>
        <w:t xml:space="preserve">., case number A-18-777135-C was instituted in the Eighth Judicial District Court of the State of Nevada, Clark County against certain executive officers and members of the Board of Directors for IZEA. IZEA has been named as a nominal defendant. The plaintiff seeks to recover damages on behalf of us for purported breaches of the individual defendants’ fiduciary duties as directors and/or officers of IZEA, unjust enrichment, abuse of control, gross mismanagement, and waste of corporate assets in violation of state common law.</w:t>
      </w:r>
    </w:p>
    <w:p>
      <w:pPr>
        <w:ind w:firstLine="540" w:right="30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Additionally, on October 19, 2018, a shareholder derivative lawsuit, </w:t>
      </w:r>
      <w:r>
        <w:rPr>
          <w:rFonts w:ascii="Times New Roman" w:hAnsi="Times New Roman" w:eastAsia="Times New Roman" w:cs="Times New Roman"/>
          <w:sz w:val="20"/>
          <w:i w:val="true"/>
        </w:rPr>
        <w:t xml:space="preserve">Dennis E. Emond v. Edward H. Murphy et al.</w:t>
      </w:r>
      <w:r>
        <w:rPr>
          <w:rFonts w:ascii="Times New Roman" w:hAnsi="Times New Roman" w:eastAsia="Times New Roman" w:cs="Times New Roman"/>
          <w:sz w:val="20"/>
        </w:rPr>
        <w:t xml:space="preserve">, case number 2:18-cv-9040, was instituted in the U.S. District Court for the Central District of California against certain executive officers and members of the Board of Directors for IZEA. IZEA has been named as a nominal defendant. An amended complaint was filed on October 31, 2018. The plaintiff seeks to recover damages on behalf of us for purported breaches of the individual defendants’ fiduciary duties as directors and/or officers of IZEA, gross mismanagement and alleged violations of federal securities laws.</w:t>
      </w:r>
    </w:p>
    <w:p>
      <w:pPr>
        <w:ind w:firstLine="540" w:right="30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March 6, 2019, a stipulation of settlement was filed in the United States District Court for the Central District of California that contained settlement terms as agreed upon by the parties to the </w:t>
      </w:r>
      <w:r>
        <w:rPr>
          <w:rFonts w:ascii="Times New Roman" w:hAnsi="Times New Roman" w:eastAsia="Times New Roman" w:cs="Times New Roman"/>
          <w:sz w:val="20"/>
          <w:i w:val="true"/>
        </w:rPr>
        <w:t xml:space="preserve">Stuart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Emond</w:t>
      </w:r>
      <w:r>
        <w:rPr>
          <w:rFonts w:ascii="Times New Roman" w:hAnsi="Times New Roman" w:eastAsia="Times New Roman" w:cs="Times New Roman"/>
          <w:sz w:val="20"/>
        </w:rPr>
        <w:t xml:space="preserve"> shareholder derivative lawsuits described above. The settlement terms as agreed upon by the parties include that IZEA will direct its insurers to make a payment of $300,000 as a fee and service award to the plaintiffs and their counsel in the </w:t>
      </w:r>
      <w:r>
        <w:rPr>
          <w:rFonts w:ascii="Times New Roman" w:hAnsi="Times New Roman" w:eastAsia="Times New Roman" w:cs="Times New Roman"/>
          <w:sz w:val="20"/>
          <w:i w:val="true"/>
        </w:rPr>
        <w:t xml:space="preserve">Emond</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Stuart</w:t>
      </w:r>
      <w:r>
        <w:rPr>
          <w:rFonts w:ascii="Times New Roman" w:hAnsi="Times New Roman" w:eastAsia="Times New Roman" w:cs="Times New Roman"/>
          <w:sz w:val="20"/>
        </w:rPr>
        <w:t xml:space="preserve"> lawsuits and further that IZEA will enact certain corporate governance reforms. The settlement is subject to approval by the United States District Court for the Central District of California, and the plaintiff presented his motion for preliminary approval of the settlement on May 13, 2019. The motion is currently pending before the Court. Upon final approval by the Court, the settlement will require that both the </w:t>
      </w:r>
      <w:r>
        <w:rPr>
          <w:rFonts w:ascii="Times New Roman" w:hAnsi="Times New Roman" w:eastAsia="Times New Roman" w:cs="Times New Roman"/>
          <w:sz w:val="20"/>
          <w:i w:val="true"/>
        </w:rPr>
        <w:t xml:space="preserve">Emond</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Stuart </w:t>
      </w:r>
      <w:r>
        <w:rPr>
          <w:rFonts w:ascii="Times New Roman" w:hAnsi="Times New Roman" w:eastAsia="Times New Roman" w:cs="Times New Roman"/>
          <w:sz w:val="20"/>
        </w:rPr>
        <w:t xml:space="preserve">lawsuits be dismissed with prejudice. In the event that the Court does not approve the settlement, we intend to vigorously defend against the claims.</w:t>
      </w:r>
    </w:p>
    <w:p>
      <w:pPr>
        <w:ind w:firstLine="540" w:right="30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These lawsuits, and any other similar or related claims or investigations, could result in the diversion of management’s time and attention away from business operations, which could harm our business and also harm our relationships with existing customers, vendors and business partners. The lawsuits may also materially damage our reputation and the value of our brand. Our legal expenses incurred in defending the lawsuits, and any other similar or related matters, could be significant, and a ruling against us, or any settlement, could have a material adverse effect on us.</w:t>
      </w:r>
    </w:p>
    <w:p>
      <w:pPr>
        <w:ind w:firstLine="540" w:right="30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There can be no assurance that any litigation to which we are, or in the future may become, a party will be resolved in our favor. These lawsuits and any other lawsuits that we may become party to are subject to inherent uncertainties, and the costs to us of defending litigation matters will depend upon many unknown factors. Any claim that is successfully decided against us may require us to pay substantial damages, including punitive damages, and other related fees. We may also determine that a settlement of one or more of the actions is in the best interest of us and our shareholders.</w:t>
      </w:r>
    </w:p>
    <w:p>
      <w:pPr>
        <w:ind w:firstLine="540" w:right="30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Regardless of whether lawsuits are resolved in our favor or if we are the plaintiff or the defendant in the litigation, any lawsuits to which we are or may become a party will likely be expensive and time consuming to defend or resolve.</w:t>
      </w:r>
    </w:p>
    <w:p>
      <w:pPr>
        <w:ind w:firstLine="720"/>
        <w:jc w:val="left"/>
        <w:spacing w:before="120"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We are continuing to develop our IZEAx platform and are in the process of transitioning certain features and customers from our legacy Ebyline, ZenContent and TapInfluence platforms. Our updated IZEAx platform may not achieve sufficient market acceptance to be commercially viable for open marketplace or SaaS services.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are continuing to develop our primary platform,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we intend to focus the majority of our engineering resources on the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platform for the foreseeable future. In April 2019, we released version 3.0 of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which allows marketers to make offers that require a single creator to complete multiple tasks or deliverables. The new version also allows users to source multiple creators to produce a combined deliverable for the end-marketer. Throughout the remainder of 2019, we plan to continue to add additional features to support SaaS white-label partners and integrate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 offerings for custom content services within our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 We are spending a significant amount of time and resources on the development of this platform, and we cannot provide any assurances of its short or long-term commercial success or growth. There is no assurance that the amount of money being allocated for the platform will be sufficient to complete it, or that such completion will result in significant revenues or profit for us.</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is naturally declining as we are dedicating resources to the continuation and development of our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 We are working towards merging the two platforms and there is a risk that the merging of our Ebyline customers into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will result in a further decrease in revenue related to the self-service Content Workflow business if the customers do not understand the changes or do not believe that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 can provide them with a similar or improved service from what they received in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Additionally, there is a risk that existing creators registered under our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platforms will either not migrate or will not participate and accept offers after their migration into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If our marketers and creators do not perceive this platform to be of high value and quality, we may not be able to retain them or acquire new marketers and creators. Additionally, if existing or future competitors develop or offer products or services that provide significant performance, price, creative or other advantages over this platform, demand for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may decrease and our business, prospects, results of operations and financial condition could be negatively affected.</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34"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2 – UNREGISTERED SALES OF EQUITY SECURITIES AND USE OF PROCEEDS</w:t>
      </w:r>
      <w:bookmarkStart w:id="44223" w:name="Item_2____Unregisterd_Sales_of_Equity_Se"/>
      <w:bookmarkEnd w:id="44223"/>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Other than as previously reported in the Company’s Current Reports on Form 8-K, the Company did not sell any unregistered securities during the period covered by this report.</w:t>
      </w:r>
    </w:p>
    <w:p>
      <w:pPr>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35"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3 – DEFAULTS UPON SENIOR SECURITIES</w:t>
      </w:r>
      <w:bookmarkStart w:id="11645" w:name="Item_3____Defaults_Upon_Senior_Securitie"/>
      <w:bookmarkEnd w:id="11645"/>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None.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4 – MINE SAFETY DISCLOSURES</w:t>
      </w:r>
      <w:bookmarkStart w:id="53529" w:name="Item_4____Mine_Safety_Disclosures"/>
      <w:bookmarkEnd w:id="53529"/>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Not applicable.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5 – OTHER INFORMATION</w:t>
      </w:r>
      <w:bookmarkStart w:id="1135" w:name="Item_5___Other_Information"/>
      <w:bookmarkEnd w:id="1135"/>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Not applicable.</w:t>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after="26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6 – EXHIBITS</w:t>
      </w:r>
      <w:bookmarkStart w:id="26141" w:name="Item_6___Exhibits"/>
      <w:bookmarkEnd w:id="26141"/>
    </w:p>
    <w:tbl>
      <w:tblPr>
        <w:tblW w:type="dxa" w:w="10240"/>
        <w:tblLayout w:type="fixed"/>
        <w:jc w:val="justify"/>
      </w:tblPr>
      <w:tblGrid>
        <w:gridCol w:w="600"/>
        <w:gridCol w:w="520"/>
        <w:gridCol w:w="9120"/>
      </w:tblGrid>
      <w:tr>
        <w:trPr>
          <w:trHeight w:hRule="exact" w:val="300"/>
        </w:trPr>
        <w:tc>
          <w:tcPr>
            <w:tcW w:type="dxa" w:w="1120"/>
            <w:tcMar>
              <w:left w:type="dxa" w:w="60"/>
              <w:right w:type="dxa" w:w="40"/>
            </w:tcMar>
            <w:hMerge w:val="restart"/>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Exhibit No.</w:t>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9120"/>
            <w:tcMar>
              <w:left w:type="dxa" w:w="60"/>
              <w:right w:type="dxa" w:w="60"/>
            </w:tcMar>
            <w:hMerge w:val="restart"/>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Description</w:t>
            </w:r>
          </w:p>
        </w:tc>
      </w:tr>
      <w:tr>
        <w:trPr>
          <w:trHeight w:hRule="exact" w:val="700"/>
        </w:trPr>
        <w:tc>
          <w:tcPr>
            <w:tcW w:type="dxa" w:w="600"/>
            <w:tcMar>
              <w:left w:type="dxa" w:w="60"/>
              <w:right w:type="dxa" w:w="40"/>
            </w:tcMar>
            <w:tcBorders>
              <w:top w:val="single" w:sz="8" w:space="0"/>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w:t>
            </w:r>
          </w:p>
        </w:tc>
        <w:tc>
          <w:tcPr>
            <w:tcW w:type="dxa" w:w="520"/>
            <w:tcMar>
              <w:left w:type="dxa" w:w="60"/>
              <w:right w:type="dxa" w:w="0"/>
            </w:tcMar>
            <w:tcBorders>
              <w:top w:val="single" w:sz="8" w:space="0"/>
            </w:tcBorders>
            <w:vAlign w:val="top"/>
          </w:tcPr>
          <w:p>
            <w:pPr>
              <w:jc w:val="left"/>
              <w:keepNext/>
              <w:keepLines/>
              <w:spacing w:before="40" w:after="40" w:line="240" w:lineRule="auto"/>
              <w:rPr/>
            </w:pPr>
            <w:r>
              <w:rPr/>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
              <w:r>
                <w:rPr>
                  <w:rFonts w:ascii="Times New Roman" w:hAnsi="Times New Roman" w:eastAsia="Times New Roman" w:cs="Times New Roman"/>
                  <w:sz w:val="20"/>
                  <w:color w:val="0000ff"/>
                  <w:u w:val="single" w:color="0000ff"/>
                </w:rPr>
                <w:t xml:space="preserve">Amended and Restated Articles of Incorporation of IZEA, Inc., filed with the Nevada Secretary of State on November 28, 2011 (Incorporated by reference to Exhibit 3.1 to the Company's Current Report on Form 8-K filed with the SEC on November 23, 2011).</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w:t>
            </w:r>
          </w:p>
        </w:tc>
        <w:tc>
          <w:tcPr>
            <w:tcW w:type="dxa" w:w="520"/>
            <w:tcMar>
              <w:left w:type="dxa" w:w="60"/>
              <w:right w:type="dxa" w:w="0"/>
            </w:tcMar>
            <w:tcBorders/>
            <w:vAlign w:val="top"/>
          </w:tcPr>
          <w:p>
            <w:pPr>
              <w:jc w:val="left"/>
              <w:keepNext/>
              <w:keepLines/>
              <w:spacing w:before="40" w:after="40" w:line="240" w:lineRule="auto"/>
              <w:rPr/>
            </w:pPr>
            <w:r>
              <w:rPr/>
            </w:r>
          </w:p>
        </w:tc>
        <w:tc>
          <w:tcPr>
            <w:tcW w:type="dxa" w:w="91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hyperlink r:id="hyp_2">
              <w:r>
                <w:rPr>
                  <w:rFonts w:ascii="Times New Roman" w:hAnsi="Times New Roman" w:eastAsia="Times New Roman" w:cs="Times New Roman"/>
                  <w:sz w:val="20"/>
                  <w:color w:val="0000ff"/>
                  <w:u w:val="single" w:color="0000ff"/>
                </w:rPr>
                <w:t xml:space="preserve">Certificate of Change of IZEA, Inc., filed with the Nevada Secretary of State on July 30, 2012 (Incorporated by reference to Exhibit 3.1 to the Company’s Current Report on Form 8-K filed with the SEC on August 1, 2012).</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w:t>
            </w:r>
          </w:p>
        </w:tc>
        <w:tc>
          <w:tcPr>
            <w:tcW w:type="dxa" w:w="520"/>
            <w:tcMar>
              <w:left w:type="dxa" w:w="60"/>
              <w:right w:type="dxa" w:w="0"/>
            </w:tcMar>
            <w:tcBorders/>
            <w:vAlign w:val="top"/>
          </w:tcPr>
          <w:p>
            <w:pPr>
              <w:jc w:val="left"/>
              <w:keepNext/>
              <w:keepLines/>
              <w:spacing w:before="40" w:after="40" w:line="240" w:lineRule="auto"/>
              <w:rPr/>
            </w:pPr>
            <w:r>
              <w:rPr/>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3">
              <w:r>
                <w:rPr>
                  <w:rFonts w:ascii="Times New Roman" w:hAnsi="Times New Roman" w:eastAsia="Times New Roman" w:cs="Times New Roman"/>
                  <w:sz w:val="20"/>
                  <w:color w:val="0000ff"/>
                  <w:u w:val="single" w:color="0000ff"/>
                </w:rPr>
                <w:t xml:space="preserve">Certificate of Amendment to Articles of Incorporation filed with the Secretary of State of the State of Nevada on April 17, 2014 (Incorporated by reference to Exhibit 3.1 to the Company’s Current Report on Form 8-K filed with the SEC on April 18, 2014).</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w:t>
            </w:r>
          </w:p>
        </w:tc>
        <w:tc>
          <w:tcPr>
            <w:tcW w:type="dxa" w:w="520"/>
            <w:tcMar>
              <w:left w:type="dxa" w:w="60"/>
              <w:right w:type="dxa" w:w="0"/>
            </w:tcMar>
            <w:tcBorders/>
            <w:vAlign w:val="top"/>
          </w:tcPr>
          <w:p>
            <w:pPr>
              <w:jc w:val="left"/>
              <w:keepNext/>
              <w:keepLines/>
              <w:spacing w:before="40" w:after="40" w:line="240" w:lineRule="auto"/>
              <w:rPr/>
            </w:pPr>
            <w:r>
              <w:rPr/>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4">
              <w:r>
                <w:rPr>
                  <w:rFonts w:ascii="Times New Roman" w:hAnsi="Times New Roman" w:eastAsia="Times New Roman" w:cs="Times New Roman"/>
                  <w:sz w:val="20"/>
                  <w:color w:val="0000ff"/>
                  <w:u w:val="single" w:color="0000ff"/>
                </w:rPr>
                <w:t xml:space="preserve">Certificate of Withdrawal of Certificate of Designation filed with the Secretary of State of the State of Nevada effective January 23, 2015 (Incorporated by reference to Exhibit 3.1 to the Company’s Current Report on Form 8-K filed with the SEC on January 29, 2015).</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w:t>
            </w:r>
          </w:p>
        </w:tc>
        <w:tc>
          <w:tcPr>
            <w:tcW w:type="dxa" w:w="520"/>
            <w:tcMar>
              <w:left w:type="dxa" w:w="60"/>
              <w:right w:type="dxa" w:w="0"/>
            </w:tcMar>
            <w:tcBorders/>
            <w:vAlign w:val="top"/>
          </w:tcPr>
          <w:p>
            <w:pPr>
              <w:jc w:val="left"/>
              <w:keepNext/>
              <w:keepLines/>
              <w:spacing w:before="40" w:after="40" w:line="240" w:lineRule="auto"/>
              <w:rPr/>
            </w:pPr>
            <w:r>
              <w:rPr/>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5">
              <w:r>
                <w:rPr>
                  <w:rFonts w:ascii="Times New Roman" w:hAnsi="Times New Roman" w:eastAsia="Times New Roman" w:cs="Times New Roman"/>
                  <w:sz w:val="20"/>
                  <w:color w:val="0000ff"/>
                  <w:u w:val="single" w:color="0000ff"/>
                </w:rPr>
                <w:t xml:space="preserve">Certificate of Amendment filed with the Secretary of State of the State of Nevada effective January 11, 2016 (Incorporated by reference to Exhibit 3.1 to the Company’s Current Report on Form 8-K filed with the SEC on January 12, 2016).</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w:t>
            </w:r>
          </w:p>
        </w:tc>
        <w:tc>
          <w:tcPr>
            <w:tcW w:type="dxa" w:w="520"/>
            <w:tcMar>
              <w:left w:type="dxa" w:w="60"/>
              <w:right w:type="dxa" w:w="0"/>
            </w:tcMar>
            <w:tcBorders/>
            <w:vAlign w:val="top"/>
          </w:tcPr>
          <w:p>
            <w:pPr>
              <w:jc w:val="left"/>
              <w:keepNext/>
              <w:keepLines/>
              <w:spacing w:before="40" w:after="40" w:line="240" w:lineRule="auto"/>
              <w:rPr/>
            </w:pPr>
            <w:r>
              <w:rPr/>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6">
              <w:r>
                <w:rPr>
                  <w:rFonts w:ascii="Times New Roman" w:hAnsi="Times New Roman" w:eastAsia="Times New Roman" w:cs="Times New Roman"/>
                  <w:sz w:val="20"/>
                  <w:color w:val="0000ff"/>
                  <w:u w:val="single" w:color="0000ff"/>
                </w:rPr>
                <w:t xml:space="preserve">Amended and Restated Bylaws of IZEA, Inc. (Incorporated by reference to Exhibit 3.2 to the Current Report on Form 8-K filed with the SEC on November 23, 2011).</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w:t>
            </w:r>
          </w:p>
        </w:tc>
        <w:tc>
          <w:tcPr>
            <w:tcW w:type="dxa" w:w="520"/>
            <w:tcMar>
              <w:left w:type="dxa" w:w="60"/>
              <w:right w:type="dxa" w:w="0"/>
            </w:tcMar>
            <w:tcBorders/>
            <w:vAlign w:val="top"/>
          </w:tcPr>
          <w:p>
            <w:pPr>
              <w:jc w:val="left"/>
              <w:keepNext/>
              <w:keepLines/>
              <w:spacing w:before="40" w:after="40" w:line="240" w:lineRule="auto"/>
              <w:rPr/>
            </w:pPr>
            <w:r>
              <w:rPr/>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7">
              <w:r>
                <w:rPr>
                  <w:rFonts w:ascii="Times New Roman" w:hAnsi="Times New Roman" w:eastAsia="Times New Roman" w:cs="Times New Roman"/>
                  <w:sz w:val="20"/>
                  <w:color w:val="0000ff"/>
                  <w:u w:val="single" w:color="0000ff"/>
                </w:rPr>
                <w:t xml:space="preserve">Certificate of Designation (Incorporated by reference to Exhibit 3.1 to the Company’s Current Report on Form 8-K filed with the SEC on May 27, 2011).</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w:t>
            </w:r>
          </w:p>
        </w:tc>
        <w:tc>
          <w:tcPr>
            <w:tcW w:type="dxa" w:w="520"/>
            <w:tcMar>
              <w:left w:type="dxa" w:w="60"/>
              <w:right w:type="dxa" w:w="0"/>
            </w:tcMar>
            <w:tcBorders/>
            <w:vAlign w:val="top"/>
          </w:tcPr>
          <w:p>
            <w:pPr>
              <w:jc w:val="left"/>
              <w:keepNext/>
              <w:keepLines/>
              <w:spacing w:before="40" w:after="40" w:line="240" w:lineRule="auto"/>
              <w:rPr/>
            </w:pPr>
            <w:r>
              <w:rPr/>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8">
              <w:r>
                <w:rPr>
                  <w:rFonts w:ascii="Times New Roman" w:hAnsi="Times New Roman" w:eastAsia="Times New Roman" w:cs="Times New Roman"/>
                  <w:sz w:val="20"/>
                  <w:color w:val="0000ff"/>
                  <w:u w:val="single" w:color="0000ff"/>
                </w:rPr>
                <w:t xml:space="preserve">Articles of Merger of IZEA Innovations, Inc. filed with the Secretary of State of the State of Nevada effective April 5, 2016 (Incorporated by reference to Exhibit 3.11 to the Company's Quarterly Report on Form 10-Q filed with the SEC on May 11, 2016).</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w:t>
            </w:r>
          </w:p>
        </w:tc>
        <w:tc>
          <w:tcPr>
            <w:tcW w:type="dxa" w:w="520"/>
            <w:tcMar>
              <w:left w:type="dxa" w:w="60"/>
              <w:right w:type="dxa" w:w="0"/>
            </w:tcMar>
            <w:tcBorders/>
            <w:vAlign w:val="top"/>
          </w:tcPr>
          <w:p>
            <w:pPr>
              <w:jc w:val="left"/>
              <w:keepNext/>
              <w:keepLines/>
              <w:spacing w:before="40" w:after="40" w:line="240" w:lineRule="auto"/>
              <w:rPr/>
            </w:pPr>
            <w:r>
              <w:rPr/>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9">
              <w:r>
                <w:rPr>
                  <w:rFonts w:ascii="Times New Roman" w:hAnsi="Times New Roman" w:eastAsia="Times New Roman" w:cs="Times New Roman"/>
                  <w:sz w:val="20"/>
                  <w:color w:val="0000ff"/>
                  <w:u w:val="single" w:color="0000ff"/>
                </w:rPr>
                <w:t xml:space="preserve">Articles of Merger of IZEA Worldwide, Inc. filed with the Secretary of State of the State of Nevada effective August 20, 2018 (Incorporated by reference to Exhibit 3.1 to the Company's Current Report on Form 8-K filed with the SEC on August 23, 2018).</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w:t>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0">
              <w:r>
                <w:rPr>
                  <w:rFonts w:ascii="Times New Roman" w:hAnsi="Times New Roman" w:eastAsia="Times New Roman" w:cs="Times New Roman"/>
                  <w:sz w:val="20"/>
                  <w:color w:val="0000ff"/>
                  <w:u w:val="single" w:color="0000ff"/>
                </w:rPr>
                <w:t xml:space="preserve">Employment Agreement between IZEA Worldwide, Inc. and Edward H. Murphy effective April 21, 2019 (Incorporated by reference to Exhibit 10.1 to the Company's Current Report on Form 8-K filed with the SEC on April 24, 2019).</w:t>
              </w:r>
            </w:hyperlink>
          </w:p>
        </w:tc>
      </w:tr>
      <w:tr>
        <w:trPr>
          <w:trHeight w:hRule="exact" w:val="3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31.1</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1">
              <w:r>
                <w:rPr>
                  <w:rFonts w:ascii="Times New Roman" w:hAnsi="Times New Roman" w:eastAsia="Times New Roman" w:cs="Times New Roman"/>
                  <w:sz w:val="20"/>
                  <w:color w:val="0000ff"/>
                  <w:u w:val="single" w:color="0000ff"/>
                </w:rPr>
                <w:t xml:space="preserve">Certification of Principal Executive Officer pursuant to Section 302 of the Sarbanes-Oxley Act of 2002.</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31.2</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2">
              <w:r>
                <w:rPr>
                  <w:rFonts w:ascii="Times New Roman" w:hAnsi="Times New Roman" w:eastAsia="Times New Roman" w:cs="Times New Roman"/>
                  <w:sz w:val="20"/>
                  <w:color w:val="0000ff"/>
                  <w:u w:val="single" w:color="0000ff"/>
                </w:rPr>
                <w:t xml:space="preserve">Certification of Principal Financial and Accounting Officer pursuant to Section 302 of the Sarbanes-Oxley Act of 2002.</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32.1</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(b)</w:t>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3">
              <w:r>
                <w:rPr>
                  <w:rFonts w:ascii="Times New Roman" w:hAnsi="Times New Roman" w:eastAsia="Times New Roman" w:cs="Times New Roman"/>
                  <w:sz w:val="20"/>
                  <w:color w:val="0000ff"/>
                  <w:u w:val="single" w:color="0000ff"/>
                </w:rPr>
                <w:t xml:space="preserve">Certification of Principal Executive Officer pursuant to 18 U.S.C. Section 1350, as adopted pursuant to Section 906 of the Sarbanes-Oxley Act of 2002.</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32.2</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(b)</w:t>
            </w:r>
          </w:p>
        </w:tc>
        <w:tc>
          <w:tcPr>
            <w:tcW w:type="dxa" w:w="9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4">
              <w:r>
                <w:rPr>
                  <w:rFonts w:ascii="Times New Roman" w:hAnsi="Times New Roman" w:eastAsia="Times New Roman" w:cs="Times New Roman"/>
                  <w:sz w:val="20"/>
                  <w:color w:val="0000ff"/>
                  <w:u w:val="single" w:color="0000ff"/>
                </w:rPr>
                <w:t xml:space="preserve">Certification of Principal Financial and Accounting Officer pursuant to 18 U.S.C. Section 1350, as adopted pursuant to Section 906 of the Sarbanes-Oxley Act of 2002.</w:t>
              </w:r>
            </w:hyperlink>
          </w:p>
        </w:tc>
      </w:tr>
      <w:tr>
        <w:trPr>
          <w:trHeight w:hRule="exact" w:val="1100"/>
        </w:trPr>
        <w:tc>
          <w:tcPr>
            <w:tcW w:type="dxa" w:w="600"/>
            <w:tcMar>
              <w:left w:type="dxa" w:w="60"/>
              <w:right w:type="dxa" w:w="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w:t>
            </w:r>
          </w:p>
        </w:tc>
        <w:tc>
          <w:tcPr>
            <w:tcW w:type="dxa" w:w="520"/>
            <w:tcMar>
              <w:left w:type="dxa" w:w="60"/>
              <w:right w:type="dxa" w:w="4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w:t>
            </w:r>
          </w:p>
        </w:tc>
        <w:tc>
          <w:tcPr>
            <w:tcW w:type="dxa" w:w="91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The following materials from IZEA Worldwide, Inc.'s Quarterly Report for the quarter ended June 30, 2019 are formatted in XBRL (eXtensible Business Reporting Language): (i) the Unaudited Consolidated Balance Sheets, (ii) the Unaudited Consolidated Statements of Operations, (iii) the Unaudited Consolidated Statement of Stockholders' Equity, (iv) the Unaudited Consolidated Statements of Cash Flow, and (iv) Notes to the Unaudited Consolidated Financial Statements.</w:t>
            </w:r>
          </w:p>
        </w:tc>
      </w:tr>
    </w:tbl>
    <w:p>
      <w:pPr>
        <w:ind w:left="720" w:firstLine="-720"/>
        <w:jc w:val="both"/>
        <w:spacing w:before="180" w:line="288" w:lineRule="auto"/>
        <w:rPr>
          <w:rFonts w:ascii="Times New Roman" w:hAnsi="Times New Roman" w:eastAsia="Times New Roman" w:cs="Times New Roman"/>
          <w:sz w:val="19"/>
        </w:rPr>
      </w:pPr>
      <w:r>
        <w:rPr>
          <w:rFonts w:ascii="Times New Roman" w:hAnsi="Times New Roman" w:eastAsia="Times New Roman" w:cs="Times New Roman"/>
          <w:sz w:val="19"/>
        </w:rPr>
        <w:t xml:space="preserve">*	Filed or furnished herewith.</w:t>
      </w:r>
    </w:p>
    <w:p>
      <w:pPr>
        <w:ind w:left="720" w:firstLine="-720"/>
        <w:jc w:val="both"/>
        <w:spacing w:before="120" w:line="288" w:lineRule="auto"/>
        <w:rPr>
          <w:rFonts w:ascii="Times New Roman" w:hAnsi="Times New Roman" w:eastAsia="Times New Roman" w:cs="Times New Roman"/>
          <w:sz w:val="19"/>
        </w:rPr>
      </w:pPr>
      <w:r>
        <w:rPr>
          <w:rFonts w:ascii="Times New Roman" w:hAnsi="Times New Roman" w:eastAsia="Times New Roman" w:cs="Times New Roman"/>
          <w:sz w:val="19"/>
        </w:rPr>
        <w:t xml:space="preserve">(a)	Denotes management contract or compensatory plan or arrangement.</w:t>
      </w:r>
    </w:p>
    <w:p>
      <w:pPr>
        <w:ind w:left="720" w:firstLine="-720"/>
        <w:jc w:val="left"/>
        <w:spacing w:before="120" w:line="288" w:lineRule="auto"/>
        <w:rPr>
          <w:rFonts w:ascii="Times New Roman" w:hAnsi="Times New Roman" w:eastAsia="Times New Roman" w:cs="Times New Roman"/>
          <w:sz w:val="19"/>
        </w:rPr>
      </w:pPr>
      <w:r>
        <w:rPr>
          <w:rFonts w:ascii="Times New Roman" w:hAnsi="Times New Roman" w:eastAsia="Times New Roman" w:cs="Times New Roman"/>
          <w:sz w:val="19"/>
        </w:rPr>
        <w:t xml:space="preserve">(b)	In accordance with Item 601 of Regulation S-K, this Exhibit is hereby furnished to the SEC as an accompanying document and is not deemed “filed” for purposes of Section 18 of the Securities Exchange Act of 1934, as amended (the “Exchange Act”) or otherwise subject to the liabilities of that Section, nor shall it be deemed incorporated by reference into any filing under the Securities Act of 1933.</w:t>
      </w:r>
    </w:p>
    <w:p>
      <w:pPr>
        <w:ind w:left="720"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	In accordance with Rule 406T of Regulation S-T, the XBRL related information in Exhibit 101 to this Quarterly Report on Form 10-Q shall not be deemed to be “filed” for purposes of Section 18 of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pPr>
        <w:ind w:left="720" w:firstLine="-720"/>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36" w:type="default"/>
        </w:sectPr>
      </w:pP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SIGNATURES</w:t>
      </w:r>
      <w:bookmarkStart w:id="31210" w:name="Signatures"/>
      <w:bookmarkEnd w:id="31210"/>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Pursuant to the requirements of Section 13 or 15(d) of the Securities Exchange Act of 1934, the Registrant has duly caused this Quarterly Report to be signed on its behalf by the undersigned, thereunto duly authorized.</w:t>
      </w:r>
    </w:p>
    <w:tbl>
      <w:tblPr>
        <w:tblW w:type="dxa" w:w="10240"/>
        <w:tblLayout w:type="fixed"/>
        <w:jc w:val="justify"/>
      </w:tblPr>
      <w:tblGrid>
        <w:gridCol w:w="3120"/>
        <w:gridCol w:w="500"/>
        <w:gridCol w:w="6620"/>
      </w:tblGrid>
      <w:tr>
        <w:trPr>
          <w:trHeight w:hRule="exact" w:val="480"/>
        </w:trPr>
        <w:tc>
          <w:tcPr>
            <w:tcW w:type="dxa" w:w="3120"/>
            <w:tcMar>
              <w:left w:type="dxa" w:w="60"/>
              <w:right w:type="dxa" w:w="0"/>
            </w:tcMar>
            <w:tcBorders/>
            <w:vAlign w:val="top"/>
          </w:tcPr>
          <w:p>
            <w:pPr>
              <w:jc w:val="left"/>
              <w:keepNext/>
              <w:keepLines/>
              <w:spacing w:before="40" w:after="40" w:line="240" w:lineRule="auto"/>
              <w:rPr/>
            </w:pPr>
            <w:r>
              <w:rPr/>
            </w:r>
          </w:p>
        </w:tc>
        <w:tc>
          <w:tcPr>
            <w:tcW w:type="dxa" w:w="7120"/>
            <w:tcMar>
              <w:left w:type="dxa" w:w="60"/>
              <w:right w:type="dxa" w:w="40"/>
            </w:tcMar>
            <w:hMerge w:val="restart"/>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IZEA Worldwide, Inc.</w:t>
              <w:br w:type="textWrapping"/>
              <w:t xml:space="preserve">a Nevada corporation</w:t>
            </w:r>
          </w:p>
        </w:tc>
        <w:tc>
          <w:tcPr>
            <w:tcW w:type="dxa" w:w="0"/>
            <w:tcMar>
              <w:left w:type="dxa" w:w="60"/>
              <w:right w:type="dxa" w:w="0"/>
            </w:tcMar>
            <w:hMerge w:val="continue"/>
            <w:tcBorders/>
            <w:vAlign w:val="bottom"/>
          </w:tcPr>
          <w:p>
            <w:pPr>
              <w:jc w:val="left"/>
              <w:keepNext/>
              <w:keepLines/>
              <w:spacing w:before="40" w:after="40" w:line="240" w:lineRule="auto"/>
              <w:rPr/>
            </w:pPr>
            <w:r>
              <w:rPr/>
            </w:r>
          </w:p>
        </w:tc>
      </w:tr>
      <w:tr>
        <w:trPr>
          <w:trHeight w:hRule="exact" w:val="360"/>
        </w:trPr>
        <w:tc>
          <w:tcPr>
            <w:tcW w:type="dxa" w:w="3120"/>
            <w:tcMar>
              <w:left w:type="dxa" w:w="60"/>
              <w:right w:type="dxa" w:w="0"/>
            </w:tcMar>
            <w:hMerge w:val="restart"/>
            <w:tcBorders/>
            <w:vAlign w:val="top"/>
          </w:tcPr>
          <w:p>
            <w:pPr>
              <w:jc w:val="left"/>
              <w:keepNext/>
              <w:keepLines/>
              <w:spacing w:before="40" w:after="40" w:line="240" w:lineRule="auto"/>
              <w:rPr/>
            </w:pPr>
            <w:r>
              <w:rPr/>
            </w:r>
          </w:p>
        </w:tc>
        <w:tc>
          <w:tcPr>
            <w:tcW w:type="dxa" w:w="500"/>
            <w:tcMar>
              <w:left w:type="dxa" w:w="60"/>
              <w:right w:type="dxa" w:w="0"/>
            </w:tcMar>
            <w:tcBorders/>
            <w:vAlign w:val="top"/>
          </w:tcPr>
          <w:p>
            <w:pPr>
              <w:jc w:val="left"/>
              <w:keepNext/>
              <w:keepLines/>
              <w:spacing w:before="40" w:after="40" w:line="240" w:lineRule="auto"/>
              <w:rPr/>
            </w:pPr>
            <w:r>
              <w:rPr/>
            </w:r>
          </w:p>
        </w:tc>
        <w:tc>
          <w:tcPr>
            <w:tcW w:type="dxa" w:w="6620"/>
            <w:tcMar>
              <w:left w:type="dxa" w:w="60"/>
              <w:right w:type="dxa" w:w="0"/>
            </w:tcMar>
            <w:tcBorders/>
            <w:vAlign w:val="top"/>
          </w:tcPr>
          <w:p>
            <w:pPr>
              <w:jc w:val="left"/>
              <w:keepNext/>
              <w:keepLines/>
              <w:spacing w:before="40" w:after="40" w:line="240" w:lineRule="auto"/>
              <w:rPr/>
            </w:pPr>
            <w:r>
              <w:rPr/>
            </w:r>
          </w:p>
        </w:tc>
      </w:tr>
      <w:tr>
        <w:trPr>
          <w:trHeight w:hRule="exact" w:val="280"/>
        </w:trPr>
        <w:tc>
          <w:tcPr>
            <w:tcW w:type="dxa" w:w="31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August 13, 2019</w:t>
            </w:r>
          </w:p>
        </w:tc>
        <w:tc>
          <w:tcPr>
            <w:tcW w:type="dxa" w:w="500"/>
            <w:tcMar>
              <w:left w:type="dxa" w:w="60"/>
              <w:right w:type="dxa" w:w="40"/>
            </w:tcMar>
            <w:tcBorders/>
            <w:vAlign w:val="center"/>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By:</w:t>
            </w:r>
          </w:p>
        </w:tc>
        <w:tc>
          <w:tcPr>
            <w:tcW w:type="dxa" w:w="662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 Edward H. Murphy</w:t>
            </w:r>
          </w:p>
        </w:tc>
      </w:tr>
      <w:tr>
        <w:trPr>
          <w:trHeight w:hRule="exact" w:val="700"/>
        </w:trPr>
        <w:tc>
          <w:tcPr>
            <w:tcW w:type="dxa" w:w="3120"/>
            <w:tcMar>
              <w:left w:type="dxa" w:w="60"/>
              <w:right w:type="dxa" w:w="0"/>
            </w:tcMar>
            <w:tcBorders/>
            <w:vAlign w:val="top"/>
          </w:tcPr>
          <w:p>
            <w:pPr>
              <w:jc w:val="left"/>
              <w:keepNext/>
              <w:keepLines/>
              <w:spacing w:before="40" w:after="40" w:line="240" w:lineRule="auto"/>
              <w:rPr/>
            </w:pPr>
            <w:r>
              <w:rPr/>
            </w:r>
          </w:p>
        </w:tc>
        <w:tc>
          <w:tcPr>
            <w:tcW w:type="dxa" w:w="500"/>
            <w:tcMar>
              <w:left w:type="dxa" w:w="60"/>
              <w:right w:type="dxa" w:w="0"/>
            </w:tcMar>
            <w:tcBorders/>
            <w:vAlign w:val="top"/>
          </w:tcPr>
          <w:p>
            <w:pPr>
              <w:jc w:val="left"/>
              <w:keepNext/>
              <w:keepLines/>
              <w:spacing w:before="40" w:after="40" w:line="240" w:lineRule="auto"/>
              <w:rPr/>
            </w:pPr>
            <w:r>
              <w:rPr/>
            </w:r>
          </w:p>
        </w:tc>
        <w:tc>
          <w:tcPr>
            <w:tcW w:type="dxa" w:w="6620"/>
            <w:tcMar>
              <w:left w:type="dxa" w:w="60"/>
              <w:right w:type="dxa" w:w="40"/>
            </w:tcMar>
            <w:tcBorders/>
            <w:vAlign w:val="bottom"/>
            <w:vAlign w:val="bottom"/>
            <w:vAlign w:val="bottom"/>
          </w:tcPr>
          <w:p>
            <w:pPr>
              <w:jc w:val="left"/>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Edward H. Murphy</w:t>
            </w:r>
          </w:p>
          <w:p>
            <w:pPr>
              <w:jc w:val="lef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Chairman, President and Chief Executive Officer</w:t>
            </w:r>
          </w:p>
          <w:p>
            <w:pPr>
              <w:jc w:val="left"/>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(Principal Executive Officer)</w:t>
            </w:r>
          </w:p>
        </w:tc>
      </w:tr>
      <w:tr>
        <w:trPr>
          <w:trHeight w:hRule="exact" w:val="360"/>
        </w:trPr>
        <w:tc>
          <w:tcPr>
            <w:tcW w:type="dxa" w:w="3120"/>
            <w:tcMar>
              <w:left w:type="dxa" w:w="60"/>
              <w:right w:type="dxa" w:w="0"/>
            </w:tcMar>
            <w:tcBorders/>
            <w:vAlign w:val="top"/>
          </w:tcPr>
          <w:p>
            <w:pPr>
              <w:jc w:val="left"/>
              <w:keepNext/>
              <w:keepLines/>
              <w:spacing w:before="40" w:after="40" w:line="240" w:lineRule="auto"/>
              <w:rPr/>
            </w:pPr>
            <w:r>
              <w:rPr/>
            </w:r>
          </w:p>
        </w:tc>
        <w:tc>
          <w:tcPr>
            <w:tcW w:type="dxa" w:w="500"/>
            <w:tcMar>
              <w:left w:type="dxa" w:w="60"/>
              <w:right w:type="dxa" w:w="0"/>
            </w:tcMar>
            <w:tcBorders/>
            <w:vAlign w:val="top"/>
          </w:tcPr>
          <w:p>
            <w:pPr>
              <w:jc w:val="left"/>
              <w:keepNext/>
              <w:keepLines/>
              <w:spacing w:before="40" w:after="40" w:line="240" w:lineRule="auto"/>
              <w:rPr/>
            </w:pPr>
            <w:r>
              <w:rPr/>
            </w:r>
          </w:p>
        </w:tc>
        <w:tc>
          <w:tcPr>
            <w:tcW w:type="dxa" w:w="662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3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August 13, 2019</w:t>
            </w:r>
          </w:p>
        </w:tc>
        <w:tc>
          <w:tcPr>
            <w:tcW w:type="dxa" w:w="500"/>
            <w:tcMar>
              <w:left w:type="dxa" w:w="60"/>
              <w:right w:type="dxa" w:w="40"/>
            </w:tcMar>
            <w:tcBorders/>
            <w:vAlign w:val="center"/>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By:</w:t>
            </w:r>
          </w:p>
        </w:tc>
        <w:tc>
          <w:tcPr>
            <w:tcW w:type="dxa" w:w="662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 Troy J. Vanke</w:t>
            </w:r>
          </w:p>
        </w:tc>
      </w:tr>
      <w:tr>
        <w:trPr>
          <w:trHeight w:hRule="exact" w:val="700"/>
        </w:trPr>
        <w:tc>
          <w:tcPr>
            <w:tcW w:type="dxa" w:w="3120"/>
            <w:tcMar>
              <w:left w:type="dxa" w:w="60"/>
              <w:right w:type="dxa" w:w="0"/>
            </w:tcMar>
            <w:tcBorders/>
            <w:vAlign w:val="top"/>
          </w:tcPr>
          <w:p>
            <w:pPr>
              <w:jc w:val="left"/>
              <w:keepLines/>
              <w:spacing w:before="40" w:after="40" w:line="240" w:lineRule="auto"/>
              <w:rPr/>
            </w:pPr>
            <w:r>
              <w:rPr/>
            </w:r>
          </w:p>
        </w:tc>
        <w:tc>
          <w:tcPr>
            <w:tcW w:type="dxa" w:w="500"/>
            <w:tcMar>
              <w:left w:type="dxa" w:w="60"/>
              <w:right w:type="dxa" w:w="0"/>
            </w:tcMar>
            <w:tcBorders/>
            <w:vAlign w:val="top"/>
          </w:tcPr>
          <w:p>
            <w:pPr>
              <w:jc w:val="left"/>
              <w:keepLines/>
              <w:spacing w:before="40" w:after="40" w:line="240" w:lineRule="auto"/>
              <w:rPr/>
            </w:pPr>
            <w:r>
              <w:rPr/>
            </w:r>
          </w:p>
        </w:tc>
        <w:tc>
          <w:tcPr>
            <w:tcW w:type="dxa" w:w="6620"/>
            <w:tcMar>
              <w:left w:type="dxa" w:w="60"/>
              <w:right w:type="dxa" w:w="40"/>
            </w:tcMar>
            <w:tcBorders/>
            <w:vAlign w:val="bottom"/>
            <w:vAlign w:val="bottom"/>
            <w:vAlign w:val="bottom"/>
          </w:tcPr>
          <w:p>
            <w:pPr>
              <w:jc w:val="lef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Troy J. Vanke</w:t>
            </w:r>
          </w:p>
          <w:p>
            <w:pPr>
              <w:jc w:val="lef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Chief Financial Officer</w:t>
            </w:r>
          </w:p>
          <w:p>
            <w:pPr>
              <w:jc w:val="lef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(Principal Financial and Accounting Officer)</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41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sectPr>
      <w:pgNumType w:fmt="decimal" w:chapSep="period"/>
      <w:pgSz w:w="12240" w:h="15840"/>
      <w:pgMar w:top="860" w:left="1000" w:right="1000" w:bottom="860" w:footer="460" w:gutter="0" w:header="160"/>
      <w:headerReference r:id="rId1" w:type="default"/>
      <w:footerReference r:id="rId37" w:type="default"/>
    </w:sectPr>
  </w:body>
</w:document>
</file>

<file path=word/footer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file>

<file path=word/footer10.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ind/>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6.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7.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8.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9.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0.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6.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7.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8.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9.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30.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3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6.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7.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8.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9.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header1.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left"/>
      <w:spacing w:line="288" w:lineRule="auto"/>
      <w:rPr>
        <w:rFonts w:ascii="Times New Roman" w:hAnsi="Times New Roman" w:eastAsia="Times New Roman" w:cs="Times New Roman"/>
        <w:sz w:val="16"/>
      </w:rPr>
    </w:pPr>
    <w:hyperlink w:anchor="Table_of_Contents">
      <w:r>
        <w:rPr>
          <w:rFonts w:ascii="Times New Roman" w:hAnsi="Times New Roman" w:eastAsia="Times New Roman" w:cs="Times New Roman"/>
          <w:sz w:val="16"/>
          <w:color w:val="0000ff"/>
          <w:u w:val="single" w:color="0000ff"/>
        </w:rPr>
        <w:t xml:space="preserve">Table of Contents</w:t>
      </w:r>
    </w:hyperlink>
  </w:p>
</w:hdr>
</file>

<file path=word/header2.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left"/>
      <w:spacing w:line="288" w:lineRule="auto"/>
      <w:rPr>
        <w:rFonts w:ascii="Times New Roman" w:hAnsi="Times New Roman" w:eastAsia="Times New Roman" w:cs="Times New Roman"/>
        <w:sz w:val="16"/>
      </w:rPr>
    </w:pPr>
    <w:hyperlink w:anchor="Table_of_Contents">
      <w:r>
        <w:rPr>
          <w:rFonts w:ascii="Times New Roman" w:hAnsi="Times New Roman" w:eastAsia="Times New Roman" w:cs="Times New Roman"/>
          <w:sz w:val="16"/>
          <w:color w:val="0000ff"/>
          <w:u w:val="single" w:color="0000ff"/>
        </w:rPr>
        <w:t xml:space="preserve">Table of Contents</w:t>
      </w:r>
    </w:hyperlink>
  </w:p>
</w:hdr>
</file>

<file path=word/header3.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IZEA Worldwide, Inc.</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Notes to the Unaudited Consolidated Financial Statements</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hdr>
</file>

<file path=word/header4.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IZEA Worldwide, Inc.</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Notes to the Unaudited Consolidated Financial Statements</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hdr>
</file>

<file path=word/header5.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file>

<file path=word/header6.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IZEA Worldwide, Inc.</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Notes to the Unaudited Consolidated Financial Statements</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hdr>
</file>

<file path=word/numbering.xml><?xml version="1.0" encoding="utf-8"?>
<w:numbering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abstractNum w:abstractNumId="181">
    <w:multiLevelType w:val="hybridMultilevel"/>
    <w:lvl w:ilvl="0">
      <w:numFmt w:val="bullet"/>
      <w:lvlJc w:val="left"/>
      <w:lvlText w:val="• "/>
      <w:start w:val="1"/>
      <w:pPr>
        <w:ind w:hanging="360"/>
      </w:pPr>
      <w:rPr/>
    </w:lvl>
    <w:lvl w:ilvl="1">
      <w:numFmt w:val="decimalEnclosedCircle"/>
      <w:lvlJc w:val="left"/>
      <w:lvlText w:val="◦ "/>
      <w:start w:val="1"/>
      <w:pPr>
        <w:ind w:hanging="360"/>
      </w:pPr>
      <w:rPr/>
    </w:lvl>
  </w:abstractNum>
  <w:abstractNum w:abstractNumId="211">
    <w:multiLevelType w:val="hybridMultilevel"/>
    <w:lvl w:ilvl="0">
      <w:numFmt w:val="bullet"/>
      <w:lvlJc w:val="left"/>
      <w:lvlText w:val="• "/>
      <w:start w:val="1"/>
      <w:pPr>
        <w:ind w:hanging="360"/>
      </w:pPr>
      <w:rPr/>
    </w:lvl>
  </w:abstractNum>
  <w:abstractNum w:abstractNumId="212">
    <w:multiLevelType w:val="hybridMultilevel"/>
    <w:lvl w:ilvl="0">
      <w:numFmt w:val="bullet"/>
      <w:lvlJc w:val="left"/>
      <w:lvlText w:val="• "/>
      <w:start w:val="1"/>
      <w:pPr>
        <w:ind w:hanging="360"/>
      </w:pPr>
      <w:rPr/>
    </w:lvl>
  </w:abstractNum>
  <w:abstractNum w:abstractNumId="241">
    <w:multiLevelType w:val="hybridMultilevel"/>
    <w:lvl w:ilvl="0">
      <w:numFmt w:val="bullet"/>
      <w:lvlJc w:val="left"/>
      <w:lvlText w:val="• "/>
      <w:start w:val="1"/>
      <w:pPr>
        <w:ind w:hanging="360"/>
      </w:pPr>
      <w:rPr/>
    </w:lvl>
  </w:abstractNum>
  <w:abstractNum w:abstractNumId="251">
    <w:multiLevelType w:val="hybridMultilevel"/>
    <w:lvl w:ilvl="0">
      <w:numFmt w:val="bullet"/>
      <w:lvlJc w:val="left"/>
      <w:lvlText w:val="• "/>
      <w:start w:val="1"/>
      <w:pPr>
        <w:ind w:hanging="360"/>
      </w:pPr>
      <w:rPr/>
    </w:lvl>
  </w:abstractNum>
  <w:abstractNum w:abstractNumId="261">
    <w:multiLevelType w:val="hybridMultilevel"/>
    <w:lvl w:ilvl="0">
      <w:numFmt w:val="bullet"/>
      <w:lvlJc w:val="left"/>
      <w:lvlText w:val="• "/>
      <w:start w:val="1"/>
      <w:pPr>
        <w:ind w:hanging="360"/>
      </w:pPr>
      <w:rPr/>
    </w:lvl>
  </w:abstractNum>
  <w:abstractNum w:abstractNumId="291">
    <w:multiLevelType w:val="hybridMultilevel"/>
    <w:lvl w:ilvl="0">
      <w:numFmt w:val="bullet"/>
      <w:lvlJc w:val="left"/>
      <w:lvlText w:val="• "/>
      <w:start w:val="1"/>
      <w:pPr>
        <w:ind w:hanging="360"/>
      </w:pPr>
      <w:rPr/>
    </w:lvl>
  </w:abstractNum>
  <w:abstractNum w:abstractNumId="91">
    <w:multiLevelType w:val="hybridMultilevel"/>
    <w:lvl w:ilvl="0">
      <w:numFmt w:val="bullet"/>
      <w:lvlJc w:val="left"/>
      <w:lvlText w:val="• "/>
      <w:start w:val="1"/>
      <w:pPr>
        <w:ind w:hanging="360"/>
      </w:pPr>
      <w:rPr/>
    </w:lvl>
  </w:abstractNum>
  <w:num w:numId="181">
    <w:abstractNumId w:val="181"/>
  </w:num>
  <w:num w:numId="211">
    <w:abstractNumId w:val="211"/>
  </w:num>
  <w:num w:numId="212">
    <w:abstractNumId w:val="212"/>
  </w:num>
  <w:num w:numId="241">
    <w:abstractNumId w:val="241"/>
  </w:num>
  <w:num w:numId="251">
    <w:abstractNumId w:val="251"/>
  </w:num>
  <w:num w:numId="261">
    <w:abstractNumId w:val="261"/>
  </w:num>
  <w:num w:numId="291">
    <w:abstractNumId w:val="291"/>
  </w:num>
  <w:num w:numId="91">
    <w:abstractNumId w:val="91"/>
  </w:num>
</w:numbering>
</file>

<file path=word/settings.xml><?xml version="1.0" encoding="utf-8"?>
<w:settings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decimalSymbol w:val=","/>
  <w:zoom w:val="100"/>
  <w:defaultTabStop w:val="720"/>
  <w:characterSpacingControl w:val="doNotCompress"/>
  <w:compat>
    <w:compatSetting w:name="compatibilityMode" w:uri="http://schemas.microsoft.com/office/word" w:val="12"/>
    <w:wpJustification/>
    <w:suppressTopSpacingWP/>
    <w:compatSetting w:name="overrideTableStyleFontSizeAndJustification" w:uri="http://schemas.microsoft.com/office/word" w:val="1"/>
    <w:compatSetting w:name="enableOpenTypeFeatures" w:uri="http://schemas.microsoft.com/office/word" w:val="1"/>
    <w:noLeading/>
    <w:noColumnbalance/>
    <w:compatSetting w:name="doNotFlipMirrorIndents" w:uri="http://schemas.microsoft.com/office/word" w:val="1"/>
  </w:compat>
</w:settings>
</file>

<file path=word/styles.xml><?xml version="1.0" encoding="utf-8"?>
<w:styles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docDefaults>
    <w:rPrDefault>
      <w:rPr>
        <w:rFonts w:ascii="Times New Roman" w:hAnsi="Times New Roman" w:eastAsia="Times New Roman" w:cs="Times New Roman"/>
        <w:kern w:val="16"/>
      </w:rPr>
    </w:rPrDefault>
    <w:pPrDefault>
      <w:pPr>
        <w:spacing w:before="0" w:after="0" w:line="240" w:lineRule="auto"/>
        <w:widowControl w:val="true"/>
      </w:pPr>
    </w:pPrDefault>
  </w:docDefaults>
</w:styles>
</file>

<file path=word/_rels/document.xml.rels><?xml version='1.0' encoding='utf-8' standalone='yes'?>
<Relationships xmlns="http://schemas.openxmlformats.org/package/2006/relationships"><Relationship TargetMode="Internal" Type="http://schemas.openxmlformats.org/officeDocument/2006/relationships/footer" Id="rId22" Target="footer16.xml"/><Relationship TargetMode="Internal" Type="http://schemas.openxmlformats.org/officeDocument/2006/relationships/footer" Id="rId34" Target="footer28.xml"/><Relationship TargetMode="Internal" Type="http://schemas.openxmlformats.org/officeDocument/2006/relationships/footer" Id="rId14" Target="footer10.xml"/><Relationship TargetMode="Internal" Type="http://schemas.openxmlformats.org/officeDocument/2006/relationships/footer" Id="rId11" Target="footer8.xml"/><Relationship TargetMode="External" Type="http://schemas.openxmlformats.org/officeDocument/2006/relationships/hyperlink" Id="hyp_13" Target="izea190630ex321.htm"/><Relationship TargetMode="Internal" Type="http://schemas.openxmlformats.org/officeDocument/2006/relationships/footer" Id="rId25" Target="footer19.xml"/><Relationship TargetMode="Internal" Type="http://schemas.openxmlformats.org/officeDocument/2006/relationships/footer" Id="rId17" Target="footer12.xml"/><Relationship TargetMode="External" Type="http://schemas.openxmlformats.org/officeDocument/2006/relationships/hyperlink" Id="hyp_7" Target="http://www.sec.gov/Archives/edgar/data/1495231/000146929911000365/izeaex31.htm"/><Relationship TargetMode="Internal" Type="http://schemas.openxmlformats.org/officeDocument/2006/relationships/footer" Id="rId4" Target="footer3.xml"/><Relationship TargetMode="Internal" Type="http://schemas.openxmlformats.org/officeDocument/2006/relationships/footer" Id="rId33" Target="footer27.xml"/><Relationship TargetMode="Internal" Type="http://schemas.openxmlformats.org/officeDocument/2006/relationships/header" Id="rId21" Target="header6.xml"/><Relationship TargetMode="Internal" Type="http://schemas.openxmlformats.org/officeDocument/2006/relationships/header" Id="rId15" Target="header5.xml"/><Relationship TargetMode="Internal" Type="http://schemas.openxmlformats.org/officeDocument/2006/relationships/settings" Id="d18e40bd1" Target="settings.xml"/><Relationship TargetMode="Internal" Type="http://schemas.openxmlformats.org/officeDocument/2006/relationships/footer" Id="rId28" Target="footer22.xml"/><Relationship TargetMode="Internal" Type="http://schemas.openxmlformats.org/officeDocument/2006/relationships/numbering" Id="dc544a157" Target="numbering.xml"/><Relationship TargetMode="Internal" Type="http://schemas.openxmlformats.org/officeDocument/2006/relationships/footer" Id="rId3" Target="footer2.xml"/><Relationship TargetMode="Internal" Type="http://schemas.openxmlformats.org/officeDocument/2006/relationships/footer" Id="rId6" Target="footer4.xml"/><Relationship TargetMode="Internal" Type="http://schemas.openxmlformats.org/officeDocument/2006/relationships/footer" Id="rId26" Target="footer20.xml"/><Relationship TargetMode="External" Type="http://schemas.openxmlformats.org/officeDocument/2006/relationships/hyperlink" Id="hyp_3" Target="http://www.sec.gov/Archives/edgar/data/1495231/000149523114000020/ex3-1articlesamendment2014.htm"/><Relationship TargetMode="External" Type="http://schemas.openxmlformats.org/officeDocument/2006/relationships/hyperlink" Id="hyp_14" Target="izea190630ex322.htm"/><Relationship TargetMode="External" Type="http://schemas.openxmlformats.org/officeDocument/2006/relationships/hyperlink" Id="hyp_1" Target="http://www.sec.gov/Archives/edgar/data/1495231/000152153611000468/q1100271_ex3-1.htm"/><Relationship TargetMode="Internal" Type="http://schemas.openxmlformats.org/officeDocument/2006/relationships/footer" Id="rId24" Target="footer18.xml"/><Relationship TargetMode="Internal" Type="http://schemas.openxmlformats.org/officeDocument/2006/relationships/footer" Id="rId30" Target="footer24.xml"/><Relationship TargetMode="External" Type="http://schemas.openxmlformats.org/officeDocument/2006/relationships/hyperlink" Id="hyp_5" Target="http://www.sec.gov/Archives/edgar/data/1495231/000149523116000071/ex31certificateofamendment.htm"/><Relationship TargetMode="External" Type="http://schemas.openxmlformats.org/officeDocument/2006/relationships/hyperlink" Id="hyp_4" Target="http://www.sec.gov/Archives/edgar/data/1495231/000149523115000003/ex3-120150123nvcertificate.htm"/><Relationship TargetMode="Internal" Type="http://schemas.openxmlformats.org/officeDocument/2006/relationships/footer" Id="rId37" Target="footer31.xml"/><Relationship TargetMode="Internal" Type="http://schemas.openxmlformats.org/officeDocument/2006/relationships/footer" Id="rId19" Target="footer14.xml"/><Relationship TargetMode="Internal" Type="http://schemas.openxmlformats.org/officeDocument/2006/relationships/footer" Id="rId35" Target="footer29.xml"/><Relationship TargetMode="Internal" Type="http://schemas.openxmlformats.org/officeDocument/2006/relationships/footer" Id="rId9" Target="footer7.xml"/><Relationship TargetMode="Internal" Type="http://schemas.openxmlformats.org/officeDocument/2006/relationships/footer" Id="rId20" Target="footer15.xml"/><Relationship TargetMode="Internal" Type="http://schemas.openxmlformats.org/officeDocument/2006/relationships/footer" Id="rId31" Target="footer25.xml"/><Relationship TargetMode="Internal" Type="http://schemas.openxmlformats.org/officeDocument/2006/relationships/footer" Id="rId23" Target="footer17.xml"/><Relationship TargetMode="External" Type="http://schemas.openxmlformats.org/officeDocument/2006/relationships/hyperlink" Id="hyp_12" Target="izea190630ex312.htm"/><Relationship TargetMode="Internal" Type="http://schemas.openxmlformats.org/officeDocument/2006/relationships/footer" Id="rId2" Target="footer1.xml"/><Relationship TargetMode="External" Type="http://schemas.openxmlformats.org/officeDocument/2006/relationships/hyperlink" Id="hyp_2" Target="http://www.sec.gov/Archives/edgar/data/1495231/000149523112000019/exhibit31certificateofchan.htm"/><Relationship TargetMode="Internal" Type="http://schemas.openxmlformats.org/officeDocument/2006/relationships/footer" Id="rId36" Target="footer30.xml"/><Relationship TargetMode="Internal" Type="http://schemas.openxmlformats.org/officeDocument/2006/relationships/header" Id="rId13" Target="header4.xml"/><Relationship TargetMode="Internal" Type="http://schemas.openxmlformats.org/officeDocument/2006/relationships/footer" Id="rId16" Target="footer11.xml"/><Relationship TargetMode="Internal" Type="http://schemas.openxmlformats.org/officeDocument/2006/relationships/styles" Id="d268ede40" Target="styles.xml"/><Relationship TargetMode="Internal" Type="http://schemas.openxmlformats.org/officeDocument/2006/relationships/footer" Id="rId32" Target="footer26.xml"/><Relationship TargetMode="Internal" Type="http://schemas.openxmlformats.org/officeDocument/2006/relationships/footer" Id="rId7" Target="footer5.xml"/><Relationship TargetMode="Internal" Type="http://schemas.openxmlformats.org/officeDocument/2006/relationships/footer" Id="rId29" Target="footer23.xml"/><Relationship TargetMode="Internal" Type="http://schemas.openxmlformats.org/officeDocument/2006/relationships/footer" Id="rId8" Target="footer6.xml"/><Relationship TargetMode="Internal" Type="http://schemas.openxmlformats.org/officeDocument/2006/relationships/header" Id="rId10" Target="header3.xml"/><Relationship TargetMode="External" Type="http://schemas.openxmlformats.org/officeDocument/2006/relationships/hyperlink" Id="hyp_8" Target="http://www.sec.gov/Archives/edgar/data/1495231/000149523116000083/exhibit311nvmerger20160405.htm"/><Relationship TargetMode="Internal" Type="http://schemas.openxmlformats.org/officeDocument/2006/relationships/footer" Id="rId18" Target="footer13.xml"/><Relationship TargetMode="External" Type="http://schemas.openxmlformats.org/officeDocument/2006/relationships/hyperlink" Id="hyp_10" Target="http://www.sec.gov/Archives/edgar/data/1495231/000149523119000043/exhibit101-murphyemploymen.htm"/><Relationship TargetMode="External" Type="http://schemas.openxmlformats.org/officeDocument/2006/relationships/hyperlink" Id="hyp_9" Target="http://www.sec.gov/Archives/edgar/data/1495231/000149523118000091/exhibit31izeaworldwidein.htm"/><Relationship TargetMode="Internal" Type="http://schemas.openxmlformats.org/officeDocument/2006/relationships/header" Id="rId1" Target="header1.xml"/><Relationship TargetMode="External" Type="http://schemas.openxmlformats.org/officeDocument/2006/relationships/hyperlink" Id="hyp_11" Target="izea190630ex311.htm"/><Relationship TargetMode="External" Type="http://schemas.openxmlformats.org/officeDocument/2006/relationships/hyperlink" Id="hyp_6" Target="http://www.sec.gov/Archives/edgar/data/1495231/000152153611000468/q1100271_ex3-2.htm"/><Relationship TargetMode="Internal" Type="http://schemas.openxmlformats.org/officeDocument/2006/relationships/header" Id="rId5" Target="header2.xml"/><Relationship TargetMode="Internal" Type="http://schemas.openxmlformats.org/officeDocument/2006/relationships/footer" Id="rId27" Target="footer21.xml"/><Relationship TargetMode="Internal" Type="http://schemas.openxmlformats.org/officeDocument/2006/relationships/footer" Id="rId12" Target="footer9.xml"/></Relationships>
</file>

<file path=word/_rels/footer1.xml.rels><?xml version='1.0' encoding='utf-8' standalone='yes'?>
<Relationships xmlns="http://schemas.openxmlformats.org/package/2006/relationships"/>
</file>

<file path=word/_rels/footer10.xml.rels><?xml version='1.0' encoding='utf-8' standalone='yes'?>
<Relationships xmlns="http://schemas.openxmlformats.org/package/2006/relationships"/>
</file>

<file path=word/_rels/footer11.xml.rels><?xml version='1.0' encoding='utf-8' standalone='yes'?>
<Relationships xmlns="http://schemas.openxmlformats.org/package/2006/relationships"/>
</file>

<file path=word/_rels/footer12.xml.rels><?xml version='1.0' encoding='utf-8' standalone='yes'?>
<Relationships xmlns="http://schemas.openxmlformats.org/package/2006/relationships"/>
</file>

<file path=word/_rels/footer13.xml.rels><?xml version='1.0' encoding='utf-8' standalone='yes'?>
<Relationships xmlns="http://schemas.openxmlformats.org/package/2006/relationships"/>
</file>

<file path=word/_rels/footer14.xml.rels><?xml version='1.0' encoding='utf-8' standalone='yes'?>
<Relationships xmlns="http://schemas.openxmlformats.org/package/2006/relationships"/>
</file>

<file path=word/_rels/footer15.xml.rels><?xml version='1.0' encoding='utf-8' standalone='yes'?>
<Relationships xmlns="http://schemas.openxmlformats.org/package/2006/relationships"/>
</file>

<file path=word/_rels/footer16.xml.rels><?xml version='1.0' encoding='utf-8' standalone='yes'?>
<Relationships xmlns="http://schemas.openxmlformats.org/package/2006/relationships"/>
</file>

<file path=word/_rels/footer17.xml.rels><?xml version='1.0' encoding='utf-8' standalone='yes'?>
<Relationships xmlns="http://schemas.openxmlformats.org/package/2006/relationships"/>
</file>

<file path=word/_rels/footer18.xml.rels><?xml version='1.0' encoding='utf-8' standalone='yes'?>
<Relationships xmlns="http://schemas.openxmlformats.org/package/2006/relationships"/>
</file>

<file path=word/_rels/footer19.xml.rels><?xml version='1.0' encoding='utf-8' standalone='yes'?>
<Relationships xmlns="http://schemas.openxmlformats.org/package/2006/relationships"/>
</file>

<file path=word/_rels/footer2.xml.rels><?xml version='1.0' encoding='utf-8' standalone='yes'?>
<Relationships xmlns="http://schemas.openxmlformats.org/package/2006/relationships"/>
</file>

<file path=word/_rels/footer20.xml.rels><?xml version='1.0' encoding='utf-8' standalone='yes'?>
<Relationships xmlns="http://schemas.openxmlformats.org/package/2006/relationships"/>
</file>

<file path=word/_rels/footer21.xml.rels><?xml version='1.0' encoding='utf-8' standalone='yes'?>
<Relationships xmlns="http://schemas.openxmlformats.org/package/2006/relationships"/>
</file>

<file path=word/_rels/footer22.xml.rels><?xml version='1.0' encoding='utf-8' standalone='yes'?>
<Relationships xmlns="http://schemas.openxmlformats.org/package/2006/relationships"/>
</file>

<file path=word/_rels/footer23.xml.rels><?xml version='1.0' encoding='utf-8' standalone='yes'?>
<Relationships xmlns="http://schemas.openxmlformats.org/package/2006/relationships"/>
</file>

<file path=word/_rels/footer24.xml.rels><?xml version='1.0' encoding='utf-8' standalone='yes'?>
<Relationships xmlns="http://schemas.openxmlformats.org/package/2006/relationships"/>
</file>

<file path=word/_rels/footer25.xml.rels><?xml version='1.0' encoding='utf-8' standalone='yes'?>
<Relationships xmlns="http://schemas.openxmlformats.org/package/2006/relationships"/>
</file>

<file path=word/_rels/footer26.xml.rels><?xml version='1.0' encoding='utf-8' standalone='yes'?>
<Relationships xmlns="http://schemas.openxmlformats.org/package/2006/relationships"/>
</file>

<file path=word/_rels/footer27.xml.rels><?xml version='1.0' encoding='utf-8' standalone='yes'?>
<Relationships xmlns="http://schemas.openxmlformats.org/package/2006/relationships"/>
</file>

<file path=word/_rels/footer28.xml.rels><?xml version='1.0' encoding='utf-8' standalone='yes'?>
<Relationships xmlns="http://schemas.openxmlformats.org/package/2006/relationships"/>
</file>

<file path=word/_rels/footer29.xml.rels><?xml version='1.0' encoding='utf-8' standalone='yes'?>
<Relationships xmlns="http://schemas.openxmlformats.org/package/2006/relationships"/>
</file>

<file path=word/_rels/footer3.xml.rels><?xml version='1.0' encoding='utf-8' standalone='yes'?>
<Relationships xmlns="http://schemas.openxmlformats.org/package/2006/relationships"/>
</file>

<file path=word/_rels/footer30.xml.rels><?xml version='1.0' encoding='utf-8' standalone='yes'?>
<Relationships xmlns="http://schemas.openxmlformats.org/package/2006/relationships"/>
</file>

<file path=word/_rels/footer31.xml.rels><?xml version='1.0' encoding='utf-8' standalone='yes'?>
<Relationships xmlns="http://schemas.openxmlformats.org/package/2006/relationships"/>
</file>

<file path=word/_rels/footer4.xml.rels><?xml version='1.0' encoding='utf-8' standalone='yes'?>
<Relationships xmlns="http://schemas.openxmlformats.org/package/2006/relationships"/>
</file>

<file path=word/_rels/footer5.xml.rels><?xml version='1.0' encoding='utf-8' standalone='yes'?>
<Relationships xmlns="http://schemas.openxmlformats.org/package/2006/relationships"/>
</file>

<file path=word/_rels/footer6.xml.rels><?xml version='1.0' encoding='utf-8' standalone='yes'?>
<Relationships xmlns="http://schemas.openxmlformats.org/package/2006/relationships"/>
</file>

<file path=word/_rels/footer7.xml.rels><?xml version='1.0' encoding='utf-8' standalone='yes'?>
<Relationships xmlns="http://schemas.openxmlformats.org/package/2006/relationships"/>
</file>

<file path=word/_rels/footer8.xml.rels><?xml version='1.0' encoding='utf-8' standalone='yes'?>
<Relationships xmlns="http://schemas.openxmlformats.org/package/2006/relationships"/>
</file>

<file path=word/_rels/footer9.xml.rels><?xml version='1.0' encoding='utf-8' standalone='yes'?>
<Relationships xmlns="http://schemas.openxmlformats.org/package/2006/relationships"/>
</file>

<file path=word/_rels/header1.xml.rels><?xml version='1.0' encoding='utf-8' standalone='yes'?>
<Relationships xmlns="http://schemas.openxmlformats.org/package/2006/relationships"/>
</file>

<file path=word/_rels/header2.xml.rels><?xml version='1.0' encoding='utf-8' standalone='yes'?>
<Relationships xmlns="http://schemas.openxmlformats.org/package/2006/relationships"/>
</file>

<file path=word/_rels/header3.xml.rels><?xml version='1.0' encoding='utf-8' standalone='yes'?>
<Relationships xmlns="http://schemas.openxmlformats.org/package/2006/relationships"/>
</file>

<file path=word/_rels/header4.xml.rels><?xml version='1.0' encoding='utf-8' standalone='yes'?>
<Relationships xmlns="http://schemas.openxmlformats.org/package/2006/relationships"/>
</file>

<file path=word/_rels/header5.xml.rels><?xml version='1.0' encoding='utf-8' standalone='yes'?>
<Relationships xmlns="http://schemas.openxmlformats.org/package/2006/relationships"/>
</file>

<file path=word/_rels/header6.xml.rels><?xml version='1.0' encoding='utf-8' standalone='yes'?>
<Relationships xmlns="http://schemas.openxmlformats.org/package/2006/relationships"/>
</file>

<file path=docProps/app.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mitype="http://purl.org/dc/dcmitype/" xmlns:dcterms="http://purl.org/dc/terms/" xmlns:dc="http://purl.org/dc/elements/1.1/" xmlns:xsi="http://www.w3.org/2001/XMLSchema-instance">
  <dc:title/>
  <dc:subject/>
  <dc:creator>workiva.com</dc:creator>
  <cp:keywords/>
  <dc:description/>
  <cp:revision>1</cp:revision>
  <cp:lastModifiedBy/>
  <dcterms:created xsi:type="dcterms:W3CDTF">2020-01-13T00:45:59Z</dcterms:created>
  <dcterms:modified xsi:type="dcterms:W3CDTF">2020-01-13T00:45:59Z</dcterms:modified>
</cp:coreProperties>
</file>