
<file path=[Content_Types].xml><?xml version="1.0" encoding="utf-8"?>
<Types xmlns="http://schemas.openxmlformats.org/package/2006/content-types">
  <Override ContentType="application/vnd.openxmlformats-officedocument.extended-properties+xml" PartName="/docProps/app.xml"/>
  <Override ContentType="application/vnd.openxmlformats-officedocument.wordprocessingml.footer+xml" PartName="/word/footer28.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2.xml"/>
  <Override ContentType="application/vnd.openxmlformats-officedocument.wordprocessingml.footer+xml" PartName="/word/footer18.xml"/>
  <Override ContentType="application/vnd.openxmlformats-officedocument.wordprocessingml.header+xml" PartName="/word/header2.xml"/>
  <Override ContentType="application/vnd.openxmlformats-officedocument.wordprocessingml.footer+xml" PartName="/word/footer9.xml"/>
  <Override ContentType="application/vnd.openxmlformats-officedocument.wordprocessingml.footer+xml" PartName="/word/footer30.xml"/>
  <Override ContentType="application/vnd.openxmlformats-officedocument.wordprocessingml.footer+xml" PartName="/word/footer22.xml"/>
  <Override ContentType="application/vnd.openxmlformats-officedocument.wordprocessingml.footer+xml" PartName="/word/footer17.xml"/>
  <Override ContentType="application/vnd.openxmlformats-officedocument.wordprocessingml.footer+xml" PartName="/word/footer14.xml"/>
  <Override ContentType="application/vnd.openxmlformats-package.core-properties+xml" PartName="/docProps/core.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5.xml"/>
  <Override ContentType="application/vnd.openxmlformats-officedocument.wordprocessingml.footer+xml" PartName="/word/footer27.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footer+xml" PartName="/word/footer8.xml"/>
  <Override ContentType="application/vnd.openxmlformats-officedocument.wordprocessingml.footer+xml" PartName="/word/footer29.xml"/>
  <Override ContentType="application/vnd.openxmlformats-officedocument.wordprocessingml.footer+xml" PartName="/word/footer26.xml"/>
  <Override ContentType="application/vnd.openxmlformats-officedocument.wordprocessingml.footer+xml" PartName="/word/footer4.xml"/>
  <Override ContentType="application/vnd.openxmlformats-officedocument.wordprocessingml.footer+xml" PartName="/word/footer23.xml"/>
  <Override ContentType="application/vnd.openxmlformats-officedocument.wordprocessingml.footer+xml" PartName="/word/footer20.xml"/>
  <Override ContentType="application/vnd.openxmlformats-officedocument.wordprocessingml.footer+xml" PartName="/word/footer13.xml"/>
  <Override ContentType="application/vnd.openxmlformats-officedocument.wordprocessingml.header+xml" PartName="/word/header6.xml"/>
  <Override ContentType="application/vnd.openxmlformats-officedocument.wordprocessingml.header+xml" PartName="/word/header3.xml"/>
  <Override ContentType="application/vnd.openxmlformats-officedocument.wordprocessingml.footer+xml" PartName="/word/footer24.xml"/>
  <Override ContentType="application/vnd.openxmlformats-officedocument.wordprocessingml.footer+xml" PartName="/word/footer1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footer+xml" PartName="/word/footer25.xml"/>
  <Default ContentType="application/vnd.openxmlformats-package.relationships+xml" Extension="rels"/>
  <Override ContentType="application/vnd.openxmlformats-officedocument.wordprocessingml.footer+xml" PartName="/word/footer21.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footer+xml" PartName="/word/footer31.xml"/>
  <Override ContentType="application/vnd.openxmlformats-officedocument.wordprocessingml.header+xml" PartName="/word/header5.xml"/>
  <Override ContentType="application/vnd.openxmlformats-officedocument.wordprocessingml.footer+xml" PartName="/word/footer7.xml"/>
  <Override ContentType="application/vnd.openxmlformats-officedocument.wordprocessingml.footer+xml" PartName="/word/footer16.xml"/>
  <Override ContentType="application/vnd.openxmlformats-officedocument.wordprocessingml.footer+xml" PartName="/word/footer15.xml"/>
</Types>
</file>

<file path=_rels/.rels><?xml version='1.0' encoding='utf-8' standalone='yes'?>
<Relationships xmlns="http://schemas.openxmlformats.org/package/2006/relationships"><Relationship TargetMode="Internal" Type="http://schemas.openxmlformats.org/officeDocument/2006/extended-properties" Id="de6649069" Target="docProps/app.xml"/><Relationship TargetMode="Internal" Type="http://schemas.openxmlformats.org/officeDocument/2006/relationships/officeDocument" Id="d0646e405" Target="word/document.xml"/><Relationship TargetMode="Internal" Type="http://schemas.openxmlformats.org/package/2006/relationships/metadata/core-properties" Id="d4223fbcb" Target="docProps/core.xml"/></Relationships>
</file>

<file path=word/document.xml><?xml version="1.0" encoding="utf-8"?>
<w:document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body>
    <w:tbl>
      <w:tblPr>
        <w:tblW w:type="dxa" w:w="10240"/>
        <w:tblLayout w:type="fixed"/>
        <w:jc w:val="center"/>
      </w:tblPr>
      <w:tblGrid>
        <w:gridCol w:w="10240"/>
      </w:tblGrid>
      <w:tr>
        <w:trPr>
          <w:trHeight w:hRule="exact" w:val="80"/>
        </w:trPr>
        <w:tc>
          <w:tcPr>
            <w:tcW w:type="dxa" w:w="10240"/>
            <w:tcMar>
              <w:left w:type="dxa" w:w="60"/>
              <w:right w:type="dxa" w:w="0"/>
            </w:tcMar>
            <w:tcBorders>
              <w:top w:val="single" w:sz="16" w:space="0"/>
              <w:bottom w:val="single" w:sz="8"/>
            </w:tcBorders>
            <w:vAlign w:val="bottom"/>
          </w:tcPr>
          <w:p>
            <w:pPr>
              <w:jc w:val="left"/>
              <w:keepLines/>
              <w:spacing w:line="240" w:lineRule="auto"/>
              <w:rPr/>
            </w:pPr>
            <w:r>
              <w:rPr/>
            </w:r>
            <w:bookmarkStart w:id="6747" w:name="Cover_Page"/>
            <w:bookmarkEnd w:id="6747"/>
          </w:p>
        </w:tc>
      </w:tr>
    </w:tbl>
    <w:p>
      <w:pPr>
        <w:jc w:val="center"/>
        <w:spacing w:before="60"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UNITED STATES</w:t>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SECURITIES AND EXCHANGE COMMISSION</w:t>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Washington D.C. 20549</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8"/>
          <w:b w:val="true"/>
        </w:rPr>
      </w:pPr>
      <w:r>
        <w:rPr>
          <w:rFonts w:ascii="Times New Roman" w:hAnsi="Times New Roman" w:eastAsia="Times New Roman" w:cs="Times New Roman"/>
          <w:sz w:val="28"/>
          <w:b w:val="true"/>
        </w:rPr>
        <w:t xml:space="preserve">FORM 10-Q</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(Mark One)</w:t>
      </w:r>
    </w:p>
    <w:tbl>
      <w:tblPr>
        <w:tblW w:type="dxa" w:w="10240"/>
        <w:tblLayout w:type="fixed"/>
        <w:jc w:val="justify"/>
      </w:tblPr>
      <w:tblGrid>
        <w:gridCol w:w="440"/>
        <w:gridCol w:w="9800"/>
      </w:tblGrid>
      <w:tr>
        <w:trPr>
          <w:trHeight w:hRule="exact" w:val="300"/>
        </w:trPr>
        <w:tc>
          <w:tcPr>
            <w:tcW w:type="dxa" w:w="440"/>
            <w:tcMar>
              <w:left w:type="dxa" w:w="60"/>
              <w:right w:type="dxa" w:w="40"/>
            </w:tcMar>
            <w:tcBorders/>
            <w:vAlign w:val="top"/>
          </w:tcPr>
          <w:p>
            <w:pPr>
              <w:jc w:val="left"/>
              <w:keepLines/>
              <w:spacing w:before="40" w:after="40" w:line="240" w:lineRule="auto"/>
              <w:rPr>
                <w:rFonts w:ascii="Wingdings" w:hAnsi="Wingdings" w:eastAsia="Wingdings" w:cs="Wingdings"/>
                <w:sz w:val="20"/>
              </w:rPr>
            </w:pPr>
            <w:r>
              <w:rPr>
                <w:rFonts w:ascii="Wingdings" w:hAnsi="Wingdings" w:eastAsia="Wingdings" w:cs="Wingdings"/>
                <w:sz w:val="20"/>
                <w:color w:val="000000"/>
              </w:rPr>
              <w:t xml:space="preserve">x</w:t>
            </w:r>
          </w:p>
        </w:tc>
        <w:tc>
          <w:tcPr>
            <w:tcW w:type="dxa" w:w="980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QUARTERLY REPORT PURSUANT TO SECTION 13 OR 15(d) OF THE SECURITIES EXCHANGE ACT OF 1934</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quarterly period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r>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440"/>
        <w:gridCol w:w="9800"/>
      </w:tblGrid>
      <w:tr>
        <w:trPr>
          <w:trHeight w:hRule="exact" w:val="300"/>
        </w:trPr>
        <w:tc>
          <w:tcPr>
            <w:tcW w:type="dxa" w:w="440"/>
            <w:tcMar>
              <w:left w:type="dxa" w:w="60"/>
              <w:right w:type="dxa" w:w="40"/>
            </w:tcMar>
            <w:tcBorders/>
            <w:vAlign w:val="top"/>
          </w:tcPr>
          <w:p>
            <w:pPr>
              <w:jc w:val="left"/>
              <w:keepLines/>
              <w:spacing w:before="40" w:after="40" w:line="240" w:lineRule="auto"/>
              <w:rPr>
                <w:rFonts w:ascii="Wingdings" w:hAnsi="Wingdings" w:eastAsia="Wingdings" w:cs="Wingdings"/>
                <w:sz w:val="20"/>
              </w:rPr>
            </w:pPr>
            <w:r>
              <w:rPr>
                <w:rFonts w:ascii="Wingdings" w:hAnsi="Wingdings" w:eastAsia="Wingdings" w:cs="Wingdings"/>
                <w:sz w:val="20"/>
                <w:color w:val="000000"/>
              </w:rPr>
              <w:t xml:space="preserve">o</w:t>
            </w:r>
          </w:p>
        </w:tc>
        <w:tc>
          <w:tcPr>
            <w:tcW w:type="dxa" w:w="980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TRANSITION REPORT PURSUANT TO SECTION 13 OR 15(d) OF THE SECURITIES EXCHANGE ACT OF 1934</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60"/>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transition period from _________________ to _________________</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Commission File No.: 001-37703</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36"/>
          <w:b w:val="true"/>
        </w:rPr>
      </w:pPr>
      <w:r>
        <w:rPr>
          <w:rFonts w:ascii="Times New Roman" w:hAnsi="Times New Roman" w:eastAsia="Times New Roman" w:cs="Times New Roman"/>
          <w:sz w:val="36"/>
          <w:b w:val="true"/>
        </w:rPr>
        <w:t xml:space="preserve">IZEA WORLDWIDE, INC.</w:t>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(Exact name of registrant as specified in its charter)</w:t>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4900"/>
        <w:gridCol w:w="440"/>
        <w:gridCol w:w="4900"/>
      </w:tblGrid>
      <w:tr>
        <w:trPr>
          <w:trHeight w:hRule="exact" w:val="300"/>
        </w:trPr>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Nevada</w:t>
            </w:r>
          </w:p>
        </w:tc>
        <w:tc>
          <w:tcPr>
            <w:tcW w:type="dxa" w:w="440"/>
            <w:tcMar>
              <w:left w:type="dxa" w:w="60"/>
              <w:right w:type="dxa" w:w="0"/>
            </w:tcMar>
            <w:tcBorders/>
            <w:vAlign w:val="bottom"/>
          </w:tcPr>
          <w:p>
            <w:pPr>
              <w:jc w:val="left"/>
              <w:keepNext/>
              <w:keepLines/>
              <w:spacing w:before="40" w:after="40" w:line="240" w:lineRule="auto"/>
              <w:rPr/>
            </w:pPr>
            <w:r>
              <w:rPr/>
            </w:r>
          </w:p>
        </w:tc>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37-1530765</w:t>
            </w:r>
          </w:p>
        </w:tc>
      </w:tr>
      <w:tr>
        <w:trPr>
          <w:trHeight w:hRule="exact" w:val="500"/>
        </w:trPr>
        <w:tc>
          <w:tcPr>
            <w:tcW w:type="dxa" w:w="4900"/>
            <w:tcMar>
              <w:left w:type="dxa" w:w="60"/>
              <w:right w:type="dxa" w:w="60"/>
            </w:tcMar>
            <w:tcBorders/>
            <w:vAlign w:val="bottom"/>
            <w:vAlign w:val="bottom"/>
          </w:tcPr>
          <w:p>
            <w:pPr>
              <w:jc w:val="center"/>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(State or other jurisdiction of</w:t>
            </w:r>
          </w:p>
          <w:p>
            <w:pPr>
              <w:jc w:val="center"/>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incorporation or organization)</w:t>
            </w:r>
          </w:p>
        </w:tc>
        <w:tc>
          <w:tcPr>
            <w:tcW w:type="dxa" w:w="440"/>
            <w:tcMar>
              <w:left w:type="dxa" w:w="60"/>
              <w:right w:type="dxa" w:w="0"/>
            </w:tcMar>
            <w:tcBorders/>
            <w:vAlign w:val="bottom"/>
          </w:tcPr>
          <w:p>
            <w:pPr>
              <w:jc w:val="left"/>
              <w:keepLines/>
              <w:spacing w:before="40" w:after="40" w:line="240" w:lineRule="auto"/>
              <w:rPr/>
            </w:pPr>
            <w:r>
              <w:rPr/>
            </w:r>
          </w:p>
        </w:tc>
        <w:tc>
          <w:tcPr>
            <w:tcW w:type="dxa" w:w="4900"/>
            <w:tcMar>
              <w:left w:type="dxa" w:w="60"/>
              <w:right w:type="dxa" w:w="60"/>
            </w:tcMar>
            <w:tcBorders/>
            <w:vAlign w:val="bottom"/>
            <w:vAlign w:val="bottom"/>
          </w:tcPr>
          <w:p>
            <w:pPr>
              <w:jc w:val="center"/>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(I.R.S. Employer</w:t>
            </w:r>
          </w:p>
          <w:p>
            <w:pPr>
              <w:jc w:val="center"/>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Identification No.)</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center"/>
      </w:tblPr>
      <w:tblGrid>
        <w:gridCol w:w="4900"/>
        <w:gridCol w:w="440"/>
        <w:gridCol w:w="4900"/>
      </w:tblGrid>
      <w:tr>
        <w:trPr>
          <w:trHeight w:hRule="exact" w:val="500"/>
        </w:trPr>
        <w:tc>
          <w:tcPr>
            <w:tcW w:type="dxa" w:w="4900"/>
            <w:tcMar>
              <w:left w:type="dxa" w:w="60"/>
              <w:right w:type="dxa" w:w="60"/>
            </w:tcMar>
            <w:tcBorders>
              <w:bottom w:val="single" w:sz="8"/>
            </w:tcBorders>
            <w:vAlign w:val="bottom"/>
            <w:vAlign w:val="bottom"/>
          </w:tcPr>
          <w:p>
            <w:pPr>
              <w:jc w:val="center"/>
              <w:keepNext/>
              <w:keepLines/>
              <w:spacing w:before="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480 N. Orlando Avenue, Suite 200</w:t>
            </w:r>
          </w:p>
          <w:p>
            <w:pPr>
              <w:jc w:val="center"/>
              <w:keepNext/>
              <w:keepLines/>
              <w:spacing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Winter Park, FL</w:t>
            </w:r>
          </w:p>
        </w:tc>
        <w:tc>
          <w:tcPr>
            <w:tcW w:type="dxa" w:w="440"/>
            <w:tcMar>
              <w:left w:type="dxa" w:w="60"/>
              <w:right w:type="dxa" w:w="0"/>
            </w:tcMar>
            <w:tcBorders/>
            <w:vAlign w:val="bottom"/>
          </w:tcPr>
          <w:p>
            <w:pPr>
              <w:jc w:val="left"/>
              <w:keepNext/>
              <w:keepLines/>
              <w:spacing w:before="40" w:after="40" w:line="240" w:lineRule="auto"/>
              <w:rPr/>
            </w:pPr>
            <w:r>
              <w:rPr/>
            </w:r>
          </w:p>
        </w:tc>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32789</w:t>
            </w:r>
          </w:p>
        </w:tc>
      </w:tr>
      <w:tr>
        <w:trPr>
          <w:trHeight w:hRule="exact" w:val="300"/>
        </w:trPr>
        <w:tc>
          <w:tcPr>
            <w:tcW w:type="dxa" w:w="49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(Address of principal executive offices)</w:t>
            </w:r>
          </w:p>
        </w:tc>
        <w:tc>
          <w:tcPr>
            <w:tcW w:type="dxa" w:w="440"/>
            <w:tcMar>
              <w:left w:type="dxa" w:w="60"/>
              <w:right w:type="dxa" w:w="0"/>
            </w:tcMar>
            <w:tcBorders/>
            <w:vAlign w:val="bottom"/>
          </w:tcPr>
          <w:p>
            <w:pPr>
              <w:jc w:val="left"/>
              <w:keepLines/>
              <w:spacing w:before="40" w:after="40" w:line="240" w:lineRule="auto"/>
              <w:rPr/>
            </w:pPr>
            <w:r>
              <w:rPr/>
            </w:r>
          </w:p>
        </w:tc>
        <w:tc>
          <w:tcPr>
            <w:tcW w:type="dxa" w:w="49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(Zip Code)</w:t>
            </w:r>
          </w:p>
        </w:tc>
      </w:tr>
    </w:tbl>
    <w:p>
      <w:pPr>
        <w:jc w:val="center"/>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Registrant’s telephone number, including area code:   </w:t>
      </w:r>
      <w:r>
        <w:rPr>
          <w:rFonts w:ascii="Times New Roman" w:hAnsi="Times New Roman" w:eastAsia="Times New Roman" w:cs="Times New Roman"/>
          <w:sz w:val="20"/>
          <w:b w:val="true"/>
        </w:rPr>
        <w:t xml:space="preserve">(407) 674-6911</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eastAsia="Wingdings" w:cs="Wingdings"/>
          <w:sz w:val="18"/>
        </w:rPr>
        <w:t xml:space="preserve">x</w:t>
      </w:r>
      <w:r>
        <w:rPr>
          <w:rFonts w:ascii="Times New Roman" w:hAnsi="Times New Roman" w:eastAsia="Times New Roman" w:cs="Times New Roman"/>
          <w:sz w:val="18"/>
        </w:rPr>
        <w:t xml:space="preserve">  No  </w:t>
      </w:r>
      <w:r>
        <w:rPr>
          <w:rFonts w:ascii="Wingdings" w:hAnsi="Wingdings" w:eastAsia="Wingdings" w:cs="Wingdings"/>
          <w:sz w:val="18"/>
        </w:rPr>
        <w:t xml:space="preserve">o</w:t>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and post such files).  Yes  </w:t>
      </w:r>
      <w:r>
        <w:rPr>
          <w:rFonts w:ascii="Wingdings" w:hAnsi="Wingdings" w:eastAsia="Wingdings" w:cs="Wingdings"/>
          <w:sz w:val="18"/>
        </w:rPr>
        <w:t xml:space="preserve">x</w:t>
      </w:r>
      <w:r>
        <w:rPr>
          <w:rFonts w:ascii="Times New Roman" w:hAnsi="Times New Roman" w:eastAsia="Times New Roman" w:cs="Times New Roman"/>
          <w:sz w:val="18"/>
        </w:rPr>
        <w:t xml:space="preserve">    No  </w:t>
      </w:r>
      <w:r>
        <w:rPr>
          <w:rFonts w:ascii="Wingdings" w:hAnsi="Wingdings" w:eastAsia="Wingdings" w:cs="Wingdings"/>
          <w:sz w:val="18"/>
        </w:rPr>
        <w:t xml:space="preserve">o</w:t>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after="14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type="dxa" w:w="10240"/>
        <w:tblLayout w:type="fixed"/>
        <w:jc w:val="left"/>
      </w:tblPr>
      <w:tblGrid>
        <w:gridCol w:w="2800"/>
        <w:gridCol w:w="4620"/>
        <w:gridCol w:w="2820"/>
      </w:tblGrid>
      <w:tr>
        <w:trPr>
          <w:trHeight w:hRule="exact" w:val="280"/>
        </w:trPr>
        <w:tc>
          <w:tcPr>
            <w:tcW w:type="dxa" w:w="2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Large accelerated filer  </w:t>
            </w:r>
            <w:r>
              <w:rPr>
                <w:rFonts w:ascii="Wingdings" w:hAnsi="Wingdings" w:eastAsia="Wingdings" w:cs="Wingdings"/>
                <w:sz w:val="18"/>
              </w:rPr>
              <w:t xml:space="preserve">o</w:t>
            </w:r>
          </w:p>
        </w:tc>
        <w:tc>
          <w:tcPr>
            <w:tcW w:type="dxa" w:w="4620"/>
            <w:tcMar>
              <w:left w:type="dxa" w:w="60"/>
              <w:right w:type="dxa" w:w="0"/>
            </w:tcMar>
            <w:tcBorders/>
            <w:vAlign w:val="top"/>
          </w:tcPr>
          <w:p>
            <w:pPr>
              <w:jc w:val="left"/>
              <w:keepNext/>
              <w:keepLines/>
              <w:spacing w:before="40" w:after="40" w:line="240" w:lineRule="auto"/>
              <w:rPr/>
            </w:pPr>
            <w:r>
              <w:rPr/>
            </w:r>
          </w:p>
        </w:tc>
        <w:tc>
          <w:tcPr>
            <w:tcW w:type="dxa" w:w="2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Accelerated filer  </w:t>
            </w:r>
            <w:r>
              <w:rPr>
                <w:rFonts w:ascii="Wingdings" w:hAnsi="Wingdings" w:eastAsia="Wingdings" w:cs="Wingdings"/>
                <w:sz w:val="18"/>
              </w:rPr>
              <w:t xml:space="preserve">o</w:t>
            </w:r>
          </w:p>
        </w:tc>
      </w:tr>
      <w:tr>
        <w:trPr>
          <w:trHeight w:hRule="exact" w:val="280"/>
        </w:trPr>
        <w:tc>
          <w:tcPr>
            <w:tcW w:type="dxa" w:w="2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Non-accelerated filer   </w:t>
            </w:r>
            <w:r>
              <w:rPr>
                <w:rFonts w:ascii="Wingdings" w:hAnsi="Wingdings" w:eastAsia="Wingdings" w:cs="Wingdings"/>
                <w:sz w:val="18"/>
              </w:rPr>
              <w:t xml:space="preserve">x</w:t>
            </w:r>
          </w:p>
        </w:tc>
        <w:tc>
          <w:tcPr>
            <w:tcW w:type="dxa" w:w="4620"/>
            <w:tcMar>
              <w:left w:type="dxa" w:w="60"/>
              <w:right w:type="dxa" w:w="0"/>
            </w:tcMar>
            <w:tcBorders/>
            <w:vAlign w:val="top"/>
          </w:tcPr>
          <w:p>
            <w:pPr>
              <w:jc w:val="left"/>
              <w:keepNext/>
              <w:keepLines/>
              <w:spacing w:before="40" w:after="40" w:line="240" w:lineRule="auto"/>
              <w:rPr/>
            </w:pPr>
            <w:r>
              <w:rPr/>
            </w:r>
          </w:p>
        </w:tc>
        <w:tc>
          <w:tcPr>
            <w:tcW w:type="dxa" w:w="2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Smaller reporting company </w:t>
            </w:r>
            <w:r>
              <w:rPr>
                <w:rFonts w:ascii="Wingdings" w:hAnsi="Wingdings" w:eastAsia="Wingdings" w:cs="Wingdings"/>
                <w:sz w:val="18"/>
              </w:rPr>
              <w:t xml:space="preserve">x</w:t>
            </w:r>
          </w:p>
        </w:tc>
      </w:tr>
      <w:tr>
        <w:trPr>
          <w:trHeight w:hRule="exact" w:val="280"/>
        </w:trPr>
        <w:tc>
          <w:tcPr>
            <w:tcW w:type="dxa" w:w="2800"/>
            <w:tcMar>
              <w:left w:type="dxa" w:w="60"/>
              <w:right w:type="dxa" w:w="0"/>
            </w:tcMar>
            <w:tcBorders/>
            <w:vAlign w:val="bottom"/>
          </w:tcPr>
          <w:p>
            <w:pPr>
              <w:jc w:val="left"/>
              <w:keepLines/>
              <w:spacing w:before="40" w:after="40" w:line="240" w:lineRule="auto"/>
              <w:rPr/>
            </w:pPr>
            <w:r>
              <w:rPr/>
            </w:r>
          </w:p>
        </w:tc>
        <w:tc>
          <w:tcPr>
            <w:tcW w:type="dxa" w:w="4620"/>
            <w:tcMar>
              <w:left w:type="dxa" w:w="60"/>
              <w:right w:type="dxa" w:w="0"/>
            </w:tcMar>
            <w:tcBorders/>
            <w:vAlign w:val="top"/>
          </w:tcPr>
          <w:p>
            <w:pPr>
              <w:jc w:val="left"/>
              <w:keepLines/>
              <w:spacing w:before="40" w:after="40" w:line="240" w:lineRule="auto"/>
              <w:rPr/>
            </w:pPr>
            <w:r>
              <w:rPr/>
            </w:r>
          </w:p>
        </w:tc>
        <w:tc>
          <w:tcPr>
            <w:tcW w:type="dxa" w:w="28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Emerging growth company </w:t>
            </w:r>
            <w:r>
              <w:rPr>
                <w:rFonts w:ascii="Wingdings" w:hAnsi="Wingdings" w:eastAsia="Wingdings" w:cs="Wingdings"/>
                <w:sz w:val="18"/>
              </w:rPr>
              <w:t xml:space="preserve">o</w:t>
            </w:r>
          </w:p>
        </w:tc>
      </w:tr>
    </w:tbl>
    <w:p>
      <w:pPr>
        <w:jc w:val="left"/>
        <w:spacing w:before="60"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eastAsia="Wingdings" w:cs="Wingdings"/>
          <w:sz w:val="18"/>
        </w:rPr>
        <w:t xml:space="preserve">o</w:t>
      </w: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is a shell company (as defined in Rule 12b-2 of the Exchange Act).  Yes  </w:t>
      </w:r>
      <w:r>
        <w:rPr>
          <w:rFonts w:ascii="Wingdings" w:hAnsi="Wingdings" w:eastAsia="Wingdings" w:cs="Wingdings"/>
          <w:sz w:val="18"/>
        </w:rPr>
        <w:t xml:space="preserve">o</w:t>
      </w:r>
      <w:r>
        <w:rPr>
          <w:rFonts w:ascii="Times New Roman" w:hAnsi="Times New Roman" w:eastAsia="Times New Roman" w:cs="Times New Roman"/>
          <w:sz w:val="18"/>
        </w:rPr>
        <w:t xml:space="preserve">   No  </w:t>
      </w:r>
      <w:r>
        <w:rPr>
          <w:rFonts w:ascii="Wingdings" w:hAnsi="Wingdings" w:eastAsia="Wingdings" w:cs="Wingdings"/>
          <w:sz w:val="18"/>
        </w:rPr>
        <w:t xml:space="preserve">x</w:t>
      </w:r>
    </w:p>
    <w:p>
      <w:pPr>
        <w:jc w:val="both"/>
        <w:spacing w:after="1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Securities registered pursuant to Section 12(b) of the Act:</w:t>
      </w:r>
    </w:p>
    <w:tbl>
      <w:tblPr>
        <w:tblW w:type="dxa" w:w="10240"/>
        <w:tblLayout w:type="fixed"/>
        <w:jc w:val="center"/>
      </w:tblPr>
      <w:tblGrid>
        <w:gridCol w:w="4400"/>
        <w:gridCol w:w="100"/>
        <w:gridCol w:w="1660"/>
        <w:gridCol w:w="100"/>
        <w:gridCol w:w="3980"/>
      </w:tblGrid>
      <w:tr>
        <w:trPr>
          <w:trHeight w:hRule="exact" w:val="400"/>
        </w:trPr>
        <w:tc>
          <w:tcPr>
            <w:tcW w:type="dxa" w:w="44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Title of each class</w:t>
            </w:r>
          </w:p>
        </w:tc>
        <w:tc>
          <w:tcPr>
            <w:tcW w:type="dxa" w:w="100"/>
            <w:tcMar>
              <w:left w:type="dxa" w:w="0"/>
              <w:right w:type="dxa" w:w="0"/>
            </w:tcMar>
            <w:tcBorders/>
            <w:vAlign w:val="bottom"/>
          </w:tcPr>
          <w:p>
            <w:pPr>
              <w:jc w:val="left"/>
              <w:keepNext/>
              <w:keepLines/>
              <w:spacing w:before="40" w:after="40" w:line="240" w:lineRule="auto"/>
              <w:rPr/>
            </w:pPr>
            <w:r>
              <w:rPr/>
            </w:r>
          </w:p>
        </w:tc>
        <w:tc>
          <w:tcPr>
            <w:tcW w:type="dxa" w:w="16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Trading Symbol(s)</w:t>
            </w:r>
          </w:p>
        </w:tc>
        <w:tc>
          <w:tcPr>
            <w:tcW w:type="dxa" w:w="100"/>
            <w:tcMar>
              <w:left w:type="dxa" w:w="0"/>
              <w:right w:type="dxa" w:w="0"/>
            </w:tcMar>
            <w:tcBorders/>
            <w:vAlign w:val="bottom"/>
          </w:tcPr>
          <w:p>
            <w:pPr>
              <w:jc w:val="left"/>
              <w:keepNext/>
              <w:keepLines/>
              <w:spacing w:before="40" w:after="40" w:line="240" w:lineRule="auto"/>
              <w:rPr/>
            </w:pPr>
            <w:r>
              <w:rPr/>
            </w:r>
          </w:p>
        </w:tc>
        <w:tc>
          <w:tcPr>
            <w:tcW w:type="dxa" w:w="398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Name of each exchange on which registered</w:t>
            </w:r>
          </w:p>
        </w:tc>
      </w:tr>
      <w:tr>
        <w:trPr>
          <w:trHeight w:hRule="exact" w:val="300"/>
        </w:trPr>
        <w:tc>
          <w:tcPr>
            <w:tcW w:type="dxa" w:w="44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Common Stock, par value $0.0001 per share</w:t>
            </w:r>
          </w:p>
        </w:tc>
        <w:tc>
          <w:tcPr>
            <w:tcW w:type="dxa" w:w="100"/>
            <w:tcMar>
              <w:left w:type="dxa" w:w="0"/>
              <w:right w:type="dxa" w:w="0"/>
            </w:tcMar>
            <w:tcBorders/>
            <w:vAlign w:val="bottom"/>
          </w:tcPr>
          <w:p>
            <w:pPr>
              <w:jc w:val="left"/>
              <w:keepLines/>
              <w:spacing w:before="40" w:after="40" w:line="240" w:lineRule="auto"/>
              <w:rPr/>
            </w:pPr>
            <w:r>
              <w:rPr/>
            </w:r>
          </w:p>
        </w:tc>
        <w:tc>
          <w:tcPr>
            <w:tcW w:type="dxa" w:w="166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IZEA</w:t>
            </w:r>
          </w:p>
        </w:tc>
        <w:tc>
          <w:tcPr>
            <w:tcW w:type="dxa" w:w="100"/>
            <w:tcMar>
              <w:left w:type="dxa" w:w="0"/>
              <w:right w:type="dxa" w:w="0"/>
            </w:tcMar>
            <w:tcBorders/>
            <w:vAlign w:val="bottom"/>
          </w:tcPr>
          <w:p>
            <w:pPr>
              <w:jc w:val="left"/>
              <w:keepLines/>
              <w:spacing w:before="40" w:after="40" w:line="240" w:lineRule="auto"/>
              <w:rPr/>
            </w:pPr>
            <w:r>
              <w:rPr/>
            </w:r>
          </w:p>
        </w:tc>
        <w:tc>
          <w:tcPr>
            <w:tcW w:type="dxa" w:w="398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The Nasdaq Capital Market</w:t>
            </w:r>
          </w:p>
        </w:tc>
      </w:tr>
    </w:tbl>
    <w:p>
      <w:pPr>
        <w:jc w:val="both"/>
        <w:spacing w:before="60"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As of </w:t>
      </w:r>
      <w:r>
        <w:rPr>
          <w:rFonts w:ascii="Times New Roman" w:hAnsi="Times New Roman" w:eastAsia="Times New Roman" w:cs="Times New Roman"/>
          <w:sz w:val="18"/>
        </w:rPr>
        <w:t xml:space="preserve">May 10, 2019</w:t>
      </w:r>
      <w:r>
        <w:rPr>
          <w:rFonts w:ascii="Times New Roman" w:hAnsi="Times New Roman" w:eastAsia="Times New Roman" w:cs="Times New Roman"/>
          <w:sz w:val="18"/>
        </w:rPr>
        <w:t xml:space="preserve">, there were </w:t>
      </w:r>
      <w:r>
        <w:rPr>
          <w:rFonts w:ascii="Times New Roman" w:hAnsi="Times New Roman" w:eastAsia="Times New Roman" w:cs="Times New Roman"/>
          <w:sz w:val="18"/>
        </w:rPr>
        <w:t xml:space="preserve">27,143,735</w:t>
      </w:r>
      <w:r>
        <w:rPr>
          <w:rFonts w:ascii="Times New Roman" w:hAnsi="Times New Roman" w:eastAsia="Times New Roman" w:cs="Times New Roman"/>
          <w:sz w:val="18"/>
        </w:rPr>
        <w:t xml:space="preserve"> shares of our common stock outstanding.</w:t>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sectPr>
          <w:pgNumType w:fmt="decimal" w:chapSep="period"/>
          <w:pgSz w:w="12240" w:h="15840"/>
          <w:pgMar w:top="860" w:left="1000" w:right="1000" w:bottom="860" w:footer="660" w:gutter="0" w:header="160"/>
          <w:headerReference r:id="rId1" w:type="default"/>
          <w:footerReference r:id="rId2" w:type="default"/>
        </w:sectPr>
      </w:pP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bookmarkStart w:id="22664" w:name="Table_of_Contents"/>
      <w:bookmarkEnd w:id="22664"/>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6930"/>
          <w:tab w:val="left" w:pos="7200"/>
          <w:tab w:val="left" w:pos="7920"/>
          <w:tab w:val="left" w:pos="8640"/>
          <w:tab w:val="left" w:pos="9360"/>
          <w:tab w:val="left" w:pos="10080"/>
          <w:tab w:val="left" w:pos="10800"/>
          <w:tab w:val="left" w:pos="11520"/>
        </w:tabs>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Quarterly Report on Form 10-Q for the period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Table of Contents</w:t>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9520"/>
        <w:gridCol w:w="720"/>
      </w:tblGrid>
      <w:tr>
        <w:trPr>
          <w:trHeight w:hRule="exact" w:val="8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Page</w:t>
            </w:r>
          </w:p>
        </w:tc>
      </w:tr>
      <w:tr>
        <w:trPr>
          <w:trHeight w:hRule="exact" w:val="280"/>
        </w:trPr>
        <w:tc>
          <w:tcPr>
            <w:tcW w:type="dxa" w:w="9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PART I. FINANCIAL INFORMATION</w:t>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_____Financial_Statements">
              <w:r>
                <w:rPr>
                  <w:rFonts w:ascii="Times New Roman" w:hAnsi="Times New Roman" w:eastAsia="Times New Roman" w:cs="Times New Roman"/>
                  <w:sz w:val="20"/>
                  <w:color w:val="0000ff"/>
                  <w:u w:val="single" w:color="0000ff"/>
                </w:rPr>
                <w:t xml:space="preserve">Item 1.     Financial Statements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Item_1_____Financial_Statements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1</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Balance_Sheets">
              <w:r>
                <w:rPr>
                  <w:rFonts w:ascii="Times New Roman" w:hAnsi="Times New Roman" w:eastAsia="Times New Roman" w:cs="Times New Roman"/>
                  <w:sz w:val="20"/>
                  <w:color w:val="0000ff"/>
                  <w:u w:val="single" w:color="0000ff"/>
                </w:rPr>
                <w:t xml:space="preserve">Unaudited Consolidated Balance Sheets as of March 31, 2019 and December 31, 2018</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Consolidated_Balance_Sheets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1</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Statements_of_Operations">
              <w:r>
                <w:rPr>
                  <w:rFonts w:ascii="Times New Roman" w:hAnsi="Times New Roman" w:eastAsia="Times New Roman" w:cs="Times New Roman"/>
                  <w:sz w:val="20"/>
                  <w:color w:val="0000ff"/>
                  <w:u w:val="single" w:color="0000ff"/>
                </w:rPr>
                <w:t xml:space="preserve">Unaudited Consolidated Statements of Operations for the three months ended March 31, 2019 and 2018</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Consolidated_Statements_of_Operations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2</w:t>
            </w:r>
            <w:r>
              <w:rPr>
                <w:rFonts w:ascii="Times New Roman" w:hAnsi="Times New Roman" w:eastAsia="Times New Roman" w:cs="Times New Roman"/>
                <w:sz w:val="20"/>
                <w:color w:val="0000ff"/>
                <w:u w:val="single" w:color="0000ff"/>
              </w:rPr>
              <w:fldChar w:fldCharType="end"/>
            </w:r>
          </w:p>
        </w:tc>
      </w:tr>
      <w:tr>
        <w:trPr>
          <w:trHeight w:hRule="exact" w:val="50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Statement_of_Stockholders__">
              <w:r>
                <w:rPr>
                  <w:rFonts w:ascii="Times New Roman" w:hAnsi="Times New Roman" w:eastAsia="Times New Roman" w:cs="Times New Roman"/>
                  <w:sz w:val="20"/>
                  <w:color w:val="0000ff"/>
                  <w:u w:val="single" w:color="0000ff"/>
                </w:rPr>
                <w:t xml:space="preserve">Unaudited Consolidated Statements of Stockholders’ Equity for the three months ended March 31, 2019 and 2018</w:t>
              </w:r>
            </w:hyperlink>
          </w:p>
        </w:tc>
        <w:tc>
          <w:tcPr>
            <w:tcW w:type="dxa" w:w="7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Consolidated_Statement_of_Stockholders__</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3</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Consolidated_Statements_of_Cash_Flows">
              <w:r>
                <w:rPr>
                  <w:rFonts w:ascii="Times New Roman" w:hAnsi="Times New Roman" w:eastAsia="Times New Roman" w:cs="Times New Roman"/>
                  <w:sz w:val="20"/>
                  <w:color w:val="0000ff"/>
                  <w:u w:val="single" w:color="0000ff"/>
                </w:rPr>
                <w:t xml:space="preserve">Unaudited Consolidated Statements of Cash Flows for the three months ended March 31, 2019 and 2018</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Consolidated_Statements_of_Cash_Flows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7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Notes_to_the_Consolidated_Financial_Stat">
              <w:r>
                <w:rPr>
                  <w:rFonts w:ascii="Times New Roman" w:hAnsi="Times New Roman" w:eastAsia="Times New Roman" w:cs="Times New Roman"/>
                  <w:sz w:val="20"/>
                  <w:color w:val="0000ff"/>
                  <w:u w:val="single" w:color="0000ff"/>
                </w:rPr>
                <w:t xml:space="preserve">Notes to the Unaudited Consolidated Financial Statements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Notes_to_the_Consolidated_Financial_Stat</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2____Management_s_Discussion_and_An">
              <w:r>
                <w:rPr>
                  <w:rFonts w:ascii="Times New Roman" w:hAnsi="Times New Roman" w:eastAsia="Times New Roman" w:cs="Times New Roman"/>
                  <w:sz w:val="20"/>
                  <w:color w:val="0000ff"/>
                  <w:u w:val="single" w:color="0000ff"/>
                </w:rPr>
                <w:t xml:space="preserve">Item 2.     Management’s Discussion and Analysis of Financial Condition and Results of Operations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Item_2____Management_s_Discussion_and_An</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25</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3__Quantitive_and_Qualitatve_Disclo">
              <w:r>
                <w:rPr>
                  <w:rFonts w:ascii="Times New Roman" w:hAnsi="Times New Roman" w:eastAsia="Times New Roman" w:cs="Times New Roman"/>
                  <w:sz w:val="20"/>
                  <w:color w:val="0000ff"/>
                  <w:u w:val="single" w:color="0000ff"/>
                </w:rPr>
                <w:t xml:space="preserve">Item 3.     Quantitative and Qualitative Disclosures About Market Risk</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Item_3__Quantitive_and_Qualitatve_Disclo</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38</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4__Controls_and_Procedures">
              <w:r>
                <w:rPr>
                  <w:rFonts w:ascii="Times New Roman" w:hAnsi="Times New Roman" w:eastAsia="Times New Roman" w:cs="Times New Roman"/>
                  <w:sz w:val="20"/>
                  <w:color w:val="0000ff"/>
                  <w:u w:val="single" w:color="0000ff"/>
                </w:rPr>
                <w:t xml:space="preserve">Item 4.     Controls and Procedures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Item_4__Controls_and_Procedures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39</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PART II. OTHER INFORMATION</w:t>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____Legal_Proceedings">
              <w:r>
                <w:rPr>
                  <w:rFonts w:ascii="Times New Roman" w:hAnsi="Times New Roman" w:eastAsia="Times New Roman" w:cs="Times New Roman"/>
                  <w:sz w:val="20"/>
                  <w:color w:val="0000ff"/>
                  <w:u w:val="single" w:color="0000ff"/>
                </w:rPr>
                <w:t xml:space="preserve">Item 1.     Legal Proceedings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Item_1____Legal_Proceedings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41</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A__Risk_Factors">
              <w:r>
                <w:rPr>
                  <w:rFonts w:ascii="Times New Roman" w:hAnsi="Times New Roman" w:eastAsia="Times New Roman" w:cs="Times New Roman"/>
                  <w:sz w:val="20"/>
                  <w:color w:val="0000ff"/>
                  <w:u w:val="single" w:color="0000ff"/>
                </w:rPr>
                <w:t xml:space="preserve">Item 1A.  Risk Factors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Item_1A__Risk_Factors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41</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2___Unregisterd_Sales_of_Equity_Sec">
              <w:r>
                <w:rPr>
                  <w:rFonts w:ascii="Times New Roman" w:hAnsi="Times New Roman" w:eastAsia="Times New Roman" w:cs="Times New Roman"/>
                  <w:sz w:val="20"/>
                  <w:color w:val="0000ff"/>
                  <w:u w:val="single" w:color="0000ff"/>
                </w:rPr>
                <w:t xml:space="preserve">Item 2.     Unregistered Sales of Equity Securities and Use of Proceeds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Item_2___Unregisterd_Sales_of_Equity_Sec</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3___Defaults_Upon_Senior_Securities">
              <w:r>
                <w:rPr>
                  <w:rFonts w:ascii="Times New Roman" w:hAnsi="Times New Roman" w:eastAsia="Times New Roman" w:cs="Times New Roman"/>
                  <w:sz w:val="20"/>
                  <w:color w:val="0000ff"/>
                  <w:u w:val="single" w:color="0000ff"/>
                </w:rPr>
                <w:t xml:space="preserve">Item 3.     Defaults Upon Senior Securities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Item_3___Defaults_Upon_Senior_Securities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4____Mine_Safety_Disclosures">
              <w:r>
                <w:rPr>
                  <w:rFonts w:ascii="Times New Roman" w:hAnsi="Times New Roman" w:eastAsia="Times New Roman" w:cs="Times New Roman"/>
                  <w:sz w:val="20"/>
                  <w:color w:val="0000ff"/>
                  <w:u w:val="single" w:color="0000ff"/>
                </w:rPr>
                <w:t xml:space="preserve">Item 4.     Mine Safety Disclosures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Item_4____Mine_Safety_Disclosures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5__Other_Information">
              <w:r>
                <w:rPr>
                  <w:rFonts w:ascii="Times New Roman" w:hAnsi="Times New Roman" w:eastAsia="Times New Roman" w:cs="Times New Roman"/>
                  <w:sz w:val="20"/>
                  <w:color w:val="0000ff"/>
                  <w:u w:val="single" w:color="0000ff"/>
                </w:rPr>
                <w:t xml:space="preserve">Item 5.     Other Information</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Item_5__Other_Information</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6___Exhibits">
              <w:r>
                <w:rPr>
                  <w:rFonts w:ascii="Times New Roman" w:hAnsi="Times New Roman" w:eastAsia="Times New Roman" w:cs="Times New Roman"/>
                  <w:sz w:val="20"/>
                  <w:color w:val="0000ff"/>
                  <w:u w:val="single" w:color="0000ff"/>
                </w:rPr>
                <w:t xml:space="preserve">Item 6.     Exhibits</w:t>
              </w:r>
            </w:hyperlink>
          </w:p>
        </w:tc>
        <w:tc>
          <w:tcPr>
            <w:tcW w:type="dxa" w:w="720"/>
            <w:tcMar>
              <w:left w:type="dxa" w:w="60"/>
              <w:right w:type="dxa" w:w="60"/>
            </w:tcMar>
            <w:tcBorders/>
            <w:vAlign w:val="bottom"/>
          </w:tcPr>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Item_6___Exhibits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45</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6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hyperlink w:anchor="Signatures">
              <w:r>
                <w:rPr>
                  <w:rFonts w:ascii="Times New Roman" w:hAnsi="Times New Roman" w:eastAsia="Times New Roman" w:cs="Times New Roman"/>
                  <w:sz w:val="20"/>
                  <w:color w:val="0000ff"/>
                  <w:u w:val="single" w:color="0000ff"/>
                </w:rPr>
                <w:t xml:space="preserve">Signatures</w:t>
              </w:r>
            </w:hyperlink>
          </w:p>
        </w:tc>
        <w:tc>
          <w:tcPr>
            <w:tcW w:type="dxa" w:w="720"/>
            <w:tcMar>
              <w:left w:type="dxa" w:w="60"/>
              <w:right w:type="dxa" w:w="60"/>
            </w:tcMar>
            <w:tcBorders/>
            <w:vAlign w:val="bottom"/>
          </w:tcPr>
          <w:p>
            <w:pPr>
              <w:jc w:val="center"/>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Signatures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47</w:t>
            </w:r>
            <w:r>
              <w:rPr>
                <w:rFonts w:ascii="Times New Roman" w:hAnsi="Times New Roman" w:eastAsia="Times New Roman" w:cs="Times New Roman"/>
                <w:sz w:val="20"/>
                <w:color w:val="0000ff"/>
                <w:u w:val="single" w:color="0000ff"/>
              </w:rPr>
              <w:fldChar w:fldCharType="end"/>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start="1" w:fmt="lowerRoman" w:chapSep="period"/>
          <w:pgSz w:w="12240" w:h="15840"/>
          <w:pgMar w:top="860" w:left="1000" w:right="1000" w:bottom="860" w:footer="460" w:gutter="0" w:header="160"/>
          <w:headerReference r:id="rId1" w:type="default"/>
          <w:footerReference r:id="rId3"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PART I  - FINANCIAL INFORMATION</w:t>
      </w:r>
      <w:bookmarkStart w:id="44192" w:name="PART_I__Financial_information"/>
      <w:bookmarkEnd w:id="44192"/>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start="1" w:fmt="decimal" w:chapSep="period"/>
          <w:pgSz w:w="12240" w:h="15840"/>
          <w:pgMar w:top="860" w:left="1000" w:right="1000" w:bottom="860" w:footer="460" w:gutter="0" w:header="160"/>
          <w:headerReference r:id="rId1" w:type="default"/>
          <w:footerReference r:id="rId4"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1 - FINANCIAL STATEMENTS</w:t>
      </w:r>
      <w:bookmarkStart w:id="53760" w:name="Item_1_____Financial_Statements"/>
      <w:bookmarkEnd w:id="53760"/>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13639" w:name="Consolidated_Balance_Sheets"/>
      <w:bookmarkEnd w:id="13639"/>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Balance Sheets</w:t>
      </w:r>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7560"/>
        <w:gridCol w:w="110"/>
        <w:gridCol w:w="1113"/>
        <w:gridCol w:w="77"/>
        <w:gridCol w:w="80"/>
        <w:gridCol w:w="110"/>
        <w:gridCol w:w="1113"/>
        <w:gridCol w:w="77"/>
      </w:tblGrid>
      <w:tr>
        <w:trPr>
          <w:trHeight w:hRule="exact" w:val="480"/>
        </w:trPr>
        <w:tc>
          <w:tcPr>
            <w:tcW w:type="dxa" w:w="7560"/>
            <w:tcMar>
              <w:left w:type="dxa" w:w="60"/>
              <w:right w:type="dxa" w:w="0"/>
            </w:tcMar>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60"/>
              <w:right w:type="dxa" w:w="60"/>
            </w:tcMar>
            <w:tcBorders>
              <w:bottom w:val="single" w:sz="16"/>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0"/>
              <w:right w:type="dxa" w:w="60"/>
            </w:tcMar>
            <w:tcBorders>
              <w:bottom w:val="single" w:sz="16"/>
            </w:tcBorders>
            <w:hMerge w:val="continue"/>
          </w:tcPr>
          <w:p/>
        </w:tc>
        <w:tc>
          <w:tcPr>
            <w:tcW w:type="dxa" w:w="80"/>
            <w:tcMar>
              <w:left w:type="dxa" w:w="60"/>
              <w:right w:type="dxa" w:w="0"/>
            </w:tcMar>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60"/>
              <w:right w:type="dxa" w:w="60"/>
            </w:tcMar>
            <w:tcBorders>
              <w:bottom w:val="single" w:sz="16"/>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0"/>
              <w:right w:type="dxa" w:w="60"/>
            </w:tcMar>
            <w:tcBorders>
              <w:bottom w:val="single" w:sz="16"/>
            </w:tcBorders>
            <w:hMerge w:val="continue"/>
          </w:tcPr>
          <w:p/>
        </w:tc>
      </w:tr>
      <w:tr>
        <w:trPr>
          <w:trHeight w:hRule="exact" w:val="280"/>
        </w:trPr>
        <w:tc>
          <w:tcPr>
            <w:tcW w:type="dxa" w:w="75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Assets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and cash equivalents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2,315,186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1,968,403</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6,066,161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6,066,161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7,071,815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7,071,815</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Prepaid expenses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367,181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367,181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527,968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527,968</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current assets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27,396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27,396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39,203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39,203</w:t>
            </w:r>
          </w:p>
        </w:tc>
        <w:tc>
          <w:tcPr>
            <w:tcW w:type="dxa" w:w="77"/>
            <w:tcMar>
              <w:left w:type="dxa" w:w="0"/>
              <w:right w:type="dxa" w:w="0"/>
            </w:tcMar>
            <w:tcBorders/>
          </w:tcPr>
          <w:p/>
        </w:tc>
      </w:tr>
      <w:tr>
        <w:trPr>
          <w:trHeight w:hRule="exact" w:val="280"/>
        </w:trPr>
        <w:tc>
          <w:tcPr>
            <w:tcW w:type="dxa" w:w="7560"/>
            <w:tcMar>
              <w:left w:type="dxa" w:w="78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assets</w:t>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8,775,924</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8,775,924</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9,607,389</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9,607,389</w:t>
            </w:r>
          </w:p>
        </w:tc>
        <w:tc>
          <w:tcPr>
            <w:tcW w:type="dxa" w:w="77"/>
            <w:tcMar>
              <w:left w:type="dxa" w:w="0"/>
              <w:right w:type="dxa" w:w="0"/>
            </w:tcMar>
            <w:tcBorders>
              <w:top w:val="single" w:sz="8" w:space="0"/>
              <w:bottom w:val="single" w:sz="8"/>
            </w:tcBorders>
          </w:tcPr>
          <w:p/>
        </w:tc>
      </w:tr>
      <w:tr>
        <w:trPr>
          <w:trHeight w:hRule="exact" w:val="200"/>
        </w:trPr>
        <w:tc>
          <w:tcPr>
            <w:tcW w:type="dxa" w:w="7560"/>
            <w:tcMar>
              <w:left w:type="dxa" w:w="18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236,145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236,145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272,239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272,239</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Right of use asset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340,370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340,370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Goodwill</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2,827,042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2,827,042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3,149,949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3,149,949</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1,700,551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1,700,551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1,428,604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1,428,604</w:t>
            </w:r>
          </w:p>
        </w:tc>
        <w:tc>
          <w:tcPr>
            <w:tcW w:type="dxa" w:w="77"/>
            <w:tcMar>
              <w:left w:type="dxa" w:w="0"/>
              <w:right w:type="dxa" w:w="0"/>
            </w:tcMar>
            <w:tcBorders/>
          </w:tcPr>
          <w:p/>
        </w:tc>
      </w:tr>
      <w:tr>
        <w:trPr>
          <w:trHeight w:hRule="exact" w:val="280"/>
        </w:trPr>
        <w:tc>
          <w:tcPr>
            <w:tcW w:type="dxa" w:w="756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Security deposits</w:t>
            </w:r>
          </w:p>
        </w:tc>
        <w:tc>
          <w:tcPr>
            <w:tcW w:type="dxa" w:w="1223"/>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140,188</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140,188</w:t>
            </w:r>
          </w:p>
        </w:tc>
        <w:tc>
          <w:tcPr>
            <w:tcW w:type="dxa" w:w="77"/>
            <w:tcMar>
              <w:left w:type="dxa" w:w="0"/>
              <w:right w:type="dxa" w:w="0"/>
            </w:tcMar>
            <w:tcBorders>
              <w:bottom w:val="single" w:sz="16"/>
            </w:tcBorders>
          </w:tcPr>
          <w:p/>
        </w:tc>
        <w:tc>
          <w:tcPr>
            <w:tcW w:type="dxa" w:w="80"/>
            <w:tcMar>
              <w:left w:type="dxa" w:w="0"/>
              <w:right w:type="dxa" w:w="60"/>
            </w:tcMar>
            <w:tcBorders>
              <w:bottom w:val="single" w:sz="16"/>
            </w:tcBorders>
            <w:vAlign w:val="bottom"/>
          </w:tcPr>
          <w:p>
            <w:pPr>
              <w:jc w:val="left"/>
              <w:keepNext/>
              <w:keepLines/>
              <w:spacing w:before="40" w:after="40" w:line="240" w:lineRule="auto"/>
              <w:rPr/>
            </w:pPr>
            <w:r>
              <w:rPr/>
            </w:r>
          </w:p>
        </w:tc>
        <w:tc>
          <w:tcPr>
            <w:tcW w:type="dxa" w:w="1223"/>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143,174</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143,174</w:t>
            </w:r>
          </w:p>
        </w:tc>
        <w:tc>
          <w:tcPr>
            <w:tcW w:type="dxa" w:w="77"/>
            <w:tcMar>
              <w:left w:type="dxa" w:w="0"/>
              <w:right w:type="dxa" w:w="0"/>
            </w:tcMar>
            <w:tcBorders>
              <w:bottom w:val="single" w:sz="16"/>
            </w:tcBorders>
          </w:tcPr>
          <w:p/>
        </w:tc>
      </w:tr>
      <w:tr>
        <w:trPr>
          <w:trHeight w:hRule="exact" w:val="280"/>
        </w:trPr>
        <w:tc>
          <w:tcPr>
            <w:tcW w:type="dxa" w:w="7560"/>
            <w:tcMar>
              <w:left w:type="dxa" w:w="90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assets</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22,336,942</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22,918,077</w:t>
            </w:r>
          </w:p>
        </w:tc>
        <w:tc>
          <w:tcPr>
            <w:tcW w:type="dxa" w:w="77"/>
            <w:tcMar>
              <w:left w:type="dxa" w:w="0"/>
              <w:right w:type="dxa" w:w="0"/>
            </w:tcMar>
            <w:tcBorders>
              <w:bottom w:val="double" w:sz="4"/>
            </w:tcBorders>
          </w:tcPr>
          <w:p/>
        </w:tc>
      </w:tr>
      <w:tr>
        <w:trPr>
          <w:trHeight w:hRule="exact" w:val="14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Liabilities and Stockholders’ Equity</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liabilities: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payable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2,249,003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2,618,103</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Accrued expenses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2,556,717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2,556,717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1,968,589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1,968,589</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5,464,843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5,464,843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4,957,869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4,957,869</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Line of credit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1,336,247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1,336,247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1,526,288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1,526,288</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Right of use liability</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324,764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324,764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Deferred rent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17,420</w:t>
            </w:r>
          </w:p>
        </w:tc>
        <w:tc>
          <w:tcPr>
            <w:tcW w:type="dxa" w:w="77"/>
            <w:tcMar>
              <w:left w:type="dxa" w:w="0"/>
              <w:right w:type="dxa" w:w="0"/>
            </w:tcMar>
            <w:tcBorders/>
          </w:tcPr>
          <w:p/>
        </w:tc>
      </w:tr>
      <w:tr>
        <w:trPr>
          <w:trHeight w:hRule="exact" w:val="280"/>
        </w:trPr>
        <w:tc>
          <w:tcPr>
            <w:tcW w:type="dxa" w:w="756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Acquisition costs payable</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3,794,605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3,794,605</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4,611,493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4,611,493</w:t>
            </w:r>
          </w:p>
        </w:tc>
        <w:tc>
          <w:tcPr>
            <w:tcW w:type="dxa" w:w="77"/>
            <w:tcMar>
              <w:left w:type="dxa" w:w="0"/>
              <w:right w:type="dxa" w:w="0"/>
            </w:tcMar>
            <w:tcBorders>
              <w:bottom w:val="single" w:sz="8"/>
            </w:tcBorders>
          </w:tcPr>
          <w:p/>
        </w:tc>
      </w:tr>
      <w:tr>
        <w:trPr>
          <w:trHeight w:hRule="exact" w:val="280"/>
        </w:trPr>
        <w:tc>
          <w:tcPr>
            <w:tcW w:type="dxa" w:w="756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liabilities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15,726,179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15,726,179</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15,699,762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15,699,762</w:t>
            </w:r>
          </w:p>
        </w:tc>
        <w:tc>
          <w:tcPr>
            <w:tcW w:type="dxa" w:w="77"/>
            <w:tcMar>
              <w:left w:type="dxa" w:w="0"/>
              <w:right w:type="dxa" w:w="0"/>
            </w:tcMar>
            <w:tcBorders>
              <w:bottom w:val="single" w:sz="8"/>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Commitments and Contingencies (Note 6)</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Stockholders’ equity:</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Preferred stock; $.0001 par value; 10,000,000 shares authorized; no shares issued and outstanding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5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stock, $.0001 par value; 200,000,000 shares authorized; 12,812,108 and 12,075,708, respectively, issued and outstanding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1,208</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Additional paid-in capital</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61,534,711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61,534,711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60,311,756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60,311,756</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deficit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(54,925,229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(54,925,229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(53,094,649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(53,094,649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7560"/>
            <w:tcMar>
              <w:left w:type="dxa" w:w="780"/>
              <w:right w:type="dxa" w:w="40"/>
            </w:tcMar>
            <w:tcBorders>
              <w:top w:val="single" w:sz="16"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stockholders’ equity</w:t>
            </w:r>
          </w:p>
        </w:tc>
        <w:tc>
          <w:tcPr>
            <w:tcW w:type="dxa" w:w="1223"/>
            <w:tcMar>
              <w:left w:type="dxa" w:w="0"/>
              <w:right w:type="dxa" w:w="0"/>
            </w:tcMar>
            <w:tcBorders>
              <w:top w:val="single" w:sz="16"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6,610,763</w:t>
            </w:r>
          </w:p>
        </w:tc>
        <w:tc>
          <w:tcPr>
            <w:tcMar>
              <w:left w:type="dxa" w:w="0"/>
              <w:right w:type="dxa" w:w="0"/>
            </w:tcMar>
            <w:tcBorders>
              <w:top w:val="single" w:sz="16"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6,610,763</w:t>
            </w:r>
          </w:p>
        </w:tc>
        <w:tc>
          <w:tcPr>
            <w:tcW w:type="dxa" w:w="77"/>
            <w:tcMar>
              <w:left w:type="dxa" w:w="0"/>
              <w:right w:type="dxa" w:w="0"/>
            </w:tcMar>
            <w:tcBorders>
              <w:top w:val="single" w:sz="16" w:space="0"/>
            </w:tcBorders>
          </w:tcPr>
          <w:p/>
        </w:tc>
        <w:tc>
          <w:tcPr>
            <w:tcW w:type="dxa" w:w="80"/>
            <w:tcMar>
              <w:left w:type="dxa" w:w="0"/>
              <w:right w:type="dxa" w:w="60"/>
            </w:tcMar>
            <w:tcBorders>
              <w:top w:val="single" w:sz="16" w:space="0"/>
            </w:tcBorders>
            <w:vAlign w:val="bottom"/>
          </w:tcPr>
          <w:p>
            <w:pPr>
              <w:jc w:val="left"/>
              <w:keepNext/>
              <w:keepLines/>
              <w:spacing w:before="40" w:after="40" w:line="240" w:lineRule="auto"/>
              <w:rPr/>
            </w:pPr>
            <w:r>
              <w:rPr/>
            </w:r>
          </w:p>
        </w:tc>
        <w:tc>
          <w:tcPr>
            <w:tcW w:type="dxa" w:w="1223"/>
            <w:tcMar>
              <w:left w:type="dxa" w:w="0"/>
              <w:right w:type="dxa" w:w="0"/>
            </w:tcMar>
            <w:tcBorders>
              <w:top w:val="single" w:sz="16"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7,218,315</w:t>
            </w:r>
          </w:p>
        </w:tc>
        <w:tc>
          <w:tcPr>
            <w:tcMar>
              <w:left w:type="dxa" w:w="0"/>
              <w:right w:type="dxa" w:w="0"/>
            </w:tcMar>
            <w:tcBorders>
              <w:top w:val="single" w:sz="16"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7,218,315</w:t>
            </w:r>
          </w:p>
        </w:tc>
        <w:tc>
          <w:tcPr>
            <w:tcW w:type="dxa" w:w="77"/>
            <w:tcMar>
              <w:left w:type="dxa" w:w="0"/>
              <w:right w:type="dxa" w:w="0"/>
            </w:tcMar>
            <w:tcBorders>
              <w:top w:val="single" w:sz="16" w:space="0"/>
            </w:tcBorders>
          </w:tcPr>
          <w:p/>
        </w:tc>
      </w:tr>
      <w:tr>
        <w:trPr>
          <w:trHeight w:hRule="exact" w:val="280"/>
        </w:trPr>
        <w:tc>
          <w:tcPr>
            <w:tcW w:type="dxa" w:w="7560"/>
            <w:tcMar>
              <w:left w:type="dxa" w:w="900"/>
              <w:right w:type="dxa" w:w="0"/>
            </w:tcMar>
            <w:tcBorders>
              <w:top w:val="single" w:sz="16" w:space="0"/>
            </w:tcBorders>
            <w:vAlign w:val="bottom"/>
          </w:tcPr>
          <w:p>
            <w:pPr>
              <w:jc w:val="left"/>
              <w:keepNext/>
              <w:keepLines/>
              <w:spacing w:before="40" w:after="40" w:line="240" w:lineRule="auto"/>
              <w:rPr/>
            </w:pPr>
            <w:r>
              <w:rPr/>
            </w:r>
          </w:p>
        </w:tc>
        <w:tc>
          <w:tcPr>
            <w:tcW w:type="dxa" w:w="0"/>
            <w:tcMar>
              <w:left w:type="dxa" w:w="0"/>
              <w:right w:type="dxa" w:w="60"/>
            </w:tcMar>
            <w:tcBorders>
              <w:top w:val="single" w:sz="16"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16" w:space="0"/>
            </w:tcBorders>
            <w:hMerge w:val="continue"/>
          </w:tcPr>
          <w:p>
            <w:pPr>
              <w:jc w:val="left"/>
              <w:keepNext/>
              <w:keepLines/>
              <w:spacing w:before="40" w:after="40" w:line="240" w:lineRule="auto"/>
              <w:rPr/>
            </w:pPr>
            <w:r>
              <w:rPr/>
            </w:r>
          </w:p>
        </w:tc>
        <w:tc>
          <w:tcPr>
            <w:tcMar>
              <w:left w:type="dxa" w:w="0"/>
              <w:right w:type="dxa" w:w="60"/>
            </w:tcMar>
            <w:tcBorders>
              <w:top w:val="single" w:sz="16" w:space="0"/>
            </w:tcBorders>
            <w:hMerge w:val="continue"/>
          </w:tcPr>
          <w:p/>
        </w:tc>
        <w:tc>
          <w:tcPr>
            <w:tcW w:type="dxa" w:w="80"/>
            <w:tcMar>
              <w:left w:type="dxa" w:w="0"/>
              <w:right w:type="dxa" w:w="60"/>
            </w:tcMar>
            <w:tcBorders>
              <w:top w:val="single" w:sz="16" w:space="0"/>
            </w:tcBorders>
            <w:vAlign w:val="bottom"/>
          </w:tcPr>
          <w:p>
            <w:pPr>
              <w:jc w:val="left"/>
              <w:keepNext/>
              <w:keepLines/>
              <w:spacing w:before="40" w:after="40" w:line="240" w:lineRule="auto"/>
              <w:rPr/>
            </w:pPr>
            <w:r>
              <w:rPr/>
            </w:r>
          </w:p>
        </w:tc>
        <w:tc>
          <w:tcPr>
            <w:tcW w:type="dxa" w:w="0"/>
            <w:tcMar>
              <w:left w:type="dxa" w:w="0"/>
              <w:right w:type="dxa" w:w="60"/>
            </w:tcMar>
            <w:tcBorders>
              <w:top w:val="single" w:sz="16"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16" w:space="0"/>
            </w:tcBorders>
            <w:hMerge w:val="continue"/>
          </w:tcPr>
          <w:p>
            <w:pPr>
              <w:jc w:val="left"/>
              <w:keepNext/>
              <w:keepLines/>
              <w:spacing w:before="40" w:after="40" w:line="240" w:lineRule="auto"/>
              <w:rPr/>
            </w:pPr>
            <w:r>
              <w:rPr/>
            </w:r>
          </w:p>
        </w:tc>
        <w:tc>
          <w:tcPr>
            <w:tcMar>
              <w:left w:type="dxa" w:w="0"/>
              <w:right w:type="dxa" w:w="60"/>
            </w:tcMar>
            <w:tcBorders>
              <w:top w:val="single" w:sz="16" w:space="0"/>
            </w:tcBorders>
            <w:hMerge w:val="continue"/>
          </w:tcPr>
          <w:p/>
        </w:tc>
      </w:tr>
      <w:tr>
        <w:trPr>
          <w:trHeight w:hRule="exact" w:val="280"/>
        </w:trPr>
        <w:tc>
          <w:tcPr>
            <w:tcW w:type="dxa" w:w="7560"/>
            <w:tcMar>
              <w:left w:type="dxa" w:w="78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liabilities and stockholders’ equity</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22,336,942</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22,918,077</w:t>
            </w:r>
          </w:p>
        </w:tc>
        <w:tc>
          <w:tcPr>
            <w:tcW w:type="dxa" w:w="77"/>
            <w:tcMar>
              <w:left w:type="dxa" w:w="0"/>
              <w:right w:type="dxa" w:w="0"/>
            </w:tcMar>
            <w:tcBorders>
              <w:bottom w:val="double" w:sz="4"/>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13471" w:name="Consolidated_Statements_of_Operations"/>
      <w:bookmarkEnd w:id="13471"/>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Statements of Operations</w:t>
      </w:r>
    </w:p>
    <w:tbl>
      <w:tblPr>
        <w:tblW w:type="dxa" w:w="10220"/>
        <w:tblLayout w:type="fixed"/>
        <w:jc w:val="center"/>
      </w:tblPr>
      <w:tblGrid>
        <w:gridCol w:w="7560"/>
        <w:gridCol w:w="110"/>
        <w:gridCol w:w="1113"/>
        <w:gridCol w:w="77"/>
        <w:gridCol w:w="80"/>
        <w:gridCol w:w="110"/>
        <w:gridCol w:w="1093"/>
        <w:gridCol w:w="77"/>
      </w:tblGrid>
      <w:tr>
        <w:trPr>
          <w:trHeight w:hRule="exact" w:val="5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r>
      <w:tr>
        <w:trPr>
          <w:trHeight w:hRule="exact" w:val="300"/>
        </w:trPr>
        <w:tc>
          <w:tcPr>
            <w:tcW w:type="dxa" w:w="7560"/>
            <w:tcMar>
              <w:left w:type="dxa" w:w="60"/>
              <w:right w:type="dxa" w:w="0"/>
            </w:tcMar>
            <w:hMerge w:val="restart"/>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16"/>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16"/>
            </w:tcBorders>
            <w:hMerge w:val="continue"/>
          </w:tcPr>
          <w:p/>
        </w:tc>
        <w:tc>
          <w:tcPr>
            <w:tcW w:type="dxa" w:w="80"/>
            <w:tcMar>
              <w:left w:type="dxa" w:w="0"/>
              <w:right w:type="dxa" w:w="60"/>
            </w:tcMar>
            <w:tcBorders>
              <w:top w:val="single" w:sz="8" w:space="0"/>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16"/>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16"/>
            </w:tcBorders>
            <w:hMerge w:val="continue"/>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2,099,291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2,099,291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2,163,142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2,163,142</w:t>
            </w:r>
          </w:p>
        </w:tc>
        <w:tc>
          <w:tcPr>
            <w:tcW w:type="dxa" w:w="77"/>
            <w:tcMar>
              <w:left w:type="dxa" w:w="0"/>
              <w:right w:type="dxa" w:w="0"/>
            </w:tcMar>
            <w:tcBorders/>
          </w:tcPr>
          <w:p/>
        </w:tc>
      </w:tr>
      <w:tr>
        <w:trPr>
          <w:trHeight w:hRule="exact" w:val="3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1,357,667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1,357,667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1,755,526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1,755,526</w:t>
            </w:r>
          </w:p>
        </w:tc>
        <w:tc>
          <w:tcPr>
            <w:tcW w:type="dxa" w:w="77"/>
            <w:tcMar>
              <w:left w:type="dxa" w:w="0"/>
              <w:right w:type="dxa" w:w="0"/>
            </w:tcMar>
            <w:tcBorders/>
          </w:tcPr>
          <w:p/>
        </w:tc>
      </w:tr>
      <w:tr>
        <w:trPr>
          <w:trHeight w:hRule="exact" w:val="3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2,612,054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2,612,054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1,615,222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1,615,222</w:t>
            </w:r>
          </w:p>
        </w:tc>
        <w:tc>
          <w:tcPr>
            <w:tcW w:type="dxa" w:w="77"/>
            <w:tcMar>
              <w:left w:type="dxa" w:w="0"/>
              <w:right w:type="dxa" w:w="0"/>
            </w:tcMar>
            <w:tcBorders/>
          </w:tcPr>
          <w:p/>
        </w:tc>
      </w:tr>
      <w:tr>
        <w:trPr>
          <w:trHeight w:hRule="exact" w:val="3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436,224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436,224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265,455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265,455</w:t>
            </w:r>
          </w:p>
        </w:tc>
        <w:tc>
          <w:tcPr>
            <w:tcW w:type="dxa" w:w="77"/>
            <w:tcMar>
              <w:left w:type="dxa" w:w="0"/>
              <w:right w:type="dxa" w:w="0"/>
            </w:tcMar>
            <w:tcBorders/>
          </w:tcPr>
          <w:p/>
        </w:tc>
      </w:tr>
      <w:tr>
        <w:trPr>
          <w:trHeight w:hRule="exact" w:val="300"/>
        </w:trPr>
        <w:tc>
          <w:tcPr>
            <w:tcW w:type="dxa" w:w="7560"/>
            <w:tcMar>
              <w:left w:type="dxa" w:w="780"/>
              <w:right w:type="dxa" w:w="4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223"/>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6,505,236</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6,505,236</w:t>
            </w:r>
          </w:p>
        </w:tc>
        <w:tc>
          <w:tcPr>
            <w:tcW w:type="dxa" w:w="77"/>
            <w:tcMar>
              <w:left w:type="dxa" w:w="0"/>
              <w:right w:type="dxa" w:w="0"/>
            </w:tcMar>
            <w:tcBorders>
              <w:top w:val="single" w:sz="16" w:space="0"/>
              <w:bottom w:val="single" w:sz="16"/>
            </w:tcBorders>
          </w:tcPr>
          <w:p/>
        </w:tc>
        <w:tc>
          <w:tcPr>
            <w:tcW w:type="dxa" w:w="80"/>
            <w:tcMar>
              <w:left w:type="dxa" w:w="0"/>
              <w:right w:type="dxa" w:w="60"/>
            </w:tcMar>
            <w:tcBorders>
              <w:top w:val="single" w:sz="16" w:space="0"/>
              <w:bottom w:val="single" w:sz="16"/>
            </w:tcBorders>
            <w:vAlign w:val="bottom"/>
          </w:tcPr>
          <w:p>
            <w:pPr>
              <w:jc w:val="left"/>
              <w:keepNext/>
              <w:keepLines/>
              <w:spacing w:before="40" w:after="40" w:line="240" w:lineRule="auto"/>
              <w:rPr/>
            </w:pPr>
            <w:r>
              <w:rPr/>
            </w:r>
          </w:p>
        </w:tc>
        <w:tc>
          <w:tcPr>
            <w:tcW w:type="dxa" w:w="1203"/>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5,799,345</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5,799,345</w:t>
            </w:r>
          </w:p>
        </w:tc>
        <w:tc>
          <w:tcPr>
            <w:tcW w:type="dxa" w:w="77"/>
            <w:tcMar>
              <w:left w:type="dxa" w:w="0"/>
              <w:right w:type="dxa" w:w="0"/>
            </w:tcMar>
            <w:tcBorders>
              <w:top w:val="single" w:sz="16" w:space="0"/>
              <w:bottom w:val="single" w:sz="16"/>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(1,711,480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(1,711,480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(1,902,904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(1,902,904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(expense):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(128,464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(128,464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(21,311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18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9,364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4,690</w:t>
            </w:r>
          </w:p>
        </w:tc>
        <w:tc>
          <w:tcPr>
            <w:tcW w:type="dxa" w:w="77"/>
            <w:tcMar>
              <w:left w:type="dxa" w:w="0"/>
              <w:right w:type="dxa" w:w="0"/>
            </w:tcMar>
            <w:tcBorders/>
          </w:tcPr>
          <w:p/>
        </w:tc>
      </w:tr>
      <w:tr>
        <w:trPr>
          <w:trHeight w:hRule="exact" w:val="300"/>
        </w:trPr>
        <w:tc>
          <w:tcPr>
            <w:tcW w:type="dxa" w:w="7560"/>
            <w:tcMar>
              <w:left w:type="dxa" w:w="780"/>
              <w:right w:type="dxa" w:w="4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income (expense), net</w:t>
            </w:r>
          </w:p>
        </w:tc>
        <w:tc>
          <w:tcPr>
            <w:tcW w:type="dxa" w:w="1223"/>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(119,100</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(119,100</w:t>
            </w:r>
          </w:p>
        </w:tc>
        <w:tc>
          <w:tcPr>
            <w:tcW w:type="dxa" w:w="77"/>
            <w:tcMar>
              <w:left w:type="dxa" w:w="0"/>
              <w:right w:type="dxa" w:w="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16" w:space="0"/>
              <w:bottom w:val="single" w:sz="16"/>
            </w:tcBorders>
            <w:vAlign w:val="bottom"/>
          </w:tcPr>
          <w:p>
            <w:pPr>
              <w:jc w:val="left"/>
              <w:keepNext/>
              <w:keepLines/>
              <w:spacing w:before="40" w:after="40" w:line="240" w:lineRule="auto"/>
              <w:rPr/>
            </w:pPr>
            <w:r>
              <w:rPr/>
            </w:r>
          </w:p>
        </w:tc>
        <w:tc>
          <w:tcPr>
            <w:tcW w:type="dxa" w:w="1203"/>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(142,216</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(142,216</w:t>
            </w:r>
          </w:p>
        </w:tc>
        <w:tc>
          <w:tcPr>
            <w:tcW w:type="dxa" w:w="77"/>
            <w:tcMar>
              <w:left w:type="dxa" w:w="0"/>
              <w:right w:type="dxa" w:w="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(1,830,580</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(2,045,120</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4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common shares outstanding – basic and diluted</w:t>
            </w:r>
          </w:p>
        </w:tc>
        <w:tc>
          <w:tcPr>
            <w:tcW w:type="dxa" w:w="122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12,575,458</w:t>
            </w:r>
          </w:p>
        </w:tc>
        <w:tc>
          <w:tcPr>
            <w:tcMar>
              <w:left w:type="dxa" w:w="0"/>
              <w:right w:type="dxa" w:w="0"/>
            </w:tcMar>
            <w:tcBorders>
              <w:bottom w:val="double" w:sz="4"/>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12,575,458</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20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5,802,099</w:t>
            </w:r>
          </w:p>
        </w:tc>
        <w:tc>
          <w:tcPr>
            <w:tcMar>
              <w:left w:type="dxa" w:w="0"/>
              <w:right w:type="dxa" w:w="0"/>
            </w:tcMar>
            <w:tcBorders>
              <w:bottom w:val="double" w:sz="4"/>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5,802,099</w:t>
            </w:r>
          </w:p>
        </w:tc>
        <w:tc>
          <w:tcPr>
            <w:tcW w:type="dxa" w:w="77"/>
            <w:tcMar>
              <w:left w:type="dxa" w:w="0"/>
              <w:right w:type="dxa" w:w="0"/>
            </w:tcMar>
            <w:tcBorders>
              <w:bottom w:val="double" w:sz="4"/>
            </w:tcBorders>
          </w:tcPr>
          <w:p/>
        </w:tc>
      </w:tr>
      <w:tr>
        <w:trPr>
          <w:trHeight w:hRule="exact" w:val="300"/>
        </w:trPr>
        <w:tc>
          <w:tcPr>
            <w:tcW w:type="dxa" w:w="756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Basic and diluted loss per common share</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(0.15</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(0.35</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7"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41390" w:name="Consolidated_Statement_of_Stockholders__"/>
      <w:bookmarkEnd w:id="41390"/>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Statements of Stockholders’ Equity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020"/>
        <w:tblLayout w:type="fixed"/>
        <w:jc w:val="center"/>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trPr>
          <w:trHeight w:hRule="exact" w:val="580"/>
        </w:trPr>
        <w:tc>
          <w:tcPr>
            <w:tcW w:type="dxa" w:w="43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74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Common Stock</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Paid-In</w:t>
            </w:r>
          </w:p>
        </w:tc>
        <w:tc>
          <w:tcPr>
            <w:tcMar>
              <w:left w:type="dxa" w:w="60"/>
              <w:right w:type="dxa" w:w="60"/>
            </w:tcMar>
            <w:tcBorders/>
            <w:vAlign w:val="bottom"/>
            <w:hMerge w:val="continue"/>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Paid-In</w:t>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Stockholders’</w:t>
            </w:r>
          </w:p>
        </w:tc>
        <w:tc>
          <w:tcPr>
            <w:tcMar>
              <w:left w:type="dxa" w:w="60"/>
              <w:right w:type="dxa" w:w="60"/>
            </w:tcMar>
            <w:tcBorders/>
            <w:vAlign w:val="bottom"/>
            <w:hMerge w:val="continue"/>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Stockholders’</w:t>
            </w:r>
          </w:p>
        </w:tc>
        <w:tc>
          <w:tcPr>
            <w:tcMar>
              <w:left w:type="dxa" w:w="0"/>
              <w:right w:type="dxa" w:w="60"/>
            </w:tcMar>
            <w:tcBorders/>
            <w:hMerge w:val="continue"/>
          </w:tcPr>
          <w:p/>
        </w:tc>
      </w:tr>
      <w:tr>
        <w:trPr>
          <w:trHeight w:hRule="exact" w:val="240"/>
        </w:trPr>
        <w:tc>
          <w:tcPr>
            <w:tcW w:type="dxa" w:w="4300"/>
            <w:tcMar>
              <w:left w:type="dxa" w:w="60"/>
              <w:right w:type="dxa" w:w="60"/>
            </w:tcMar>
            <w:tcBorders>
              <w:bottom w:val="single" w:sz="8"/>
            </w:tcBorders>
            <w:vAlign w:val="bottom"/>
          </w:tcPr>
          <w:p>
            <w:pPr>
              <w:jc w:val="left"/>
              <w:keepNext/>
              <w:keepLines/>
              <w:spacing w:before="40" w:after="40" w:line="240" w:lineRule="auto"/>
              <w:rPr/>
            </w:pPr>
            <w:r>
              <w:rPr/>
            </w: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101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Shares</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Capital</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Capital</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Deficit</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Deficit</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Equity</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Equity</w:t>
            </w:r>
          </w:p>
        </w:tc>
        <w:tc>
          <w:tcPr>
            <w:tcMar>
              <w:left w:type="dxa" w:w="0"/>
              <w:right w:type="dxa" w:w="60"/>
            </w:tcMar>
            <w:tcBorders>
              <w:bottom w:val="single" w:sz="8"/>
            </w:tcBorders>
            <w:hMerge w:val="continue"/>
          </w:tcPr>
          <w:p/>
        </w:tc>
      </w:tr>
      <w:tr>
        <w:trPr>
          <w:trHeight w:hRule="exact" w:val="26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 December 31, 2017</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5,733,981</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6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573</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52,570,432</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(47,277,420</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5,293,585</w:t>
            </w:r>
          </w:p>
        </w:tc>
        <w:tc>
          <w:tcPr>
            <w:tcW w:type="dxa" w:w="70"/>
            <w:tcMar>
              <w:left w:type="dxa" w:w="0"/>
              <w:right w:type="dxa" w:w="0"/>
            </w:tcMar>
            <w:tcBorders/>
          </w:tcPr>
          <w:p/>
        </w:tc>
      </w:tr>
      <w:tr>
        <w:trPr>
          <w:trHeight w:hRule="exact" w:val="46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Cumulative effect of change in accounting policy to ASC 606</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 issued for payment of services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30,265</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124,997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124,997</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125,000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125,000</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(616</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(616</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Stock-based compensation</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55,000</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421,806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421,806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421,812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421,812</w:t>
            </w:r>
          </w:p>
        </w:tc>
        <w:tc>
          <w:tcPr>
            <w:tcW w:type="dxa" w:w="70"/>
            <w:tcMar>
              <w:left w:type="dxa" w:w="0"/>
              <w:right w:type="dxa" w:w="0"/>
            </w:tcMar>
            <w:tcBorders/>
          </w:tcPr>
          <w:p/>
        </w:tc>
      </w:tr>
      <w:tr>
        <w:trPr>
          <w:trHeight w:hRule="exact" w:val="280"/>
        </w:trPr>
        <w:tc>
          <w:tcPr>
            <w:tcW w:type="dxa" w:w="430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Net loss</w:t>
            </w: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01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75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09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1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(2,045,120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(2,045,120</w:t>
            </w:r>
          </w:p>
        </w:tc>
        <w:tc>
          <w:tcPr>
            <w:tcW w:type="dxa" w:w="7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01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(2,045,120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(2,045,120</w:t>
            </w:r>
          </w:p>
        </w:tc>
        <w:tc>
          <w:tcPr>
            <w:tcW w:type="dxa" w:w="7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 March 31, 2018</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1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5,819,246</w:t>
            </w:r>
          </w:p>
        </w:tc>
        <w:tc>
          <w:tcPr>
            <w:tcW w:type="dxa" w:w="70"/>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65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582</w:t>
            </w:r>
          </w:p>
        </w:tc>
        <w:tc>
          <w:tcPr>
            <w:tcW w:type="dxa" w:w="70"/>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9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53,116,619</w:t>
            </w:r>
          </w:p>
        </w:tc>
        <w:tc>
          <w:tcPr>
            <w:tcW w:type="dxa" w:w="70"/>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101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(49,421,362</w:t>
            </w:r>
          </w:p>
        </w:tc>
        <w:tc>
          <w:tcPr>
            <w:tcW w:type="dxa" w:w="7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1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3,695,839</w:t>
            </w:r>
          </w:p>
        </w:tc>
        <w:tc>
          <w:tcPr>
            <w:tcW w:type="dxa" w:w="70"/>
            <w:tcMar>
              <w:left w:type="dxa" w:w="0"/>
              <w:right w:type="dxa" w:w="0"/>
            </w:tcMar>
            <w:tcBorders>
              <w:bottom w:val="double" w:sz="4"/>
            </w:tcBorders>
          </w:tcPr>
          <w:p/>
        </w:tc>
      </w:tr>
    </w:tbl>
    <w:p>
      <w:pPr>
        <w:jc w:val="center"/>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020"/>
        <w:tblLayout w:type="fixed"/>
        <w:jc w:val="center"/>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trPr>
          <w:trHeight w:hRule="exact" w:val="580"/>
        </w:trPr>
        <w:tc>
          <w:tcPr>
            <w:tcW w:type="dxa" w:w="43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74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Common Stock</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Paid-In</w:t>
            </w:r>
          </w:p>
        </w:tc>
        <w:tc>
          <w:tcPr>
            <w:tcMar>
              <w:left w:type="dxa" w:w="60"/>
              <w:right w:type="dxa" w:w="60"/>
            </w:tcMar>
            <w:tcBorders/>
            <w:vAlign w:val="bottom"/>
            <w:hMerge w:val="continue"/>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Paid-In</w:t>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Stockholders’</w:t>
            </w:r>
          </w:p>
        </w:tc>
        <w:tc>
          <w:tcPr>
            <w:tcMar>
              <w:left w:type="dxa" w:w="60"/>
              <w:right w:type="dxa" w:w="60"/>
            </w:tcMar>
            <w:tcBorders/>
            <w:vAlign w:val="bottom"/>
            <w:hMerge w:val="continue"/>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Stockholders’</w:t>
            </w:r>
          </w:p>
        </w:tc>
        <w:tc>
          <w:tcPr>
            <w:tcMar>
              <w:left w:type="dxa" w:w="0"/>
              <w:right w:type="dxa" w:w="60"/>
            </w:tcMar>
            <w:tcBorders/>
            <w:hMerge w:val="continue"/>
          </w:tcPr>
          <w:p/>
        </w:tc>
      </w:tr>
      <w:tr>
        <w:trPr>
          <w:trHeight w:hRule="exact" w:val="280"/>
        </w:trPr>
        <w:tc>
          <w:tcPr>
            <w:tcW w:type="dxa" w:w="4300"/>
            <w:tcMar>
              <w:left w:type="dxa" w:w="60"/>
              <w:right w:type="dxa" w:w="60"/>
            </w:tcMar>
            <w:tcBorders>
              <w:bottom w:val="single" w:sz="16"/>
            </w:tcBorders>
            <w:vAlign w:val="bottom"/>
          </w:tcPr>
          <w:p>
            <w:pPr>
              <w:jc w:val="left"/>
              <w:keepNext/>
              <w:keepLines/>
              <w:spacing w:before="40" w:after="40" w:line="240" w:lineRule="auto"/>
              <w:rPr/>
            </w:pPr>
            <w:r>
              <w:rPr/>
            </w:r>
          </w:p>
        </w:tc>
        <w:tc>
          <w:tcPr>
            <w:tcW w:type="dxa" w:w="80"/>
            <w:tcMar>
              <w:left w:type="dxa" w:w="0"/>
              <w:right w:type="dxa" w:w="0"/>
            </w:tcMar>
            <w:tcBorders>
              <w:bottom w:val="single" w:sz="16"/>
            </w:tcBorders>
            <w:vAlign w:val="bottom"/>
          </w:tcPr>
          <w:p>
            <w:pPr>
              <w:jc w:val="left"/>
              <w:keepNext/>
              <w:keepLines/>
              <w:spacing w:before="40" w:after="40" w:line="240" w:lineRule="auto"/>
              <w:rPr/>
            </w:pPr>
            <w:r>
              <w:rPr/>
            </w:r>
          </w:p>
        </w:tc>
        <w:tc>
          <w:tcPr>
            <w:tcW w:type="dxa" w:w="1010"/>
            <w:tcMar>
              <w:left w:type="dxa" w:w="60"/>
              <w:right w:type="dxa" w:w="60"/>
            </w:tcMar>
            <w:tcBorders>
              <w:top w:val="single" w:sz="8" w:space="0"/>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Shares</w:t>
            </w:r>
          </w:p>
        </w:tc>
        <w:tc>
          <w:tcPr>
            <w:tcMar>
              <w:left w:type="dxa" w:w="0"/>
              <w:right w:type="dxa" w:w="60"/>
            </w:tcMar>
            <w:tcBorders>
              <w:top w:val="single" w:sz="8" w:space="0"/>
              <w:bottom w:val="single" w:sz="16"/>
            </w:tcBorders>
            <w:hMerge w:val="continue"/>
          </w:tcPr>
          <w:p/>
        </w:tc>
        <w:tc>
          <w:tcPr>
            <w:tcW w:type="dxa" w:w="80"/>
            <w:tcMar>
              <w:left w:type="dxa" w:w="0"/>
              <w:right w:type="dxa" w:w="0"/>
            </w:tcMar>
            <w:tcBorders>
              <w:top w:val="single" w:sz="8" w:space="0"/>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60"/>
              <w:right w:type="dxa" w:w="60"/>
            </w:tcMar>
            <w:tcBorders>
              <w:top w:val="single" w:sz="8" w:space="0"/>
              <w:bottom w:val="single" w:sz="16"/>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0"/>
              <w:right w:type="dxa" w:w="60"/>
            </w:tcMar>
            <w:tcBorders>
              <w:top w:val="single" w:sz="8" w:space="0"/>
              <w:bottom w:val="single" w:sz="16"/>
            </w:tcBorders>
            <w:hMerge w:val="continue"/>
          </w:tcPr>
          <w:p/>
        </w:tc>
        <w:tc>
          <w:tcPr>
            <w:tcW w:type="dxa" w:w="80"/>
            <w:tcMar>
              <w:left w:type="dxa" w:w="0"/>
              <w:right w:type="dxa" w:w="0"/>
            </w:tcMar>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Capital</w:t>
            </w:r>
          </w:p>
        </w:tc>
        <w:tc>
          <w:tcPr>
            <w:tcMar>
              <w:left w:type="dxa" w:w="60"/>
              <w:right w:type="dxa" w:w="60"/>
            </w:tcMar>
            <w:tcBorders>
              <w:bottom w:val="single" w:sz="16"/>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Capital</w:t>
            </w:r>
          </w:p>
        </w:tc>
        <w:tc>
          <w:tcPr>
            <w:tcMar>
              <w:left w:type="dxa" w:w="0"/>
              <w:right w:type="dxa" w:w="60"/>
            </w:tcMar>
            <w:tcBorders>
              <w:bottom w:val="single" w:sz="16"/>
            </w:tcBorders>
            <w:hMerge w:val="continue"/>
          </w:tcPr>
          <w:p/>
        </w:tc>
        <w:tc>
          <w:tcPr>
            <w:tcW w:type="dxa" w:w="80"/>
            <w:tcMar>
              <w:left w:type="dxa" w:w="0"/>
              <w:right w:type="dxa" w:w="0"/>
            </w:tcMar>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Deficit</w:t>
            </w:r>
          </w:p>
        </w:tc>
        <w:tc>
          <w:tcPr>
            <w:tcMar>
              <w:left w:type="dxa" w:w="60"/>
              <w:right w:type="dxa" w:w="60"/>
            </w:tcMar>
            <w:tcBorders>
              <w:bottom w:val="single" w:sz="16"/>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Deficit</w:t>
            </w:r>
          </w:p>
        </w:tc>
        <w:tc>
          <w:tcPr>
            <w:tcMar>
              <w:left w:type="dxa" w:w="0"/>
              <w:right w:type="dxa" w:w="60"/>
            </w:tcMar>
            <w:tcBorders>
              <w:bottom w:val="single" w:sz="16"/>
            </w:tcBorders>
            <w:hMerge w:val="continue"/>
          </w:tcPr>
          <w:p/>
        </w:tc>
        <w:tc>
          <w:tcPr>
            <w:tcW w:type="dxa" w:w="80"/>
            <w:tcMar>
              <w:left w:type="dxa" w:w="0"/>
              <w:right w:type="dxa" w:w="0"/>
            </w:tcMar>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Equity</w:t>
            </w:r>
          </w:p>
        </w:tc>
        <w:tc>
          <w:tcPr>
            <w:tcMar>
              <w:left w:type="dxa" w:w="60"/>
              <w:right w:type="dxa" w:w="60"/>
            </w:tcMar>
            <w:tcBorders>
              <w:bottom w:val="single" w:sz="16"/>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Equity</w:t>
            </w:r>
          </w:p>
        </w:tc>
        <w:tc>
          <w:tcPr>
            <w:tcMar>
              <w:left w:type="dxa" w:w="0"/>
              <w:right w:type="dxa" w:w="60"/>
            </w:tcMar>
            <w:tcBorders>
              <w:bottom w:val="single" w:sz="16"/>
            </w:tcBorders>
            <w:hMerge w:val="continue"/>
          </w:tcPr>
          <w:p/>
        </w:tc>
      </w:tr>
      <w:tr>
        <w:trPr>
          <w:trHeight w:hRule="exact" w:val="260"/>
        </w:trPr>
        <w:tc>
          <w:tcPr>
            <w:tcW w:type="dxa" w:w="430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Balance, December 31, 2018</w:t>
            </w: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010"/>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12,075,708</w:t>
            </w:r>
          </w:p>
        </w:tc>
        <w:tc>
          <w:tcPr>
            <w:tcW w:type="dxa" w:w="70"/>
            <w:tcMar>
              <w:left w:type="dxa" w:w="0"/>
              <w:right w:type="dxa" w:w="0"/>
            </w:tcMar>
            <w:tcBorders>
              <w:top w:val="single" w:sz="8" w:space="0"/>
            </w:tcBorders>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0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650"/>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1,208</w:t>
            </w:r>
          </w:p>
        </w:tc>
        <w:tc>
          <w:tcPr>
            <w:tcW w:type="dxa" w:w="70"/>
            <w:tcMar>
              <w:left w:type="dxa" w:w="0"/>
              <w:right w:type="dxa" w:w="0"/>
            </w:tcMar>
            <w:tcBorders>
              <w:top w:val="single" w:sz="8" w:space="0"/>
            </w:tcBorders>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0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90"/>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60,311,756</w:t>
            </w:r>
          </w:p>
        </w:tc>
        <w:tc>
          <w:tcPr>
            <w:tcW w:type="dxa" w:w="70"/>
            <w:tcMar>
              <w:left w:type="dxa" w:w="0"/>
              <w:right w:type="dxa" w:w="0"/>
            </w:tcMar>
            <w:tcBorders>
              <w:top w:val="single" w:sz="8" w:space="0"/>
            </w:tcBorders>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0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1010"/>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(53,094,649</w:t>
            </w:r>
          </w:p>
        </w:tc>
        <w:tc>
          <w:tcPr>
            <w:tcW w:type="dxa" w:w="7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0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10"/>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7,218,315</w:t>
            </w:r>
          </w:p>
        </w:tc>
        <w:tc>
          <w:tcPr>
            <w:tcW w:type="dxa" w:w="70"/>
            <w:tcMar>
              <w:left w:type="dxa" w:w="0"/>
              <w:right w:type="dxa" w:w="0"/>
            </w:tcMar>
            <w:tcBorders>
              <w:top w:val="single" w:sz="8" w:space="0"/>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Stock issued for payment of acquisition liability</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660,136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1,075,956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1,075,956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1,076,022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1,076,022</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Stock issued for payment of services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22,188</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37,498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37,498</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37,500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37,500</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(2,190</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(2,190</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Stock-based compensation</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54,076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111,691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111,691</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111,696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111,696</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Net loss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16"/>
            </w:tcBorders>
          </w:tcPr>
          <w:p/>
        </w:tc>
        <w:tc>
          <w:tcPr>
            <w:tcW w:type="dxa" w:w="80"/>
            <w:tcMar>
              <w:left w:type="dxa" w:w="60"/>
              <w:right w:type="dxa" w:w="0"/>
            </w:tcMar>
            <w:tcBorders>
              <w:bottom w:val="single" w:sz="16"/>
            </w:tcBorders>
            <w:vAlign w:val="bottom"/>
          </w:tcPr>
          <w:p>
            <w:pPr>
              <w:jc w:val="left"/>
              <w:keepNext/>
              <w:keepLines/>
              <w:spacing w:before="40" w:after="40" w:line="240" w:lineRule="auto"/>
              <w:rPr/>
            </w:pPr>
            <w:r>
              <w:rPr/>
            </w:r>
          </w:p>
        </w:tc>
        <w:tc>
          <w:tcPr>
            <w:tcW w:type="dxa" w:w="750"/>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16"/>
            </w:tcBorders>
          </w:tcPr>
          <w:p/>
        </w:tc>
        <w:tc>
          <w:tcPr>
            <w:tcW w:type="dxa" w:w="80"/>
            <w:tcMar>
              <w:left w:type="dxa" w:w="60"/>
              <w:right w:type="dxa" w:w="0"/>
            </w:tcMar>
            <w:tcBorders>
              <w:bottom w:val="single" w:sz="16"/>
            </w:tcBorders>
            <w:vAlign w:val="bottom"/>
          </w:tcPr>
          <w:p>
            <w:pPr>
              <w:jc w:val="left"/>
              <w:keepNext/>
              <w:keepLines/>
              <w:spacing w:before="40" w:after="40" w:line="240" w:lineRule="auto"/>
              <w:rPr/>
            </w:pPr>
            <w:r>
              <w:rPr/>
            </w:r>
          </w:p>
        </w:tc>
        <w:tc>
          <w:tcPr>
            <w:tcW w:type="dxa" w:w="1090"/>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16"/>
            </w:tcBorders>
          </w:tcPr>
          <w:p/>
        </w:tc>
        <w:tc>
          <w:tcPr>
            <w:tcW w:type="dxa" w:w="80"/>
            <w:tcMar>
              <w:left w:type="dxa" w:w="60"/>
              <w:right w:type="dxa" w:w="0"/>
            </w:tcMar>
            <w:tcBorders>
              <w:bottom w:val="single" w:sz="16"/>
            </w:tcBorders>
            <w:vAlign w:val="bottom"/>
          </w:tcPr>
          <w:p>
            <w:pPr>
              <w:jc w:val="left"/>
              <w:keepNext/>
              <w:keepLines/>
              <w:spacing w:before="40" w:after="40" w:line="240" w:lineRule="auto"/>
              <w:rPr/>
            </w:pPr>
            <w:r>
              <w:rPr/>
            </w:r>
          </w:p>
        </w:tc>
        <w:tc>
          <w:tcPr>
            <w:tcW w:type="dxa" w:w="1110"/>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(1,830,580</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(1,830,580</w:t>
            </w:r>
          </w:p>
        </w:tc>
        <w:tc>
          <w:tcPr>
            <w:tcW w:type="dxa" w:w="70"/>
            <w:tcMar>
              <w:left w:type="dxa" w:w="0"/>
              <w:right w:type="dxa" w:w="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(1,830,580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(1,830,580</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Balance, March 31, 2019</w:t>
            </w:r>
          </w:p>
        </w:tc>
        <w:tc>
          <w:tcPr>
            <w:tcW w:type="dxa" w:w="80"/>
            <w:tcMar>
              <w:left w:type="dxa" w:w="0"/>
              <w:right w:type="dxa" w:w="60"/>
            </w:tcMar>
            <w:tcBorders>
              <w:top w:val="single" w:sz="16" w:space="0"/>
              <w:bottom w:val="double" w:sz="4"/>
            </w:tcBorders>
            <w:vAlign w:val="bottom"/>
          </w:tcPr>
          <w:p>
            <w:pPr>
              <w:jc w:val="left"/>
              <w:keepLines/>
              <w:spacing w:before="40" w:after="40" w:line="240" w:lineRule="auto"/>
              <w:rPr/>
            </w:pPr>
            <w:r>
              <w:rPr/>
            </w:r>
          </w:p>
        </w:tc>
        <w:tc>
          <w:tcPr>
            <w:tcW w:type="dxa" w:w="1010"/>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12,812,108</w:t>
            </w:r>
          </w:p>
        </w:tc>
        <w:tc>
          <w:tcPr>
            <w:tcW w:type="dxa" w:w="70"/>
            <w:tcMar>
              <w:left w:type="dxa" w:w="0"/>
              <w:right w:type="dxa" w:w="0"/>
            </w:tcMar>
            <w:tcBorders>
              <w:top w:val="single" w:sz="16" w:space="0"/>
              <w:bottom w:val="double" w:sz="4"/>
            </w:tcBorders>
          </w:tcPr>
          <w:p/>
        </w:tc>
        <w:tc>
          <w:tcPr>
            <w:tcW w:type="dxa" w:w="80"/>
            <w:tcMar>
              <w:left w:type="dxa" w:w="0"/>
              <w:right w:type="dxa" w:w="60"/>
            </w:tcMar>
            <w:tcBorders>
              <w:top w:val="single" w:sz="16" w:space="0"/>
              <w:bottom w:val="double" w:sz="4"/>
            </w:tcBorders>
            <w:vAlign w:val="bottom"/>
          </w:tcPr>
          <w:p>
            <w:pPr>
              <w:jc w:val="left"/>
              <w:keepLines/>
              <w:spacing w:before="40" w:after="40" w:line="240" w:lineRule="auto"/>
              <w:rPr/>
            </w:pPr>
            <w:r>
              <w:rPr/>
            </w:r>
          </w:p>
        </w:tc>
        <w:tc>
          <w:tcPr>
            <w:tcW w:type="dxa" w:w="100"/>
            <w:tcMar>
              <w:left w:type="dxa" w:w="0"/>
              <w:right w:type="dxa" w:w="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650"/>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1,281</w:t>
            </w:r>
          </w:p>
        </w:tc>
        <w:tc>
          <w:tcPr>
            <w:tcW w:type="dxa" w:w="70"/>
            <w:tcMar>
              <w:left w:type="dxa" w:w="0"/>
              <w:right w:type="dxa" w:w="0"/>
            </w:tcMar>
            <w:tcBorders>
              <w:top w:val="single" w:sz="16" w:space="0"/>
              <w:bottom w:val="double" w:sz="4"/>
            </w:tcBorders>
          </w:tcPr>
          <w:p/>
        </w:tc>
        <w:tc>
          <w:tcPr>
            <w:tcW w:type="dxa" w:w="80"/>
            <w:tcMar>
              <w:left w:type="dxa" w:w="0"/>
              <w:right w:type="dxa" w:w="60"/>
            </w:tcMar>
            <w:tcBorders>
              <w:top w:val="single" w:sz="16" w:space="0"/>
              <w:bottom w:val="double" w:sz="4"/>
            </w:tcBorders>
            <w:vAlign w:val="bottom"/>
          </w:tcPr>
          <w:p>
            <w:pPr>
              <w:jc w:val="left"/>
              <w:keepLines/>
              <w:spacing w:before="40" w:after="40" w:line="240" w:lineRule="auto"/>
              <w:rPr/>
            </w:pPr>
            <w:r>
              <w:rPr/>
            </w:r>
          </w:p>
        </w:tc>
        <w:tc>
          <w:tcPr>
            <w:tcW w:type="dxa" w:w="100"/>
            <w:tcMar>
              <w:left w:type="dxa" w:w="0"/>
              <w:right w:type="dxa" w:w="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90"/>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61,534,711</w:t>
            </w:r>
          </w:p>
        </w:tc>
        <w:tc>
          <w:tcPr>
            <w:tcW w:type="dxa" w:w="70"/>
            <w:tcMar>
              <w:left w:type="dxa" w:w="0"/>
              <w:right w:type="dxa" w:w="0"/>
            </w:tcMar>
            <w:tcBorders>
              <w:top w:val="single" w:sz="16" w:space="0"/>
              <w:bottom w:val="double" w:sz="4"/>
            </w:tcBorders>
          </w:tcPr>
          <w:p/>
        </w:tc>
        <w:tc>
          <w:tcPr>
            <w:tcW w:type="dxa" w:w="80"/>
            <w:tcMar>
              <w:left w:type="dxa" w:w="0"/>
              <w:right w:type="dxa" w:w="60"/>
            </w:tcMar>
            <w:tcBorders>
              <w:top w:val="single" w:sz="16" w:space="0"/>
              <w:bottom w:val="double" w:sz="4"/>
            </w:tcBorders>
            <w:vAlign w:val="bottom"/>
          </w:tcPr>
          <w:p>
            <w:pPr>
              <w:jc w:val="left"/>
              <w:keepLines/>
              <w:spacing w:before="40" w:after="40" w:line="240" w:lineRule="auto"/>
              <w:rPr/>
            </w:pPr>
            <w:r>
              <w:rPr/>
            </w:r>
          </w:p>
        </w:tc>
        <w:tc>
          <w:tcPr>
            <w:tcW w:type="dxa" w:w="100"/>
            <w:tcMar>
              <w:left w:type="dxa" w:w="0"/>
              <w:right w:type="dxa" w:w="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1010"/>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(54,925,229</w:t>
            </w:r>
          </w:p>
        </w:tc>
        <w:tc>
          <w:tcPr>
            <w:tcW w:type="dxa" w:w="70"/>
            <w:tcMar>
              <w:left w:type="dxa" w:w="0"/>
              <w:right w:type="dxa" w:w="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0"/>
              <w:right w:type="dxa" w:w="60"/>
            </w:tcMar>
            <w:tcBorders>
              <w:top w:val="single" w:sz="16" w:space="0"/>
              <w:bottom w:val="double" w:sz="4"/>
            </w:tcBorders>
            <w:vAlign w:val="bottom"/>
          </w:tcPr>
          <w:p>
            <w:pPr>
              <w:jc w:val="left"/>
              <w:keepLines/>
              <w:spacing w:before="40" w:after="40" w:line="240" w:lineRule="auto"/>
              <w:rPr/>
            </w:pPr>
            <w:r>
              <w:rPr/>
            </w:r>
          </w:p>
        </w:tc>
        <w:tc>
          <w:tcPr>
            <w:tcW w:type="dxa" w:w="100"/>
            <w:tcMar>
              <w:left w:type="dxa" w:w="0"/>
              <w:right w:type="dxa" w:w="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10"/>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6,610,763</w:t>
            </w:r>
          </w:p>
        </w:tc>
        <w:tc>
          <w:tcPr>
            <w:tcW w:type="dxa" w:w="70"/>
            <w:tcMar>
              <w:left w:type="dxa" w:w="0"/>
              <w:right w:type="dxa" w:w="0"/>
            </w:tcMar>
            <w:tcBorders>
              <w:top w:val="single" w:sz="16" w:space="0"/>
              <w:bottom w:val="double" w:sz="4"/>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8" w:type="default"/>
        </w:sectPr>
      </w:pPr>
    </w:p>
    <w:p>
      <w:pPr>
        <w:tabs>
          <w:tab w:val="left" w:pos="7920"/>
        </w:tabs>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28368" w:name="Consolidated_Statements_of_Cash_Flows"/>
      <w:bookmarkEnd w:id="28368"/>
    </w:p>
    <w:p>
      <w:pPr>
        <w:jc w:val="center"/>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Unaudited Consolidated Statements of Cash Flows</w:t>
      </w:r>
    </w:p>
    <w:tbl>
      <w:tblPr>
        <w:tblW w:type="dxa" w:w="10240"/>
        <w:tblLayout w:type="fixed"/>
        <w:jc w:val="center"/>
      </w:tblPr>
      <w:tblGrid>
        <w:gridCol w:w="7760"/>
        <w:gridCol w:w="105"/>
        <w:gridCol w:w="1021"/>
        <w:gridCol w:w="74"/>
        <w:gridCol w:w="80"/>
        <w:gridCol w:w="105"/>
        <w:gridCol w:w="1021"/>
        <w:gridCol w:w="74"/>
      </w:tblGrid>
      <w:tr>
        <w:trPr>
          <w:trHeight w:hRule="exact" w:val="4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40"/>
        </w:trPr>
        <w:tc>
          <w:tcPr>
            <w:tcW w:type="dxa" w:w="7760"/>
            <w:tcMar>
              <w:left w:type="dxa" w:w="60"/>
              <w:right w:type="dxa" w:w="0"/>
            </w:tcMar>
            <w:hMerge w:val="restart"/>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30" w:after="3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2019</w:t>
            </w:r>
          </w:p>
        </w:tc>
        <w:tc>
          <w:tcPr>
            <w:tcMar>
              <w:left w:type="dxa" w:w="60"/>
              <w:right w:type="dxa" w:w="60"/>
            </w:tcMar>
            <w:tcBorders>
              <w:top w:val="single" w:sz="8" w:space="0"/>
              <w:bottom w:val="single" w:sz="16"/>
            </w:tcBorders>
            <w:hMerge w:val="continue"/>
          </w:tcPr>
          <w:p>
            <w:pPr>
              <w:jc w:val="center"/>
              <w:keepNext/>
              <w:keepLines/>
              <w:spacing w:before="30" w:after="3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2019</w:t>
            </w:r>
          </w:p>
        </w:tc>
        <w:tc>
          <w:tcPr>
            <w:tcMar>
              <w:left w:type="dxa" w:w="0"/>
              <w:right w:type="dxa" w:w="60"/>
            </w:tcMar>
            <w:tcBorders>
              <w:top w:val="single" w:sz="8" w:space="0"/>
              <w:bottom w:val="single" w:sz="16"/>
            </w:tcBorders>
            <w:hMerge w:val="continue"/>
          </w:tcPr>
          <w:p/>
        </w:tc>
        <w:tc>
          <w:tcPr>
            <w:tcW w:type="dxa" w:w="80"/>
            <w:tcMar>
              <w:left w:type="dxa" w:w="60"/>
              <w:right w:type="dxa" w:w="0"/>
            </w:tcMar>
            <w:tcBorders>
              <w:top w:val="single" w:sz="8" w:space="0"/>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30" w:after="3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2018</w:t>
            </w:r>
          </w:p>
        </w:tc>
        <w:tc>
          <w:tcPr>
            <w:tcMar>
              <w:left w:type="dxa" w:w="60"/>
              <w:right w:type="dxa" w:w="60"/>
            </w:tcMar>
            <w:tcBorders>
              <w:top w:val="single" w:sz="8" w:space="0"/>
              <w:bottom w:val="single" w:sz="16"/>
            </w:tcBorders>
            <w:hMerge w:val="continue"/>
          </w:tcPr>
          <w:p>
            <w:pPr>
              <w:jc w:val="center"/>
              <w:keepNext/>
              <w:keepLines/>
              <w:spacing w:before="30" w:after="3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2018</w:t>
            </w:r>
          </w:p>
        </w:tc>
        <w:tc>
          <w:tcPr>
            <w:tcMar>
              <w:left w:type="dxa" w:w="0"/>
              <w:right w:type="dxa" w:w="60"/>
            </w:tcMar>
            <w:tcBorders>
              <w:top w:val="single" w:sz="8" w:space="0"/>
              <w:bottom w:val="single" w:sz="16"/>
            </w:tcBorders>
            <w:hMerge w:val="continue"/>
          </w:tcPr>
          <w:p/>
        </w:tc>
      </w:tr>
      <w:tr>
        <w:trPr>
          <w:trHeight w:hRule="exact" w:val="28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flows from operating activities: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loss</w:t>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(1,830,580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(2,045,120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Adjustments to reconcile net loss to net cash provided by / (used for) operating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Depreciation and amortization</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38,477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38,477</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56,038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56,038</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Amortization of software development costs and other intangible assets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397,748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397,748</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209,417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209,417</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Loss on disposal of equipment</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(515</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853</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Change in provision for losses on accounts receivable</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(29,940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(29,940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Stock-based compensation</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151,214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151,214</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146,281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146,281</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Fair value of stock issued for payment of services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37,498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37,498</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28,671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28,671</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Decrease in fair value of contingent acquisition costs payable</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(304,163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(304,163</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Loss on settlement of acquisition costs payable</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191,439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191,439</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4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Change in fair value of derivatives, net</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125,595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125,595</w:t>
            </w:r>
          </w:p>
        </w:tc>
        <w:tc>
          <w:tcPr>
            <w:tcW w:type="dxa" w:w="74"/>
            <w:tcMar>
              <w:left w:type="dxa" w:w="0"/>
              <w:right w:type="dxa" w:w="0"/>
            </w:tcMar>
            <w:tcBorders/>
          </w:tcP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Changes in operating assets and liabilities, net of effects of business acquired:</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Accounts receivable</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1,035,594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1,035,594</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358,449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358,449</w:t>
            </w:r>
          </w:p>
        </w:tc>
        <w:tc>
          <w:tcPr>
            <w:tcW w:type="dxa" w:w="74"/>
            <w:tcMar>
              <w:left w:type="dxa" w:w="0"/>
              <w:right w:type="dxa" w:w="0"/>
            </w:tcMar>
            <w:tcBorders/>
          </w:tcPr>
          <w:p/>
        </w:tc>
      </w:tr>
      <w:tr>
        <w:trPr>
          <w:trHeight w:hRule="exact" w:val="24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Prepaid expenses and other current assets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133,593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133,593</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(67,050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(67,050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4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Accounts payable</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(369,100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(369,100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(496,310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(496,310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4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Accrued expenses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655,823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655,823</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35,665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35,665</w:t>
            </w:r>
          </w:p>
        </w:tc>
        <w:tc>
          <w:tcPr>
            <w:tcW w:type="dxa" w:w="74"/>
            <w:tcMar>
              <w:left w:type="dxa" w:w="0"/>
              <w:right w:type="dxa" w:w="0"/>
            </w:tcMar>
            <w:tcBorders/>
          </w:tcPr>
          <w:p/>
        </w:tc>
      </w:tr>
      <w:tr>
        <w:trPr>
          <w:trHeight w:hRule="exact" w:val="24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Contract liabilities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506,974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506,974</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845,505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845,505</w:t>
            </w:r>
          </w:p>
        </w:tc>
        <w:tc>
          <w:tcPr>
            <w:tcW w:type="dxa" w:w="74"/>
            <w:tcMar>
              <w:left w:type="dxa" w:w="0"/>
              <w:right w:type="dxa" w:w="0"/>
            </w:tcMar>
            <w:tcBorders/>
          </w:tcPr>
          <w:p/>
        </w:tc>
      </w:tr>
      <w:tr>
        <w:trPr>
          <w:trHeight w:hRule="exact" w:val="24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Right of use asset, net</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(33,026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(33,026</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40"/>
        </w:trPr>
        <w:tc>
          <w:tcPr>
            <w:tcW w:type="dxa" w:w="7760"/>
            <w:tcMar>
              <w:left w:type="dxa" w:w="54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Deferred rent</w:t>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bottom w:val="single" w:sz="16"/>
            </w:tcBorders>
          </w:tcPr>
          <w:p/>
        </w:tc>
        <w:tc>
          <w:tcPr>
            <w:tcW w:type="dxa" w:w="80"/>
            <w:tcMar>
              <w:left w:type="dxa" w:w="0"/>
              <w:right w:type="dxa" w:w="60"/>
            </w:tcMar>
            <w:tcBorders>
              <w:bottom w:val="single" w:sz="16"/>
            </w:tcBorders>
            <w:vAlign w:val="bottom"/>
          </w:tcPr>
          <w:p>
            <w:pPr>
              <w:jc w:val="left"/>
              <w:keepNext/>
              <w:keepLines/>
              <w:spacing w:before="40" w:after="40" w:line="240" w:lineRule="auto"/>
              <w:rPr/>
            </w:pPr>
            <w:r>
              <w:rPr/>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(11,119</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(11,119</w:t>
            </w:r>
          </w:p>
        </w:tc>
        <w:tc>
          <w:tcPr>
            <w:tcW w:type="dxa" w:w="74"/>
            <w:tcMar>
              <w:left w:type="dxa" w:w="0"/>
              <w:right w:type="dxa" w:w="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80"/>
        </w:trPr>
        <w:tc>
          <w:tcPr>
            <w:tcW w:type="dxa" w:w="776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cash provided by / (used for) operating activities</w:t>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885,199</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885,199</w:t>
            </w:r>
          </w:p>
        </w:tc>
        <w:tc>
          <w:tcPr>
            <w:tcW w:type="dxa" w:w="74"/>
            <w:tcMar>
              <w:left w:type="dxa" w:w="0"/>
              <w:right w:type="dxa" w:w="0"/>
            </w:tcMar>
            <w:tcBorders>
              <w:bottom w:val="single" w:sz="16"/>
            </w:tcBorders>
          </w:tcPr>
          <w:p/>
        </w:tc>
        <w:tc>
          <w:tcPr>
            <w:tcW w:type="dxa" w:w="80"/>
            <w:tcMar>
              <w:left w:type="dxa" w:w="0"/>
              <w:right w:type="dxa" w:w="60"/>
            </w:tcMar>
            <w:tcBorders>
              <w:bottom w:val="single" w:sz="16"/>
            </w:tcBorders>
            <w:vAlign w:val="bottom"/>
          </w:tcPr>
          <w:p>
            <w:pPr>
              <w:jc w:val="left"/>
              <w:keepNext/>
              <w:keepLines/>
              <w:spacing w:before="40" w:after="40" w:line="240" w:lineRule="auto"/>
              <w:rPr/>
            </w:pPr>
            <w:r>
              <w:rPr/>
            </w:r>
          </w:p>
        </w:tc>
        <w:tc>
          <w:tcPr>
            <w:tcW w:type="dxa" w:w="1126"/>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(1,117,288</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(1,117,288</w:t>
            </w:r>
          </w:p>
        </w:tc>
        <w:tc>
          <w:tcPr>
            <w:tcW w:type="dxa" w:w="74"/>
            <w:tcMar>
              <w:left w:type="dxa" w:w="0"/>
              <w:right w:type="dxa" w:w="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18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flows from investing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Purchase of equipment</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(2,383</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(140,193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(140,193</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Software development costs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(346,789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(346,789</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(119,352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(119,352</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Security deposits</w:t>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2,987</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2,987</w:t>
            </w:r>
          </w:p>
        </w:tc>
        <w:tc>
          <w:tcPr>
            <w:tcW w:type="dxa" w:w="74"/>
            <w:tcMar>
              <w:left w:type="dxa" w:w="0"/>
              <w:right w:type="dxa" w:w="0"/>
            </w:tcMar>
            <w:tcBorders>
              <w:bottom w:val="single" w:sz="16"/>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308</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308</w:t>
            </w:r>
          </w:p>
        </w:tc>
        <w:tc>
          <w:tcPr>
            <w:tcW w:type="dxa" w:w="74"/>
            <w:tcMar>
              <w:left w:type="dxa" w:w="0"/>
              <w:right w:type="dxa" w:w="0"/>
            </w:tcMar>
            <w:tcBorders>
              <w:bottom w:val="single" w:sz="16"/>
            </w:tcBorders>
          </w:tcPr>
          <w:p/>
        </w:tc>
      </w:tr>
      <w:tr>
        <w:trPr>
          <w:trHeight w:hRule="exact" w:val="280"/>
        </w:trPr>
        <w:tc>
          <w:tcPr>
            <w:tcW w:type="dxa" w:w="7760"/>
            <w:tcMar>
              <w:left w:type="dxa" w:w="60"/>
              <w:right w:type="dxa" w:w="4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cash used for investing activities</w:t>
            </w:r>
          </w:p>
        </w:tc>
        <w:tc>
          <w:tcPr>
            <w:tcW w:type="dxa" w:w="1126"/>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(346,185</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(346,185</w:t>
            </w:r>
          </w:p>
        </w:tc>
        <w:tc>
          <w:tcPr>
            <w:tcW w:type="dxa" w:w="74"/>
            <w:tcMar>
              <w:left w:type="dxa" w:w="0"/>
              <w:right w:type="dxa" w:w="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top w:val="single" w:sz="16" w:space="0"/>
              <w:bottom w:val="single" w:sz="16"/>
            </w:tcBorders>
            <w:vAlign w:val="bottom"/>
          </w:tcPr>
          <w:p>
            <w:pPr>
              <w:jc w:val="left"/>
              <w:keepNext/>
              <w:keepLines/>
              <w:spacing w:before="40" w:after="40" w:line="240" w:lineRule="auto"/>
              <w:rPr/>
            </w:pPr>
            <w:r>
              <w:rPr/>
            </w:r>
          </w:p>
        </w:tc>
        <w:tc>
          <w:tcPr>
            <w:tcW w:type="dxa" w:w="1126"/>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(259,237</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(259,237</w:t>
            </w:r>
          </w:p>
        </w:tc>
        <w:tc>
          <w:tcPr>
            <w:tcW w:type="dxa" w:w="74"/>
            <w:tcMar>
              <w:left w:type="dxa" w:w="0"/>
              <w:right w:type="dxa" w:w="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18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flows from financing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Proceeds from line of credit, net of repayments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(190,041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(190,041</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230,629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230,629</w:t>
            </w:r>
          </w:p>
        </w:tc>
        <w:tc>
          <w:tcPr>
            <w:tcW w:type="dxa" w:w="74"/>
            <w:tcMar>
              <w:left w:type="dxa" w:w="0"/>
              <w:right w:type="dxa" w:w="0"/>
            </w:tcMar>
            <w:tcBorders/>
          </w:tcP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Stock issuance costs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(2,190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(2,190</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(616</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80"/>
        </w:trPr>
        <w:tc>
          <w:tcPr>
            <w:tcW w:type="dxa" w:w="7760"/>
            <w:tcMar>
              <w:left w:type="dxa" w:w="60"/>
              <w:right w:type="dxa" w:w="4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cash provided by / (used in) financing activities</w:t>
            </w:r>
          </w:p>
        </w:tc>
        <w:tc>
          <w:tcPr>
            <w:tcW w:type="dxa" w:w="1126"/>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(192,231</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(192,231</w:t>
            </w:r>
          </w:p>
        </w:tc>
        <w:tc>
          <w:tcPr>
            <w:tcW w:type="dxa" w:w="74"/>
            <w:tcMar>
              <w:left w:type="dxa" w:w="0"/>
              <w:right w:type="dxa" w:w="0"/>
            </w:tcMar>
            <w:tcBorders>
              <w:top w:val="single" w:sz="16" w:space="0"/>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80"/>
            <w:tcMar>
              <w:left w:type="dxa" w:w="0"/>
              <w:right w:type="dxa" w:w="60"/>
            </w:tcMar>
            <w:tcBorders>
              <w:top w:val="single" w:sz="16" w:space="0"/>
              <w:bottom w:val="single" w:sz="16"/>
            </w:tcBorders>
            <w:vAlign w:val="bottom"/>
          </w:tcPr>
          <w:p>
            <w:pPr>
              <w:jc w:val="left"/>
              <w:keepNext/>
              <w:keepLines/>
              <w:spacing w:before="40" w:after="40" w:line="240" w:lineRule="auto"/>
              <w:rPr/>
            </w:pPr>
            <w:r>
              <w:rPr/>
            </w:r>
          </w:p>
        </w:tc>
        <w:tc>
          <w:tcPr>
            <w:tcW w:type="dxa" w:w="1126"/>
            <w:tcMar>
              <w:left w:type="dxa" w:w="0"/>
              <w:right w:type="dxa" w:w="0"/>
            </w:tcMar>
            <w:tcBorders>
              <w:top w:val="single" w:sz="16" w:space="0"/>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230,013</w:t>
            </w:r>
          </w:p>
        </w:tc>
        <w:tc>
          <w:tcPr>
            <w:tcMar>
              <w:left w:type="dxa" w:w="0"/>
              <w:right w:type="dxa" w:w="0"/>
            </w:tcMar>
            <w:tcBorders>
              <w:top w:val="single" w:sz="16" w:space="0"/>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230,013</w:t>
            </w:r>
          </w:p>
        </w:tc>
        <w:tc>
          <w:tcPr>
            <w:tcW w:type="dxa" w:w="74"/>
            <w:tcMar>
              <w:left w:type="dxa" w:w="0"/>
              <w:right w:type="dxa" w:w="0"/>
            </w:tcMar>
            <w:tcBorders>
              <w:top w:val="single" w:sz="16" w:space="0"/>
              <w:bottom w:val="single" w:sz="16"/>
            </w:tcBorders>
          </w:tcPr>
          <w:p/>
        </w:tc>
      </w:tr>
      <w:tr>
        <w:trPr>
          <w:trHeight w:hRule="exact" w:val="18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Net increase / (decrease) in cash and cash equivalents</w:t>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346,783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346,783</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(1,146,512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(1,146,512</w:t>
            </w:r>
          </w:p>
        </w:tc>
        <w:tc>
          <w:tcPr>
            <w:tcW w:type="dxa" w:w="7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r>
      <w:tr>
        <w:trPr>
          <w:trHeight w:hRule="exact" w:val="280"/>
        </w:trPr>
        <w:tc>
          <w:tcPr>
            <w:tcW w:type="dxa" w:w="776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and cash equivalents, beginning of year</w:t>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1,968,403</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1,968,403</w:t>
            </w:r>
          </w:p>
        </w:tc>
        <w:tc>
          <w:tcPr>
            <w:tcW w:type="dxa" w:w="74"/>
            <w:tcMar>
              <w:left w:type="dxa" w:w="0"/>
              <w:right w:type="dxa" w:w="0"/>
            </w:tcMar>
            <w:tcBorders>
              <w:bottom w:val="single" w:sz="16"/>
            </w:tcBorders>
          </w:tcPr>
          <w:p/>
        </w:tc>
        <w:tc>
          <w:tcPr>
            <w:tcW w:type="dxa" w:w="80"/>
            <w:tcMar>
              <w:left w:type="dxa" w:w="0"/>
              <w:right w:type="dxa" w:w="60"/>
            </w:tcMar>
            <w:tcBorders>
              <w:bottom w:val="single" w:sz="16"/>
            </w:tcBorders>
            <w:vAlign w:val="bottom"/>
          </w:tcPr>
          <w:p>
            <w:pPr>
              <w:jc w:val="left"/>
              <w:keepNext/>
              <w:keepLines/>
              <w:spacing w:before="40" w:after="40" w:line="240" w:lineRule="auto"/>
              <w:rPr/>
            </w:pPr>
            <w:r>
              <w:rPr/>
            </w:r>
          </w:p>
        </w:tc>
        <w:tc>
          <w:tcPr>
            <w:tcW w:type="dxa" w:w="1126"/>
            <w:tcMar>
              <w:left w:type="dxa" w:w="0"/>
              <w:right w:type="dxa" w:w="0"/>
            </w:tcMar>
            <w:tcBorders>
              <w:bottom w:val="single" w:sz="16"/>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3,906,797</w:t>
            </w:r>
          </w:p>
        </w:tc>
        <w:tc>
          <w:tcPr>
            <w:tcMar>
              <w:left w:type="dxa" w:w="0"/>
              <w:right w:type="dxa" w:w="0"/>
            </w:tcMar>
            <w:tcBorders>
              <w:bottom w:val="single" w:sz="16"/>
            </w:tcBorders>
            <w:vAlign w:val="bottom"/>
            <w:hMerge w:val="continue"/>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3,906,797</w:t>
            </w:r>
          </w:p>
        </w:tc>
        <w:tc>
          <w:tcPr>
            <w:tcW w:type="dxa" w:w="74"/>
            <w:tcMar>
              <w:left w:type="dxa" w:w="0"/>
              <w:right w:type="dxa" w:w="0"/>
            </w:tcMar>
            <w:tcBorders>
              <w:bottom w:val="single" w:sz="16"/>
            </w:tcBorders>
          </w:tcPr>
          <w:p/>
        </w:tc>
      </w:tr>
      <w:tr>
        <w:trPr>
          <w:trHeight w:hRule="exact" w:val="100"/>
        </w:trPr>
        <w:tc>
          <w:tcPr>
            <w:tcW w:type="dxa" w:w="7760"/>
            <w:tcMar>
              <w:left w:type="dxa" w:w="60"/>
              <w:right w:type="dxa" w:w="0"/>
            </w:tcMar>
            <w:tcBorders/>
            <w:vAlign w:val="bottom"/>
          </w:tcPr>
          <w:p>
            <w:pPr>
              <w:jc w:val="left"/>
              <w:keepNext/>
              <w:keepLines/>
              <w:spacing w:line="240" w:lineRule="auto"/>
              <w:rPr/>
            </w:pPr>
            <w:r>
              <w:rPr/>
            </w:r>
          </w:p>
        </w:tc>
        <w:tc>
          <w:tcPr>
            <w:tcW w:type="dxa" w:w="0"/>
            <w:tcMar>
              <w:left w:type="dxa" w:w="0"/>
              <w:right w:type="dxa" w:w="60"/>
            </w:tcMar>
            <w:tcBorders/>
            <w:vAlign w:val="bottom"/>
            <w:hMerge w:val="restart"/>
          </w:tcPr>
          <w:p>
            <w:pPr>
              <w:jc w:val="left"/>
              <w:keepNext/>
              <w:keepLines/>
              <w:spacing w:line="240" w:lineRule="auto"/>
              <w:rPr/>
            </w:pPr>
            <w:r>
              <w:rPr/>
            </w:r>
          </w:p>
        </w:tc>
        <w:tc>
          <w:tcPr>
            <w:tcMar>
              <w:left w:type="dxa" w:w="0"/>
              <w:right w:type="dxa" w:w="60"/>
            </w:tcMar>
            <w:tcBorders/>
            <w:hMerge w:val="continue"/>
          </w:tcPr>
          <w:p>
            <w:pPr>
              <w:jc w:val="left"/>
              <w:keepNext/>
              <w:keepLines/>
              <w:spacing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line="240" w:lineRule="auto"/>
              <w:rPr/>
            </w:pPr>
            <w:r>
              <w:rPr/>
            </w:r>
          </w:p>
        </w:tc>
        <w:tc>
          <w:tcPr>
            <w:tcW w:type="dxa" w:w="0"/>
            <w:tcMar>
              <w:left w:type="dxa" w:w="0"/>
              <w:right w:type="dxa" w:w="60"/>
            </w:tcMar>
            <w:tcBorders/>
            <w:vAlign w:val="bottom"/>
            <w:hMerge w:val="restart"/>
          </w:tcPr>
          <w:p>
            <w:pPr>
              <w:jc w:val="left"/>
              <w:keepNext/>
              <w:keepLines/>
              <w:spacing w:line="240" w:lineRule="auto"/>
              <w:rPr/>
            </w:pPr>
            <w:r>
              <w:rPr/>
            </w:r>
          </w:p>
        </w:tc>
        <w:tc>
          <w:tcPr>
            <w:tcMar>
              <w:left w:type="dxa" w:w="0"/>
              <w:right w:type="dxa" w:w="60"/>
            </w:tcMar>
            <w:tcBorders/>
            <w:hMerge w:val="continue"/>
          </w:tcPr>
          <w:p>
            <w:pPr>
              <w:jc w:val="left"/>
              <w:keepNext/>
              <w:keepLines/>
              <w:spacing w:line="240" w:lineRule="auto"/>
              <w:rPr/>
            </w:pPr>
            <w:r>
              <w:rPr/>
            </w:r>
          </w:p>
        </w:tc>
        <w:tc>
          <w:tcPr>
            <w:tcMar>
              <w:left w:type="dxa" w:w="0"/>
              <w:right w:type="dxa" w:w="60"/>
            </w:tcMar>
            <w:tcBorders/>
            <w:hMerge w:val="continue"/>
          </w:tcPr>
          <w:p/>
        </w:tc>
      </w:tr>
      <w:tr>
        <w:trPr>
          <w:trHeight w:hRule="exact" w:val="280"/>
        </w:trPr>
        <w:tc>
          <w:tcPr>
            <w:tcW w:type="dxa" w:w="776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and cash equivalents, end of period</w:t>
            </w:r>
          </w:p>
        </w:tc>
        <w:tc>
          <w:tcPr>
            <w:tcW w:type="dxa" w:w="105"/>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2,315,186</w:t>
            </w:r>
          </w:p>
        </w:tc>
        <w:tc>
          <w:tcPr>
            <w:tcW w:type="dxa" w:w="74"/>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05"/>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2,760,285</w:t>
            </w:r>
          </w:p>
        </w:tc>
        <w:tc>
          <w:tcPr>
            <w:tcW w:type="dxa" w:w="74"/>
            <w:tcMar>
              <w:left w:type="dxa" w:w="0"/>
              <w:right w:type="dxa" w:w="0"/>
            </w:tcMar>
            <w:tcBorders>
              <w:bottom w:val="double" w:sz="4"/>
            </w:tcBorders>
          </w:tcPr>
          <w:p/>
        </w:tc>
      </w:tr>
      <w:tr>
        <w:trPr>
          <w:trHeight w:hRule="exact" w:val="18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u w:val="single" w:color="000000"/>
              </w:rPr>
              <w:t xml:space="preserve">Supplemental cash flow information:</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Cash paid for interest</w:t>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125,194</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6,939</w:t>
            </w:r>
          </w:p>
        </w:tc>
        <w:tc>
          <w:tcPr>
            <w:tcW w:type="dxa" w:w="74"/>
            <w:tcMar>
              <w:left w:type="dxa" w:w="0"/>
              <w:right w:type="dxa" w:w="0"/>
            </w:tcMar>
            <w:tcBorders/>
          </w:tcPr>
          <w:p/>
        </w:tc>
      </w:tr>
      <w:tr>
        <w:trPr>
          <w:trHeight w:hRule="exact" w:val="10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u w:val="single" w:color="000000"/>
              </w:rPr>
              <w:t xml:space="preserve">Non-cash financing and investing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4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Common stock issued for payment of acquisition liability</w:t>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1,076,022</w:t>
            </w:r>
          </w:p>
        </w:tc>
        <w:tc>
          <w:tcPr>
            <w:tcW w:type="dxa" w:w="74"/>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05"/>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74"/>
            <w:tcMar>
              <w:left w:type="dxa" w:w="0"/>
              <w:right w:type="dxa" w:w="0"/>
            </w:tcMar>
            <w:tcBorders/>
          </w:tcPr>
          <w:p/>
        </w:tc>
      </w:tr>
      <w:tr>
        <w:trPr>
          <w:trHeight w:hRule="exact" w:val="240"/>
        </w:trPr>
        <w:tc>
          <w:tcPr>
            <w:tcW w:type="dxa" w:w="7760"/>
            <w:tcMar>
              <w:left w:type="dxa" w:w="180"/>
              <w:right w:type="dxa" w:w="40"/>
            </w:tcMar>
            <w:tcBorders/>
            <w:vAlign w:val="bottom"/>
          </w:tcPr>
          <w:p>
            <w:pPr>
              <w:jc w:val="lef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Fair value of common stock issued for future services, net</w:t>
            </w:r>
          </w:p>
        </w:tc>
        <w:tc>
          <w:tcPr>
            <w:tcW w:type="dxa" w:w="105"/>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150,000</w:t>
            </w:r>
          </w:p>
        </w:tc>
        <w:tc>
          <w:tcPr>
            <w:tcW w:type="dxa" w:w="74"/>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05"/>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w:t>
            </w:r>
          </w:p>
        </w:tc>
        <w:tc>
          <w:tcPr>
            <w:tcW w:type="dxa" w:w="1021"/>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19"/>
              </w:rPr>
            </w:pPr>
            <w:r>
              <w:rPr>
                <w:rFonts w:ascii="Times New Roman" w:hAnsi="Times New Roman" w:eastAsia="Times New Roman" w:cs="Times New Roman"/>
                <w:sz w:val="19"/>
                <w:color w:val="000000"/>
              </w:rPr>
              <w:t xml:space="preserve">428,600</w:t>
            </w:r>
          </w:p>
        </w:tc>
        <w:tc>
          <w:tcPr>
            <w:tcW w:type="dxa" w:w="74"/>
            <w:tcMar>
              <w:left w:type="dxa" w:w="0"/>
              <w:right w:type="dxa" w:w="0"/>
            </w:tcMar>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9" w:type="default"/>
        </w:sectPr>
      </w:pP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bookmarkStart w:id="41349" w:name="Notes_to_the_Consolidated_Financial_Stat"/>
      <w:bookmarkEnd w:id="41349"/>
    </w:p>
    <w:p>
      <w:pPr>
        <w:sectPr>
          <w:pgNumType w:fmt="decimal" w:chapSep="period"/>
          <w:pgSz w:w="12240" w:h="15840"/>
          <w:pgMar w:top="1080" w:left="1000" w:right="1000" w:bottom="860" w:footer="460" w:gutter="0" w:header="160"/>
          <w:headerReference r:id="rId10" w:type="default"/>
          <w:footerReference r:id="rId11" w:type="default"/>
        </w:sectPr>
      </w:pPr>
    </w:p>
    <w:p>
      <w:pPr>
        <w:tabs>
          <w:tab w:val="left" w:pos="144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	COMPANY AND SUMMARY OF SIGNIFICANT ACCOUNTING POLICIES</w:t>
      </w:r>
      <w:bookmarkStart w:id="54305" w:name="NOTE_1___Company_and_Summary_Of_Signific"/>
      <w:bookmarkEnd w:id="54305"/>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Nature of Business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 (together with its wholly-owned subsidiaries, “we,” “us,” “our,” “IZEA” or the “Company”) is a public company incorporated in the state of Nevada. In January 2015, IZEA purchased all of the outstanding shares of capital stock of Ebyline, Inc. (“Ebyline”). In July 2016, IZEA purchased all the outstanding shares of capital stock of ZenContent, Inc. (“ZenContent”). The legal entity of ZenContent was dissolved in December 2017 after all assets and transactions were transferred to IZEA. On March 9, 2016, the Company formed IZEA Canada, Inc., a wholly-owned subsidiary, incorporated in Ontario, Canada to operate as a sales and support office for IZEA's Canadian customers. On July 26, 2018, the Company merged with TapInfluence, Inc. ("TapInfluence") pursuant to the terms of an Agreement and Plan of Merger dated as of July 11, 2018, and amended July 20, 2018.</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creates and operates online marketplaces that connect marketers with content creators. The creators are compensated for producing and distributing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primary technology platform, The IZEA Exchange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In addition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the Company operates the Ebyline and TapInfluence technology platforms. The Ebyline platform was originally designed as a self-service content marketplace to replace editorial newsrooms in the news agencies with a “virtual newsroom” to handle their content workflow. The TapInfluence platform performs in a similar manner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is being utilized by the majority of its customers as a self-service platform via a licensing arrangement, allowing access to the platform and its creators for self-managed marketing campaigns.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Unaudited Interim Financial Information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accompanying consolidated balance sheet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consolidated statements of operations for the three months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consolidated statements of stockholders' equity for the three months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and the consolidated statements of cash flows for the three months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has been derived from the audited consolidated financial statements at that date but, in accordance with the rules and regulations of the Securities and Exchange Commission ("SEC"), does not include all of the information and notes required by GAAP for complete financial statements. Operating results for the three months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are not necessarily indicative of results that may be expected for the entire fiscal year. These unaudited consolidated financial statements should be read in conjunction with the consolidated financial statements and notes thereto for the fiscal year ended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included in the Company's Annual Report on Form 10-K filed with the SEC on March 28,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Liquidity and Going Concern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financial statements are prepared using GAAP applicable to a going concern, which contemplates the realization of assets and liquidation of liabilities in the normal course of business. The Company has incurred significant net losses and negative cash flow from operations for most periods since its inception, which has resulted in a total accumulated deficit of </w:t>
      </w:r>
      <w:r>
        <w:rPr>
          <w:rFonts w:ascii="Times New Roman" w:hAnsi="Times New Roman" w:eastAsia="Times New Roman" w:cs="Times New Roman"/>
          <w:sz w:val="20"/>
        </w:rPr>
        <w:t xml:space="preserve">$54,925,229</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For the quarter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had a net loss of </w:t>
      </w:r>
      <w:r>
        <w:rPr>
          <w:rFonts w:ascii="Times New Roman" w:hAnsi="Times New Roman" w:eastAsia="Times New Roman" w:cs="Times New Roman"/>
          <w:sz w:val="20"/>
        </w:rPr>
        <w:t xml:space="preserve">$1,830,580</w:t>
      </w:r>
      <w:r>
        <w:rPr>
          <w:rFonts w:ascii="Times New Roman" w:hAnsi="Times New Roman" w:eastAsia="Times New Roman" w:cs="Times New Roman"/>
          <w:sz w:val="20"/>
        </w:rPr>
        <w:t xml:space="preserve">. The Company's cash balance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$2,315,186</w:t>
      </w:r>
      <w:r>
        <w:rPr>
          <w:rFonts w:ascii="Times New Roman" w:hAnsi="Times New Roman" w:eastAsia="Times New Roman" w:cs="Times New Roman"/>
          <w:sz w:val="20"/>
        </w:rPr>
        <w:t xml:space="preserve"> and the Company's operating activities provided cash of $</w:t>
      </w:r>
      <w:r>
        <w:rPr>
          <w:rFonts w:ascii="Times New Roman" w:hAnsi="Times New Roman" w:eastAsia="Times New Roman" w:cs="Times New Roman"/>
          <w:sz w:val="20"/>
        </w:rPr>
        <w:t xml:space="preserve">885,199</w:t>
      </w:r>
      <w:r>
        <w:rPr>
          <w:rFonts w:ascii="Times New Roman" w:hAnsi="Times New Roman" w:eastAsia="Times New Roman" w:cs="Times New Roman"/>
          <w:sz w:val="20"/>
        </w:rPr>
        <w:t xml:space="preserve"> for the quarter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has the obligation to pay former TapInfluence stockholders an additional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in the form of cash, common stock or a combination thereof, at IZEA’s option, in July 2019.</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With the cash on hand at March 31, 2019, along with our available credit line with Western Alliance Bank, we expect to have sufficient cash reserves and financing sources available to cover expenses at least one year from the issuance of this Quarterly Report; however, management’s plans to continue as a going concern include raising additional capital through sales of equity securities as well as borrowing. Furthermore, we intend to rely on our ability to issue shares of our common stock to pay our future obligations relating to our acquisitions of ZenContent and TapInfluence as they become due in July 2019.</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Principles of Consolidation</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consolidated financial statements were prepared using the acquisition method of accounting with IZEA considered the accounting acquirer of Ebyline, ZenContent and TapInfluence. Under the acquisition method of accounting, the purchase price is allocated to the underlying tangible and intangible assets acquired and liabilities assumed based on their respective fair market values with any excess purchase price allocated to goodwill.</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Cash and Cash Equivalents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considers all highly liquid investments purchased with a maturity of three months or less from the date of purchase to be cash equivalents.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Accounts Receivable and Concentration of Credit Risk</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Accounts receivable are customer obligations due under normal trade terms. Management considers an account to be delinquent when the customer has not paid an amount due by its associated due date. Uncollectibility of accounts receivable is not significant since most customers are bound by contract and are required to fund the Company for all the costs of an “opportunity,” defined as an order created by a marketer for a creator to develop or share content on behalf of a marketer. If a portion of the account balance is deemed uncollectible, the Company will either write-off the amount owed or provide a reserve based on its best estimate of the uncollectible portion of the account. Management determines the collectibility of accounts by regularly evaluating individual customer receivables and considering a customer’s financial condition, credit history and current economic conditions. The Company had a reserve of </w:t>
      </w:r>
      <w:r>
        <w:rPr>
          <w:rFonts w:ascii="Times New Roman" w:hAnsi="Times New Roman" w:eastAsia="Times New Roman" w:cs="Times New Roman"/>
          <w:sz w:val="20"/>
        </w:rPr>
        <w:t xml:space="preserve">$248,250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$278,190</w:t>
      </w:r>
      <w:r>
        <w:rPr>
          <w:rFonts w:ascii="Times New Roman" w:hAnsi="Times New Roman" w:eastAsia="Times New Roman" w:cs="Times New Roman"/>
          <w:sz w:val="20"/>
        </w:rPr>
        <w:t xml:space="preserve">, for doubtful accounts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 less than </w:t>
      </w:r>
      <w:r>
        <w:rPr>
          <w:rFonts w:ascii="Times New Roman" w:hAnsi="Times New Roman" w:eastAsia="Times New Roman" w:cs="Times New Roman"/>
          <w:sz w:val="20"/>
        </w:rPr>
        <w:t xml:space="preserve">1%</w:t>
      </w:r>
      <w:r>
        <w:rPr>
          <w:rFonts w:ascii="Times New Roman" w:hAnsi="Times New Roman" w:eastAsia="Times New Roman" w:cs="Times New Roman"/>
          <w:sz w:val="20"/>
        </w:rPr>
        <w:t xml:space="preserve"> of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Concentrations of credit risk with respect to accounts receivable were typically limited because a large number of geographically diverse customers make up the Company’s customer base, thus spreading the trade credit risk. However, with the Company's acquisition of TapInfluence, it has increased credit exposure on certain customers who carry significant credit balances related to  their marketplace spend. The Company controls credit risk through credit approvals, credit limits and monitoring procedures. The Company performs credit evaluations of its customers, but generally does not require collateral to support accounts receivable. The Company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23%</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customers that together accounted for </w:t>
      </w:r>
      <w:r>
        <w:rPr>
          <w:rFonts w:ascii="Times New Roman" w:hAnsi="Times New Roman" w:eastAsia="Times New Roman" w:cs="Times New Roman"/>
          <w:sz w:val="20"/>
        </w:rPr>
        <w:t xml:space="preserve">36%</w:t>
      </w:r>
      <w:r>
        <w:rPr>
          <w:rFonts w:ascii="Times New Roman" w:hAnsi="Times New Roman" w:eastAsia="Times New Roman" w:cs="Times New Roman"/>
          <w:sz w:val="20"/>
        </w:rPr>
        <w:t xml:space="preserve"> at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its revenue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had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customer that accounted for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its revenue during the three months ended </w:t>
      </w:r>
      <w:r>
        <w:rPr>
          <w:rFonts w:ascii="Times New Roman" w:hAnsi="Times New Roman" w:eastAsia="Times New Roman" w:cs="Times New Roman"/>
          <w:sz w:val="20"/>
        </w:rPr>
        <w:t xml:space="preserve">March 31, 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Property and Equipment</w:t>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Property and equipment are recorded at cost, or if acquired in a business combination, at the acquisition date fair value. Depreciation and amortization is computed using the straight-line method over the estimated useful lives of the assets as follows:</w:t>
      </w:r>
    </w:p>
    <w:tbl>
      <w:tblPr>
        <w:tblW w:type="dxa" w:w="10240"/>
        <w:tblLayout w:type="fixed"/>
        <w:jc w:val="left"/>
      </w:tblPr>
      <w:tblGrid>
        <w:gridCol w:w="9100"/>
        <w:gridCol w:w="1140"/>
      </w:tblGrid>
      <w:tr>
        <w:trPr>
          <w:trHeight w:hRule="exact" w:val="280"/>
        </w:trPr>
        <w:tc>
          <w:tcPr>
            <w:tcW w:type="dxa" w:w="9100"/>
            <w:tcMar>
              <w:left w:type="dxa" w:w="60"/>
              <w:right w:type="dxa" w:w="40"/>
            </w:tcMar>
            <w:tcBorders>
              <w:left w:val="single" w:sz="8"/>
              <w:top w:val="single" w:sz="8" w:space="0"/>
            </w:tcBorders>
            <w:vAlign w:val="bottom"/>
          </w:tcPr>
          <w:p>
            <w:pPr>
              <w:jc w:val="left"/>
              <w:keepNex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Computer Equipment</w:t>
            </w:r>
            <w:r>
              <w:tab/>
            </w:r>
          </w:p>
        </w:tc>
        <w:tc>
          <w:tcPr>
            <w:tcW w:type="dxa" w:w="1140"/>
            <w:tcMar>
              <w:left w:type="dxa" w:w="0"/>
              <w:right w:type="dxa" w:w="60"/>
            </w:tcMar>
            <w:tcBorders>
              <w:right w:val="single" w:sz="8"/>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years</w:t>
            </w:r>
          </w:p>
        </w:tc>
      </w:tr>
      <w:tr>
        <w:trPr>
          <w:trHeight w:hRule="exact" w:val="280"/>
        </w:trPr>
        <w:tc>
          <w:tcPr>
            <w:tcW w:type="dxa" w:w="9100"/>
            <w:tcMar>
              <w:left w:type="dxa" w:w="60"/>
              <w:right w:type="dxa" w:w="40"/>
            </w:tcMar>
            <w:tcBorders>
              <w:left w:val="single" w:sz="8"/>
            </w:tcBorders>
            <w:vAlign w:val="bottom"/>
          </w:tcPr>
          <w:p>
            <w:pPr>
              <w:jc w:val="left"/>
              <w:keepNex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Software Costs</w:t>
            </w:r>
            <w:r>
              <w:tab/>
            </w:r>
          </w:p>
        </w:tc>
        <w:tc>
          <w:tcPr>
            <w:tcW w:type="dxa" w:w="1140"/>
            <w:tcMar>
              <w:left w:type="dxa" w:w="0"/>
              <w:right w:type="dxa" w:w="60"/>
            </w:tcMar>
            <w:tcBorders>
              <w:right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3 - 5 years</w:t>
            </w:r>
          </w:p>
        </w:tc>
      </w:tr>
      <w:tr>
        <w:trPr>
          <w:trHeight w:hRule="exact" w:val="280"/>
        </w:trPr>
        <w:tc>
          <w:tcPr>
            <w:tcW w:type="dxa" w:w="9100"/>
            <w:tcMar>
              <w:left w:type="dxa" w:w="60"/>
              <w:right w:type="dxa" w:w="40"/>
            </w:tcMar>
            <w:tcBorders>
              <w:left w:val="single" w:sz="8"/>
            </w:tcBorders>
            <w:vAlign w:val="bottom"/>
          </w:tcPr>
          <w:p>
            <w:pPr>
              <w:jc w:val="left"/>
              <w:keepNex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Office Equipment</w:t>
            </w:r>
            <w:r>
              <w:tab/>
            </w:r>
          </w:p>
        </w:tc>
        <w:tc>
          <w:tcPr>
            <w:tcW w:type="dxa" w:w="1140"/>
            <w:tcMar>
              <w:left w:type="dxa" w:w="0"/>
              <w:right w:type="dxa" w:w="60"/>
            </w:tcMar>
            <w:tcBorders>
              <w:right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3 - 10 years</w:t>
            </w:r>
          </w:p>
        </w:tc>
      </w:tr>
      <w:tr>
        <w:trPr>
          <w:trHeight w:hRule="exact" w:val="280"/>
        </w:trPr>
        <w:tc>
          <w:tcPr>
            <w:tcW w:type="dxa" w:w="9100"/>
            <w:tcMar>
              <w:left w:type="dxa" w:w="60"/>
              <w:right w:type="dxa" w:w="40"/>
            </w:tcMar>
            <w:tcBorders>
              <w:left w:val="single" w:sz="8"/>
              <w:bottom w:val="single" w:sz="8"/>
            </w:tcBorders>
            <w:vAlign w:val="bottom"/>
          </w:tcPr>
          <w:p>
            <w:pPr>
              <w:jc w:val="lef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Furniture and Fixtures</w:t>
            </w:r>
            <w:r>
              <w:tab/>
            </w:r>
          </w:p>
        </w:tc>
        <w:tc>
          <w:tcPr>
            <w:tcW w:type="dxa" w:w="1140"/>
            <w:tcMar>
              <w:left w:type="dxa" w:w="0"/>
              <w:right w:type="dxa" w:w="60"/>
            </w:tcMar>
            <w:tcBorders>
              <w:right w:val="single" w:sz="8"/>
              <w:bottom w:val="single" w:sz="8"/>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5 - 10 years</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Leasehold improvements are amortized over the shorter of the term of the lease or the estimated useful lives of the improvements. Property and equipment under capital leases are depreciated over their estimated useful lives.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Goodwill and Business Combinations</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Goodwill represents the excess of the purchase consideration of an acquired business over the fair value of the underlying net tangible and intangible 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performs its annual impairment tests of goodwill as of October 1 of each year, or more frequently, if certain indicators are present.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has determined that it has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reporting units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See further discussion regarding segment reporting in Note 10.</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impairment charges to goodwill.</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Intangible Assets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acquired the majority of its intangible assets through its acquisitions of Ebyline, ZenContent and TapInfluence. The Company is amortizing the identifiable intangible assets over periods of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60</w:t>
      </w:r>
      <w:r>
        <w:rPr>
          <w:rFonts w:ascii="Times New Roman" w:hAnsi="Times New Roman" w:eastAsia="Times New Roman" w:cs="Times New Roman"/>
          <w:sz w:val="20"/>
        </w:rPr>
        <w:t xml:space="preserve"> months. See Note 4 for further details.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an asset and its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impairment charges associated with the Company's long-lived assets.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Software Development Costs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accordance with ASC 350-40,</w:t>
      </w:r>
      <w:r>
        <w:rPr>
          <w:rFonts w:ascii="Times New Roman" w:hAnsi="Times New Roman" w:eastAsia="Times New Roman" w:cs="Times New Roman"/>
          <w:sz w:val="20"/>
          <w:i w:val="true"/>
        </w:rPr>
        <w:t xml:space="preserve"> Internal Use Software,</w:t>
      </w:r>
      <w:r>
        <w:rPr>
          <w:rFonts w:ascii="Times New Roman" w:hAnsi="Times New Roman" w:eastAsia="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These software development and acquired technology costs are amortized on a straight-line basis over the estimated useful life of </w:t>
      </w:r>
      <w:r>
        <w:rPr>
          <w:rFonts w:ascii="Times New Roman" w:hAnsi="Times New Roman" w:eastAsia="Times New Roman" w:cs="Times New Roman"/>
          <w:sz w:val="20"/>
        </w:rPr>
        <w:t xml:space="preserve">five years</w:t>
      </w:r>
      <w:r>
        <w:rPr>
          <w:rFonts w:ascii="Times New Roman" w:hAnsi="Times New Roman" w:eastAsia="Times New Roman" w:cs="Times New Roman"/>
          <w:sz w:val="20"/>
        </w:rPr>
        <w:t xml:space="preserve"> upon initial release of the software or additional features. See Note 5 for further details.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Leases</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Effective January 1, 2019, the Company adopted ASU No. 2016-02,</w:t>
      </w:r>
      <w:r>
        <w:rPr>
          <w:rFonts w:ascii="Times New Roman" w:hAnsi="Times New Roman" w:eastAsia="Times New Roman" w:cs="Times New Roman"/>
          <w:sz w:val="20"/>
          <w:i w:val="true"/>
        </w:rPr>
        <w:t xml:space="preserve"> Leases (Topic 842)</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As permitted under the standard, the Company elected the package of practical expedients which permit the Company to carryforward its prior conclusions about lease identification, lease classification and initial direct costs.</w:t>
      </w:r>
      <w:r>
        <w:rPr>
          <w:rFonts w:ascii="Times New Roman" w:hAnsi="Times New Roman" w:eastAsia="Times New Roman" w:cs="Times New Roman"/>
          <w:sz w:val="20"/>
        </w:rPr>
        <w:t xml:space="preserve"> Additionally, the Company adopted the practical expedient that allows comparative periods to be reported under the lease accounting guidance in effect at the time prior period financial statements were previously issued. Effectively, the Company elected to apply the guidance as of the adoption date whereas financial information for prior periods has not been updated, and the disclosures required under the new standard herein have not been provided for dates and periods before January 1, 2019.</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This ASU establishes a right-of-use model that requires a lessee to record a right-of-use asset and a lease liability on the balance sheet for all leases with terms longer than 12 months. Leases will be classified as either finance or operating, with classification affecting the pattern of expense recognition in the income statement. The Company does not expect to record leases on the balance sheet that at the commencement date have a lease term of twelve months or less.</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its January 1, 2019 adoption of this standard, the Company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material lease greater than 12 months in duration which is associated with its Corporate headquarters near Orlando, Florida. The January 1, 2019 adoption of this standard resulted in the Company recording a right-of-use asset of </w:t>
      </w:r>
      <w:r>
        <w:rPr>
          <w:rFonts w:ascii="Times New Roman" w:hAnsi="Times New Roman" w:eastAsia="Times New Roman" w:cs="Times New Roman"/>
          <w:sz w:val="20"/>
        </w:rPr>
        <w:t xml:space="preserve">$412,442</w:t>
      </w:r>
      <w:r>
        <w:rPr>
          <w:rFonts w:ascii="Times New Roman" w:hAnsi="Times New Roman" w:eastAsia="Times New Roman" w:cs="Times New Roman"/>
          <w:sz w:val="20"/>
        </w:rPr>
        <w:t xml:space="preserve"> and an associated right-of-use liability of </w:t>
      </w:r>
      <w:r>
        <w:rPr>
          <w:rFonts w:ascii="Times New Roman" w:hAnsi="Times New Roman" w:eastAsia="Times New Roman" w:cs="Times New Roman"/>
          <w:sz w:val="20"/>
        </w:rPr>
        <w:t xml:space="preserve">$400,977</w:t>
      </w:r>
      <w:r>
        <w:rPr>
          <w:rFonts w:ascii="Times New Roman" w:hAnsi="Times New Roman" w:eastAsia="Times New Roman" w:cs="Times New Roman"/>
          <w:sz w:val="20"/>
        </w:rPr>
        <w:t xml:space="preserve">. The right-of-use asset is being amortized to rent expense over the remaining term of the lease. The right-of-use liability was determined by discounting the Company's remaining obligations under the lease using its average incremental borrowing rate and will be increased through the recording of interest expense and reduced by payments made under the lease.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recorded </w:t>
      </w:r>
      <w:r>
        <w:rPr>
          <w:rFonts w:ascii="Times New Roman" w:hAnsi="Times New Roman" w:eastAsia="Times New Roman" w:cs="Times New Roman"/>
          <w:sz w:val="20"/>
        </w:rPr>
        <w:t xml:space="preserve">$8,923</w:t>
      </w:r>
      <w:r>
        <w:rPr>
          <w:rFonts w:ascii="Times New Roman" w:hAnsi="Times New Roman" w:eastAsia="Times New Roman" w:cs="Times New Roman"/>
          <w:sz w:val="20"/>
        </w:rPr>
        <w:t xml:space="preserve"> of interest on this right-of-use liability.</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Revenue Recognition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generates revenue from five primary sources: (1) revenue from its managed services when a marketer (typically a brand, agency or partner) pays the Company to provide custom content, influencer marketing, amplification or other consulting services (“Managed Services”); (2) revenue from fees charged to self-service customers on their marketplace spend within the Company's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(“Marketplace Spend Fees”); (3) revenue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(“License Fees”); (4) revenue from transactions generated by the self-service use of the Company's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content workflow (“Legacy Workflow Fees”); and (5) revenue derived from other fees such as inactivity fees, early cash-out fees, and plan fees charged to users of the Company's platforms (“Other”).</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recognizes revenue in accordance with Accounting Standards Codification Topic 606, </w:t>
      </w:r>
      <w:r>
        <w:rPr>
          <w:rFonts w:ascii="Times New Roman" w:hAnsi="Times New Roman" w:eastAsia="Times New Roman" w:cs="Times New Roman"/>
          <w:sz w:val="20"/>
          <w:i w:val="true"/>
        </w:rPr>
        <w:t xml:space="preserve">Revenue from Contracts with Customers </w:t>
      </w:r>
      <w:r>
        <w:rPr>
          <w:rFonts w:ascii="Times New Roman" w:hAnsi="Times New Roman" w:eastAsia="Times New Roman" w:cs="Times New Roman"/>
          <w:sz w:val="20"/>
        </w:rPr>
        <w:t xml:space="preserve">(ASC 606). Under ASC 606, revenue is recognized based on a five-step model which are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hAnsi="Times New Roman" w:eastAsia="Times New Roman" w:cs="Times New Roman"/>
          <w:sz w:val="22"/>
        </w:rPr>
        <w:t xml:space="preserve">. </w:t>
      </w:r>
      <w:r>
        <w:rPr>
          <w:rFonts w:ascii="Times New Roman" w:hAnsi="Times New Roman" w:eastAsia="Times New Roman" w:cs="Times New Roman"/>
          <w:sz w:val="20"/>
        </w:rPr>
        <w:t xml:space="preserve">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platforms, less the amounts paid to the third-party creators providing the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maintains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30 days from the invoice date. The agreement typically provides for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 The allocation of the transaction price to the performance obligations in the contract is based on a cost-plus methodology.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may range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 and controls the services. The Company takes on the risk of payment to any third-party creators and it establishes the contract price directly with its customers based on the services requested in the statement of work.</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Marketplace Spend and Legacy Workflow Revenue, the self-service customer instructs creators found through the Company's platforms to provide and/or distribute custom content for an agreed upon transaction price. The Company's platforms control the contracting, description of services, acceptance of and payment for the requested content. This service is used primarily by news agencies or marketers to control the outsourcing of their content and advertising needs. The Company charges the self-service customer the transaction price plus a fee based on the contract. Revenue is recognized when the transaction is completed by the creator and accepted by the marketer. Based on the Company's evaluations, Marketplace Spend Fee revenue is reported on a net basis since the Company is acting as an agent solely arranging for the third-party creator or influencer to provide the services directly to the self-service customer through the platform, and is typically recognized upon publishing or purchase of the marketplace spend by the creator and verification of the publishing by the marketer.</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License Fee revenue is generated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Fee revenue is generated when fees are charged to customers primarily related to monthly plan fees, inactivity fees, and early cash-out fees. Plan fees are recognized within the month they relate to, and inactivity and early cash-out fees are recognized at a point in time when the account is deemed inactive or a cash-out below certain minimum thresholds is requested.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does not typically engage in contracts that are longer than one year. Therefore, the Company does not capitalize costs to obtain its customer contracts as these amounts generally would be recognized over a period of less than one year and are not material.</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Advertising Costs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Advertising costs are charged to expense as they are incurred, including payments to content creators to promote the Company. Advertising costs charged to operations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were approximately </w:t>
      </w:r>
      <w:r>
        <w:rPr>
          <w:rFonts w:ascii="Times New Roman" w:hAnsi="Times New Roman" w:eastAsia="Times New Roman" w:cs="Times New Roman"/>
          <w:sz w:val="20"/>
        </w:rPr>
        <w:t xml:space="preserve">$78,000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$102,000</w:t>
      </w:r>
      <w:r>
        <w:rPr>
          <w:rFonts w:ascii="Times New Roman" w:hAnsi="Times New Roman" w:eastAsia="Times New Roman" w:cs="Times New Roman"/>
          <w:sz w:val="20"/>
        </w:rPr>
        <w:t xml:space="preserve">, respectively. Advertising costs are included in sales and marketing expense in the accompanying consolidated statements of operations.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Income Taxes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not recorded federal income tax expense due to the generation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four states, which is included in general and administrative expense in the consolidated statements of operations.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2015, 2016 and 2017.</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Fair Value of Financial Instruments</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1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quoted market prices in active markets for identical assets and liabilities.</w:t>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2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quoted market prices for similar assets and liabilities in active markets.</w:t>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3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unobservable inputs that are supported by little or no market activity, therefore requiring management’s best estimate of what market participants would use as fair value.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 estimates discussed herein are based upon certain market assumptions and pertinent information available to management. The Company does not have any Level 1 or 2 financial assets or liabilities. The Company’s Level 3 financial liabilities measured at fair value included its acquisition cost liability (see Note 2)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and its Right of Use liability as of March 31, 2019. The respective carrying values of certain on-balance-sheet financial instruments approximated their fair values due to the short-term nature of these instruments. These financial instruments include cash and cash equivalents, accounts receivable, accounts payable, unearned revenue, and accrued expenses. Unless otherwise disclosed, the fair values of the Company’s long-term debt obligations approximate their carrying value based upon current rates available to the Company.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Stock-Based Compensation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cost related to stock options granted under the 2011 Equity Incentive Plan and the 2011 B Equity Incentive Plan (together, the “2011 Equity Incentive Plans”) (see Note 7) is measured at the grant date, based on the fair value of the award, and is recognized as expense over the employee’s requisite service period on a straight-line basis. The Company estimates the fair value of each option award on the date of grant using a Black-Scholes option-pricing model that uses the assumptions noted in the table below. The Company uses the closing stock price of its common stock on the date of the grant as the associated fair value of its common stock.  The Company estimates the volatility of its common stock at the date of grant based on the volatility of comparable peer companies that are publicly traded and have had a longer trading history than itself.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used the following assumptions for stock options granted under the 2011 Equity Incentive Plans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tbl>
      <w:tblPr>
        <w:tblW w:type="dxa" w:w="10240"/>
        <w:tblLayout w:type="fixed"/>
        <w:jc w:val="center"/>
      </w:tblPr>
      <w:tblGrid>
        <w:gridCol w:w="7560"/>
        <w:gridCol w:w="1300"/>
        <w:gridCol w:w="80"/>
        <w:gridCol w:w="1300"/>
      </w:tblGrid>
      <w:tr>
        <w:trPr>
          <w:trHeight w:hRule="exact" w:val="240"/>
        </w:trPr>
        <w:tc>
          <w:tcPr>
            <w:tcW w:type="dxa" w:w="7560"/>
            <w:tcMar>
              <w:left w:type="dxa" w:w="60"/>
              <w:right w:type="dxa" w:w="0"/>
            </w:tcMar>
            <w:tcBorders/>
            <w:vAlign w:val="bottom"/>
          </w:tcPr>
          <w:p>
            <w:pPr>
              <w:jc w:val="left"/>
              <w:keepNext/>
              <w:keepLines/>
              <w:spacing w:before="40" w:after="40" w:line="240" w:lineRule="auto"/>
              <w:rPr/>
            </w:pPr>
            <w:r>
              <w:rPr/>
            </w:r>
          </w:p>
        </w:tc>
        <w:tc>
          <w:tcPr>
            <w:tcW w:type="dxa" w:w="268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500"/>
        </w:trPr>
        <w:tc>
          <w:tcPr>
            <w:tcW w:type="dxa" w:w="7560"/>
            <w:tcMar>
              <w:left w:type="dxa" w:w="60"/>
              <w:right w:type="dxa" w:w="40"/>
            </w:tcMar>
            <w:hMerge w:val="restart"/>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2011 Equity Incentive Plans Assumptions</w:t>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W w:type="dxa" w:w="80"/>
            <w:tcMar>
              <w:left w:type="dxa" w:w="0"/>
              <w:right w:type="dxa" w:w="0"/>
            </w:tcMar>
            <w:tcBorders>
              <w:top w:val="single" w:sz="8" w:space="0"/>
            </w:tcBorders>
            <w:vAlign w:val="top"/>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top"/>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2018</w:t>
            </w: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Expected term</w:t>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volatility</w:t>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63.37%</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60.78%</w:t>
            </w: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risk-free interest rate</w:t>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2.52%</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2.46%</w:t>
            </w: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Expected dividends</w:t>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 Weighted average expected forfeiture rates were </w:t>
      </w:r>
      <w:r>
        <w:rPr>
          <w:rFonts w:ascii="Times New Roman" w:hAnsi="Times New Roman" w:eastAsia="Times New Roman" w:cs="Times New Roman"/>
          <w:sz w:val="20"/>
        </w:rPr>
        <w:t xml:space="preserve">7.82%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18.12%</w:t>
      </w:r>
      <w:r>
        <w:rPr>
          <w:rFonts w:ascii="Times New Roman" w:hAnsi="Times New Roman" w:eastAsia="Times New Roman" w:cs="Times New Roman"/>
          <w:sz w:val="20"/>
        </w:rPr>
        <w:t xml:space="preserve"> on stock options granted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did not grant any restricted stock units under the 2011 Equity Incentive Plans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center"/>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may issue shares of restricted stock or restricted stock units which vest over future periods. The value of shares issued to non-employees is required to be adjusted over the vesting period. See Note 7 for additional information related to these shares.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Non-Employee Stock-Based Payments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accounting policy for equity instruments issued to consultants and vendors in exchange for goods and services follows the provisions of ASC 505, </w:t>
      </w:r>
      <w:r>
        <w:rPr>
          <w:rFonts w:ascii="Times New Roman" w:hAnsi="Times New Roman" w:eastAsia="Times New Roman" w:cs="Times New Roman"/>
          <w:sz w:val="20"/>
          <w:i w:val="true"/>
        </w:rPr>
        <w:t xml:space="preserve">“Equity-Based Payments to Non-Employees.” </w:t>
      </w:r>
      <w:r>
        <w:rPr>
          <w:rFonts w:ascii="Times New Roman" w:hAnsi="Times New Roman" w:eastAsia="Times New Roman" w:cs="Times New Roman"/>
          <w:sz w:val="20"/>
        </w:rPr>
        <w:t xml:space="preserve">The measurement date for the fair value of the equity instruments issued is determined at the earlier of (i) the date at which a commitment for performance by the consultant or vendor is reached or (ii) the date at which the consultant or vendor's performance is complete. The fair value of equity instruments issued to consultants that vest immediately is expensed when issued. The fair value of equity instruments issued to consultants that have future vesting and are subject to forfeiture if performance does not occur is recognized as expense over the vesting period. Fair values for the unvested portion of issued instruments are adjusted each reporting period. The change in fair value is recorded in the accompanying consolidated statements of operations. Stock-based payments related to non-employees is accounted for based on the fair value of the related stock or the fair value of the services, whichever is more readily determinable.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Use of Estimates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Recent Accounting Pronouncements</w:t>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color w:val="000000"/>
          <w:u w:val="single" w:color="000000"/>
        </w:rPr>
        <w:t xml:space="preserve">Fair Value Measurements:</w:t>
      </w:r>
      <w:r>
        <w:rPr>
          <w:rFonts w:ascii="Times New Roman" w:hAnsi="Times New Roman" w:eastAsia="Times New Roman" w:cs="Times New Roman"/>
          <w:sz w:val="20"/>
        </w:rPr>
        <w:t xml:space="preserve"> In August 2018, the FASB issued ASU No. 2018-13, </w:t>
      </w:r>
      <w:r>
        <w:rPr>
          <w:rFonts w:ascii="Times New Roman" w:hAnsi="Times New Roman" w:eastAsia="Times New Roman" w:cs="Times New Roman"/>
          <w:sz w:val="20"/>
          <w:i w:val="true"/>
        </w:rPr>
        <w:t xml:space="preserve">Fair Value Measurement (Topic 820): Disclosure Framework—Changes to the Disclosure Requirements for Fair Value Measurement.</w:t>
      </w:r>
      <w:r>
        <w:rPr>
          <w:rFonts w:ascii="Times New Roman" w:hAnsi="Times New Roman" w:eastAsia="Times New Roman" w:cs="Times New Roman"/>
          <w:sz w:val="20"/>
        </w:rPr>
        <w:t xml:space="preserve"> The new guidance amends the disclosure requirements for recurring and nonrecurring fair value measurements by removing, modifying, and adding certain disclosures on fair value measurements in ASC 820.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new guidance will be effective for the Company beginning January 1, 2020, with early adoption permitted upon issuance of this updated guidance. The Company does not plan to early adopt this ASU, and it is currently evaluating the impact of adopting this guidance.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color w:val="000000"/>
          <w:u w:val="single" w:color="000000"/>
        </w:rPr>
        <w:t xml:space="preserve">Collaborative Arrangements</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In November 2018, the FASB issued ASU No 2018-18, Collaborative Arrangements (Topic 808): Clarifying the interaction between Topic 808 and Topic 606. The guidance makes targeted improvements to GAAP for collaborative arrangements including: (i) clarifying that certain transactions between collaborative arrangement participants should be accounted for as revenue under ASC 606 when the collaborative arrangement participant is a customer in the context of a unit of account, (ii) adding unit-of-account guidance in ASC 808 to align with the guidance in ASC 606 (that is, a distinct good or service) when an entity is assessing whether the collaborative arrangement or a part of the arrangement is within the scope of ASC 606, and (iii) requiring that in a transaction with a collaborative arrangement participant that is not directly related to sales to third parties, presenting the transaction together with revenue recognized under ASC 606 is precluded if the collaborative arrangement participant is not a customer. The amendments in this update are effective for public entities for fiscal years beginning after December 15, 2019, and interim periods within those fiscal years. Early adoption is permitted. The amendments should be applied retrospectively to the date of initial application of ASC 606. An entity may elect to apply the amendments in this ASU retrospectively either to all contracts or only to contracts that are not completed at the date of initial application of ASC 606. An entity should disclose its election. An entity may elect to apply the practical expedient for contract modifications that is permitted for entities using the modified retrospective transition method in ASC 606. The Company is currently assessing the effect the adoption of this standard will have on its financial statements.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1080" w:left="1000" w:right="1000" w:bottom="860" w:footer="460" w:gutter="0" w:header="160"/>
          <w:headerReference r:id="rId10" w:type="default"/>
          <w:footerReference r:id="rId12"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2. 	BUSINESS COMBINATIONS</w:t>
      </w:r>
      <w:bookmarkStart w:id="12716" w:name="NOTE_2___Business_Combinations"/>
      <w:bookmarkEnd w:id="12716"/>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TAPINFLUENCE, INC.</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26, 2018, IZEA completed its merger with TapInfluence, Inc., pursuant to the terms of the Agreement and Plan of Merger, dated as of July 11, 2018, by and among IZEA, IZEA Merger Sub, Inc., TapInfluence, certain stockholders of TapInfluence and the stockholders’ representative, as amended by Amendment No. 1 thereto, dated as of July 20, 2018 (the "Merger Agreement"). The merger was consummated, in part, to further consolidate the influencer marketing industry for IZEA, and for IZEA to obtain benefits from the acquisition of the TapInfluence technology platform and existing customer base, particularly from TapInfluence's self-service customers.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At closing, IZEA paid to TapInfluence stockholders the sum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in cash, less an estimated closing working capital adjustment of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 along with other adjustments as defined in the Merger Agreement, and issued </w:t>
      </w:r>
      <w:r>
        <w:rPr>
          <w:rFonts w:ascii="Times New Roman" w:hAnsi="Times New Roman" w:eastAsia="Times New Roman" w:cs="Times New Roman"/>
          <w:sz w:val="20"/>
        </w:rPr>
        <w:t xml:space="preserve">1,150,000</w:t>
      </w:r>
      <w:r>
        <w:rPr>
          <w:rFonts w:ascii="Times New Roman" w:hAnsi="Times New Roman" w:eastAsia="Times New Roman" w:cs="Times New Roman"/>
          <w:sz w:val="20"/>
        </w:rPr>
        <w:t xml:space="preserve"> shares of IZEA's common stock valued at </w:t>
      </w:r>
      <w:r>
        <w:rPr>
          <w:rFonts w:ascii="Times New Roman" w:hAnsi="Times New Roman" w:eastAsia="Times New Roman" w:cs="Times New Roman"/>
          <w:sz w:val="20"/>
        </w:rPr>
        <w:t xml:space="preserve">$1,759,500</w:t>
      </w:r>
      <w:r>
        <w:rPr>
          <w:rFonts w:ascii="Times New Roman" w:hAnsi="Times New Roman" w:eastAsia="Times New Roman" w:cs="Times New Roman"/>
          <w:sz w:val="20"/>
        </w:rPr>
        <w:t xml:space="preserve"> based on the </w:t>
      </w:r>
      <w:r>
        <w:rPr>
          <w:rFonts w:ascii="Times New Roman" w:hAnsi="Times New Roman" w:eastAsia="Times New Roman" w:cs="Times New Roman"/>
          <w:sz w:val="20"/>
        </w:rPr>
        <w:t xml:space="preserve">$1.53</w:t>
      </w:r>
      <w:r>
        <w:rPr>
          <w:rFonts w:ascii="Times New Roman" w:hAnsi="Times New Roman" w:eastAsia="Times New Roman" w:cs="Times New Roman"/>
          <w:sz w:val="20"/>
        </w:rPr>
        <w:t xml:space="preserve"> closing market price of IZEA's common stock on July 26, 2018. IZEA has agreed to pay TapInfluence stockholders an additional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in the form of cash, common stock or a combination thereof, at IZEA’s option, in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installments -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six months after the closing date of the merger and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twelve months after the closing date of the merger. Stock issuances, if any, will be determined based on the 30-trading day volume-weighted average price per share of IZEA's common stock prior to the payment date. Future cash payments and stock issuances may be withheld from the six month or twelve month payment for post-closing working capital adjustments and to satisfy indemnifiable claims made by IZEA with respect to any misrepresentations or breaches of warranty under the Merger Agreement by TapInfluence or the stockholders of TapInfluence within 12 months after the closing date of the merger.</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after="26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Purchase Price and Acquisition Costs Payable</w:t>
      </w:r>
    </w:p>
    <w:tbl>
      <w:tblPr>
        <w:tblW w:type="dxa" w:w="10040"/>
        <w:tblLayout w:type="fixed"/>
        <w:jc w:val="center"/>
      </w:tblPr>
      <w:tblGrid>
        <w:gridCol w:w="4920"/>
        <w:gridCol w:w="110"/>
        <w:gridCol w:w="1093"/>
        <w:gridCol w:w="77"/>
        <w:gridCol w:w="110"/>
        <w:gridCol w:w="1093"/>
        <w:gridCol w:w="77"/>
        <w:gridCol w:w="110"/>
        <w:gridCol w:w="1093"/>
        <w:gridCol w:w="77"/>
        <w:gridCol w:w="110"/>
        <w:gridCol w:w="1093"/>
        <w:gridCol w:w="77"/>
      </w:tblGrid>
      <w:tr>
        <w:trPr>
          <w:trHeight w:hRule="exact" w:val="900"/>
        </w:trPr>
        <w:tc>
          <w:tcPr>
            <w:tcW w:type="dxa" w:w="492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Initial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Initial Present and Fair Value</w:t>
            </w:r>
          </w:p>
        </w:tc>
        <w:tc>
          <w:tcPr>
            <w:tcMar>
              <w:left w:type="dxa" w:w="0"/>
              <w:right w:type="dxa" w:w="60"/>
            </w:tcMar>
            <w:tcBorders/>
            <w:hMerge w:val="continue"/>
          </w:tcP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Remaining Present and Fair Value</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Remaining Present and Fair Value</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920"/>
            <w:tcMar>
              <w:left w:type="dxa" w:w="60"/>
              <w:right w:type="dxa" w:w="6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12/31/2018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12/31/2018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3/31/2019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3/31/2019</w:t>
            </w:r>
          </w:p>
        </w:tc>
        <w:tc>
          <w:tcPr>
            <w:tcMar>
              <w:left w:type="dxa" w:w="0"/>
              <w:right w:type="dxa" w:w="60"/>
            </w:tcMar>
            <w:tcBorders>
              <w:bottom w:val="single" w:sz="8"/>
            </w:tcBorders>
            <w:hMerge w:val="continue"/>
          </w:tcPr>
          <w:p/>
        </w:tc>
      </w:tr>
      <w:tr>
        <w:trPr>
          <w:trHeight w:hRule="exact" w:val="32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paid at closing (a)</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r>
      <w:tr>
        <w:trPr>
          <w:trHeight w:hRule="exact" w:val="32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paid at closing (a)</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Purchase price adjustment (b)</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(439,610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(439,610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(555,026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(555,026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(115,416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(115,416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First deferred purchase price installment (c)</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1,000,000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970,576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970,576</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995,097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995,097</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Second deferred purchase price installment (c)</w:t>
            </w: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3,500,000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3,500,000</w:t>
            </w:r>
          </w:p>
        </w:tc>
        <w:tc>
          <w:tcPr>
            <w:tcW w:type="dxa" w:w="77"/>
            <w:tcMar>
              <w:left w:type="dxa" w:w="0"/>
              <w:right w:type="dxa" w:w="0"/>
            </w:tcMar>
            <w:tcBorders>
              <w:bottom w:val="single" w:sz="8"/>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3,271,028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3,271,028</w:t>
            </w:r>
          </w:p>
        </w:tc>
        <w:tc>
          <w:tcPr>
            <w:tcW w:type="dxa" w:w="77"/>
            <w:tcMar>
              <w:left w:type="dxa" w:w="0"/>
              <w:right w:type="dxa" w:w="0"/>
            </w:tcMar>
            <w:tcBorders>
              <w:bottom w:val="single" w:sz="8"/>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3,366,433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3,366,433</w:t>
            </w:r>
          </w:p>
        </w:tc>
        <w:tc>
          <w:tcPr>
            <w:tcW w:type="dxa" w:w="77"/>
            <w:tcMar>
              <w:left w:type="dxa" w:w="0"/>
              <w:right w:type="dxa" w:w="0"/>
            </w:tcMar>
            <w:tcBorders>
              <w:bottom w:val="single" w:sz="8"/>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3,423,676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3,423,676</w:t>
            </w:r>
          </w:p>
        </w:tc>
        <w:tc>
          <w:tcPr>
            <w:tcW w:type="dxa" w:w="77"/>
            <w:tcMar>
              <w:left w:type="dxa" w:w="0"/>
              <w:right w:type="dxa" w:w="0"/>
            </w:tcMar>
            <w:tcBorders>
              <w:bottom w:val="single" w:sz="8"/>
            </w:tcBorders>
          </w:tcPr>
          <w:p/>
        </w:tc>
      </w:tr>
      <w:tr>
        <w:trPr>
          <w:trHeight w:hRule="exact" w:val="280"/>
        </w:trPr>
        <w:tc>
          <w:tcPr>
            <w:tcW w:type="dxa" w:w="4920"/>
            <w:tcMar>
              <w:left w:type="dxa" w:w="30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estimated consideration</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7,319,890</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6,946,078</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4,246,114</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3,423,676</w:t>
            </w:r>
          </w:p>
        </w:tc>
        <w:tc>
          <w:tcPr>
            <w:tcW w:type="dxa" w:w="77"/>
            <w:tcMar>
              <w:left w:type="dxa" w:w="0"/>
              <w:right w:type="dxa" w:w="0"/>
            </w:tcMar>
            <w:tcBorders>
              <w:top w:val="single" w:sz="8" w:space="0"/>
              <w:bottom w:val="double" w:sz="4"/>
            </w:tcBorders>
          </w:tcPr>
          <w:p/>
        </w:tc>
      </w:tr>
      <w:tr>
        <w:trPr>
          <w:trHeight w:hRule="exact" w:val="280"/>
        </w:trPr>
        <w:tc>
          <w:tcPr>
            <w:tcW w:type="dxa" w:w="49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4,246,114</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3,423,676</w:t>
            </w:r>
          </w:p>
        </w:tc>
        <w:tc>
          <w:tcPr>
            <w:tcW w:type="dxa" w:w="77"/>
            <w:tcMar>
              <w:left w:type="dxa" w:w="0"/>
              <w:right w:type="dxa" w:w="0"/>
            </w:tcMar>
            <w:tcBorders/>
          </w:tcPr>
          <w:p/>
        </w:tc>
      </w:tr>
      <w:tr>
        <w:trPr>
          <w:trHeight w:hRule="exact" w:val="280"/>
        </w:trPr>
        <w:tc>
          <w:tcPr>
            <w:tcW w:type="dxa" w:w="4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Long-term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r>
      <w:tr>
        <w:trPr>
          <w:trHeight w:hRule="exact" w:val="280"/>
        </w:trPr>
        <w:tc>
          <w:tcPr>
            <w:tcW w:type="dxa" w:w="4920"/>
            <w:tcMar>
              <w:left w:type="dxa" w:w="30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acquisition costs payable</w:t>
            </w:r>
          </w:p>
        </w:tc>
        <w:tc>
          <w:tcPr>
            <w:tcW w:type="dxa" w:w="0"/>
            <w:tcMar>
              <w:left w:type="dxa" w:w="0"/>
              <w:right w:type="dxa" w:w="60"/>
            </w:tcMar>
            <w:tcBorders>
              <w:top w:val="single" w:sz="8" w:space="0"/>
              <w:bottom w:val="double" w:sz="4"/>
            </w:tcBorders>
            <w:vAlign w:val="bottom"/>
            <w:hMerge w:val="restart"/>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tc>
        <w:tc>
          <w:tcPr>
            <w:tcW w:type="dxa" w:w="0"/>
            <w:tcMar>
              <w:left w:type="dxa" w:w="60"/>
              <w:right w:type="dxa" w:w="0"/>
            </w:tcMar>
            <w:tcBorders>
              <w:top w:val="single" w:sz="8" w:space="0"/>
              <w:bottom w:val="double" w:sz="4"/>
            </w:tcBorders>
            <w:vAlign w:val="bottom"/>
            <w:hMerge w:val="restart"/>
          </w:tcPr>
          <w:p>
            <w:pPr>
              <w:jc w:val="left"/>
              <w:keepLines/>
              <w:spacing w:before="40" w:after="40" w:line="240" w:lineRule="auto"/>
              <w:rPr/>
            </w:pPr>
            <w:r>
              <w:rPr/>
            </w:r>
          </w:p>
        </w:tc>
        <w:tc>
          <w:tcPr>
            <w:tcMar>
              <w:left w:type="dxa" w:w="60"/>
              <w:right w:type="dxa" w:w="0"/>
            </w:tcMar>
            <w:tcBorders>
              <w:top w:val="single" w:sz="8" w:space="0"/>
              <w:bottom w:val="double" w:sz="4"/>
            </w:tcBorders>
            <w:hMerge w:val="continue"/>
          </w:tcPr>
          <w:p>
            <w:pPr>
              <w:jc w:val="left"/>
              <w:keepLines/>
              <w:spacing w:before="40" w:after="40" w:line="240" w:lineRule="auto"/>
              <w:rPr/>
            </w:pPr>
            <w:r>
              <w:rPr/>
            </w:r>
          </w:p>
        </w:tc>
        <w:tc>
          <w:tcPr>
            <w:tcMar>
              <w:left w:type="dxa" w:w="0"/>
              <w:right w:type="dxa" w:w="0"/>
            </w:tcMar>
            <w:tcBorders>
              <w:top w:val="single" w:sz="8" w:space="0"/>
              <w:bottom w:val="double" w:sz="4"/>
            </w:tcBorders>
            <w:hMerge w:val="continue"/>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4,246,114</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3,423,676</w:t>
            </w:r>
          </w:p>
        </w:tc>
        <w:tc>
          <w:tcPr>
            <w:tcW w:type="dxa" w:w="77"/>
            <w:tcMar>
              <w:left w:type="dxa" w:w="0"/>
              <w:right w:type="dxa" w:w="0"/>
            </w:tcMar>
            <w:tcBorders>
              <w:top w:val="single" w:sz="8" w:space="0"/>
              <w:bottom w:val="double" w:sz="4"/>
            </w:tcBorders>
          </w:tcPr>
          <w:p/>
        </w:tc>
      </w:tr>
    </w:tbl>
    <w:p>
      <w:pPr>
        <w:ind w:left="1080" w:firstLine="-360"/>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The aggregate consideration paid at closing for the acquisition of TapInfluence consisted of a cash payment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and the issuance of </w:t>
      </w:r>
      <w:r>
        <w:rPr>
          <w:rFonts w:ascii="Times New Roman" w:hAnsi="Times New Roman" w:eastAsia="Times New Roman" w:cs="Times New Roman"/>
          <w:sz w:val="20"/>
        </w:rPr>
        <w:t xml:space="preserve">1,150,000</w:t>
      </w:r>
      <w:r>
        <w:rPr>
          <w:rFonts w:ascii="Times New Roman" w:hAnsi="Times New Roman" w:eastAsia="Times New Roman" w:cs="Times New Roman"/>
          <w:sz w:val="20"/>
        </w:rPr>
        <w:t xml:space="preserve"> shares of IZEA common stock valued at </w:t>
      </w:r>
      <w:r>
        <w:rPr>
          <w:rFonts w:ascii="Times New Roman" w:hAnsi="Times New Roman" w:eastAsia="Times New Roman" w:cs="Times New Roman"/>
          <w:sz w:val="20"/>
        </w:rPr>
        <w:t xml:space="preserve">$1,759,500</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$1.53</w:t>
      </w:r>
      <w:r>
        <w:rPr>
          <w:rFonts w:ascii="Times New Roman" w:hAnsi="Times New Roman" w:eastAsia="Times New Roman" w:cs="Times New Roman"/>
          <w:sz w:val="20"/>
        </w:rPr>
        <w:t xml:space="preserve"> per share.</w:t>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 	Per the terms of the Merger Agreement, the initial cash payment due at closing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was to be adjusted as follows: reduced for seller transaction expenses and closing date indebtedness, increased by closing date cash and cash equivalents of TapInfluence, and reduced or increased by an estimated working capital amount. These adjustments resulted in a net reduction in the purchase price of </w:t>
      </w:r>
      <w:r>
        <w:rPr>
          <w:rFonts w:ascii="Times New Roman" w:hAnsi="Times New Roman" w:eastAsia="Times New Roman" w:cs="Times New Roman"/>
          <w:sz w:val="20"/>
        </w:rPr>
        <w:t xml:space="preserve">$439,610</w:t>
      </w:r>
      <w:r>
        <w:rPr>
          <w:rFonts w:ascii="Times New Roman" w:hAnsi="Times New Roman" w:eastAsia="Times New Roman" w:cs="Times New Roman"/>
          <w:sz w:val="20"/>
        </w:rPr>
        <w:t xml:space="preserve">, which included a negative estimated working capital adjustment of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w:t>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 	Aggregate post-acquisition date consideration consists of additional payments totaling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less any remaining adjustment related to the final working capital adjustment calculation. The payments will be made in the form of cash, common stock or a combination thereof, at IZEA’s option. The first of these installments was paid in January 2019, with the second of the two installments due in July 2019. Following the closing, IZEA calculated the final working capital as of the closing date as a negative </w:t>
      </w:r>
      <w:r>
        <w:rPr>
          <w:rFonts w:ascii="Times New Roman" w:hAnsi="Times New Roman" w:eastAsia="Times New Roman" w:cs="Times New Roman"/>
          <w:sz w:val="20"/>
        </w:rPr>
        <w:t xml:space="preserve">$297,049</w:t>
      </w:r>
      <w:r>
        <w:rPr>
          <w:rFonts w:ascii="Times New Roman" w:hAnsi="Times New Roman" w:eastAsia="Times New Roman" w:cs="Times New Roman"/>
          <w:sz w:val="20"/>
        </w:rPr>
        <w:t xml:space="preserve">, which was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lower than the original estimate of negative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 Therefore, the purchase price was reduced by an additional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which was deducted from the six-month installment payment paid in January 2019.  On January 26, 2019, the Company issued </w:t>
      </w:r>
      <w:r>
        <w:rPr>
          <w:rFonts w:ascii="Times New Roman" w:hAnsi="Times New Roman" w:eastAsia="Times New Roman" w:cs="Times New Roman"/>
          <w:sz w:val="20"/>
        </w:rPr>
        <w:t xml:space="preserve">660,136</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$884,583</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per share, using a thirty (30) trading day volume-weighted average closing price as reported by the Nasdaq Capital Market prior to the issuance date. The Company recorded a </w:t>
      </w:r>
      <w:r>
        <w:rPr>
          <w:rFonts w:ascii="Times New Roman" w:hAnsi="Times New Roman" w:eastAsia="Times New Roman" w:cs="Times New Roman"/>
          <w:sz w:val="20"/>
        </w:rPr>
        <w:t xml:space="preserve">$191,439</w:t>
      </w:r>
      <w:r>
        <w:rPr>
          <w:rFonts w:ascii="Times New Roman" w:hAnsi="Times New Roman" w:eastAsia="Times New Roman" w:cs="Times New Roman"/>
          <w:sz w:val="20"/>
        </w:rPr>
        <w:t xml:space="preserve"> loss on the settlement of this acquisition cost payable as a result of the difference between the actual closing market price of the common stock of </w:t>
      </w:r>
      <w:r>
        <w:rPr>
          <w:rFonts w:ascii="Times New Roman" w:hAnsi="Times New Roman" w:eastAsia="Times New Roman" w:cs="Times New Roman"/>
          <w:sz w:val="20"/>
        </w:rPr>
        <w:t xml:space="preserve">$1.63</w:t>
      </w:r>
      <w:r>
        <w:rPr>
          <w:rFonts w:ascii="Times New Roman" w:hAnsi="Times New Roman" w:eastAsia="Times New Roman" w:cs="Times New Roman"/>
          <w:sz w:val="20"/>
        </w:rPr>
        <w:t xml:space="preserve"> on the settlement date and the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-day average price of the common stock of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required by the Merger Agreement.</w:t>
      </w:r>
    </w:p>
    <w:p>
      <w:pPr>
        <w:jc w:val="center"/>
        <w:keepLines/>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778,638</w:t>
      </w:r>
      <w:r>
        <w:rPr>
          <w:rFonts w:ascii="Times New Roman" w:hAnsi="Times New Roman" w:eastAsia="Times New Roman" w:cs="Times New Roman"/>
          <w:sz w:val="20"/>
        </w:rPr>
        <w:t xml:space="preserve"> of the Company's consolidated revenue was associated with TapInfluence operations. The Company is unable to determine net loss specifically related to TapInfluence operations as the majority of operational resources were shared with IZEA.</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unaudited pro forma summary presents consolidated information of the Company as if the business combination with TapInfluence had occurred on January 1, 2018:</w:t>
      </w:r>
    </w:p>
    <w:tbl>
      <w:tblPr>
        <w:tblW w:type="dxa" w:w="8800"/>
        <w:tblLayout w:type="fixed"/>
        <w:jc w:val="center"/>
      </w:tblPr>
      <w:tblGrid>
        <w:gridCol w:w="7400"/>
        <w:gridCol w:w="110"/>
        <w:gridCol w:w="1213"/>
        <w:gridCol w:w="77"/>
      </w:tblGrid>
      <w:tr>
        <w:trPr>
          <w:trHeight w:hRule="exact" w:val="300"/>
        </w:trPr>
        <w:tc>
          <w:tcPr>
            <w:tcW w:type="dxa" w:w="740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w:t>
            </w:r>
          </w:p>
        </w:tc>
        <w:tc>
          <w:tcPr>
            <w:tcMar>
              <w:left w:type="dxa" w:w="0"/>
              <w:right w:type="dxa" w:w="60"/>
            </w:tcMar>
            <w:tcBorders/>
            <w:hMerge w:val="continue"/>
          </w:tcPr>
          <w:p/>
        </w:tc>
      </w:tr>
      <w:tr>
        <w:trPr>
          <w:trHeight w:hRule="exact" w:val="700"/>
        </w:trPr>
        <w:tc>
          <w:tcPr>
            <w:tcW w:type="dxa" w:w="740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 2018</w:t>
            </w:r>
          </w:p>
        </w:tc>
        <w:tc>
          <w:tcPr>
            <w:tcMar>
              <w:left w:type="dxa" w:w="0"/>
              <w:right w:type="dxa" w:w="60"/>
            </w:tcMar>
            <w:tcBorders>
              <w:bottom w:val="single" w:sz="8"/>
            </w:tcBorders>
            <w:hMerge w:val="continue"/>
          </w:tcPr>
          <w:p/>
        </w:tc>
      </w:tr>
      <w:tr>
        <w:trPr>
          <w:trHeight w:hRule="exact" w:val="300"/>
        </w:trPr>
        <w:tc>
          <w:tcPr>
            <w:tcW w:type="dxa" w:w="740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4,954,453</w:t>
            </w:r>
          </w:p>
        </w:tc>
        <w:tc>
          <w:tcPr>
            <w:tcW w:type="dxa" w:w="77"/>
            <w:tcMar>
              <w:left w:type="dxa" w:w="0"/>
              <w:right w:type="dxa" w:w="0"/>
            </w:tcMar>
            <w:tcBorders>
              <w:top w:val="single" w:sz="8" w:space="0"/>
            </w:tcBorders>
          </w:tcPr>
          <w:p/>
        </w:tc>
      </w:tr>
      <w:tr>
        <w:trPr>
          <w:trHeight w:hRule="exact" w:val="300"/>
        </w:trPr>
        <w:tc>
          <w:tcPr>
            <w:tcW w:type="dxa" w:w="74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cost of 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2,329,884</w:t>
            </w:r>
          </w:p>
        </w:tc>
        <w:tc>
          <w:tcPr>
            <w:tcW w:type="dxa" w:w="77"/>
            <w:tcMar>
              <w:left w:type="dxa" w:w="0"/>
              <w:right w:type="dxa" w:w="0"/>
            </w:tcMar>
            <w:tcBorders/>
          </w:tcPr>
          <w:p/>
        </w:tc>
      </w:tr>
      <w:tr>
        <w:trPr>
          <w:trHeight w:hRule="exact" w:val="300"/>
        </w:trPr>
        <w:tc>
          <w:tcPr>
            <w:tcW w:type="dxa" w:w="74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gross profit</w:t>
            </w:r>
          </w:p>
        </w:tc>
        <w:tc>
          <w:tcPr>
            <w:tcW w:type="dxa" w:w="110"/>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2,624,569</w:t>
            </w:r>
          </w:p>
        </w:tc>
        <w:tc>
          <w:tcPr>
            <w:tcW w:type="dxa" w:w="77"/>
            <w:tcMar>
              <w:left w:type="dxa" w:w="0"/>
              <w:right w:type="dxa" w:w="0"/>
            </w:tcMar>
            <w:tcBorders>
              <w:top w:val="single" w:sz="8" w:space="0"/>
              <w:bottom w:val="single" w:sz="8"/>
            </w:tcBorders>
          </w:tcPr>
          <w:p/>
        </w:tc>
      </w:tr>
      <w:tr>
        <w:trPr>
          <w:trHeight w:hRule="exact" w:val="200"/>
        </w:trPr>
        <w:tc>
          <w:tcPr>
            <w:tcW w:type="dxa" w:w="74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4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net loss prior to adjustments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(2,746,799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4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adjustment to net loss: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740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Difference in amortization of acquired identifiable intangible assets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(258,917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(258,917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4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net loss combined</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(3,005,716</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business combination was accounted for under the acquisition method of accounting in accordance with ASC Topic 805, </w:t>
      </w:r>
      <w:r>
        <w:rPr>
          <w:rFonts w:ascii="Times New Roman" w:hAnsi="Times New Roman" w:eastAsia="Times New Roman" w:cs="Times New Roman"/>
          <w:sz w:val="20"/>
          <w:i w:val="true"/>
        </w:rPr>
        <w:t xml:space="preserve">Business Combinations</w:t>
      </w:r>
      <w:r>
        <w:rPr>
          <w:rFonts w:ascii="Times New Roman" w:hAnsi="Times New Roman" w:eastAsia="Times New Roman" w:cs="Times New Roman"/>
          <w:sz w:val="20"/>
        </w:rPr>
        <w:t xml:space="preserve">. As the acquirer for accounting purposes, IZEA is in the process of finalizing its estimated fair value of TapInfluence’s assets acquired and liabilities assumed and conforming the accounting policies of TapInfluence to its own accounting policies. The Company does not expect there to be any material changes to its acquisition accounting based upon its final review procedures. However, differences between these preliminary estimates and the final purchase price accounting may occur, and these differences could have a material impact on the Company's consolidated financial statements.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ZENCONTENT, INC.</w:t>
      </w:r>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31, 2016, the Company purchased all of the outstanding shares of capital stock of ZenContent pursuant to the terms of a Stock Purchase Agreement, by and among IZEA, ZenContent and the stockholders of ZenContent (the “ZenContent Stock Purchase Agreement”) for a maximum purchase price to be paid over three years of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Upon closing, the Company paid a cash payment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and issued </w:t>
      </w:r>
      <w:r>
        <w:rPr>
          <w:rFonts w:ascii="Times New Roman" w:hAnsi="Times New Roman" w:eastAsia="Times New Roman" w:cs="Times New Roman"/>
          <w:sz w:val="20"/>
        </w:rPr>
        <w:t xml:space="preserve">86,207</w:t>
      </w:r>
      <w:r>
        <w:rPr>
          <w:rFonts w:ascii="Times New Roman" w:hAnsi="Times New Roman" w:eastAsia="Times New Roman" w:cs="Times New Roman"/>
          <w:sz w:val="20"/>
        </w:rPr>
        <w:t xml:space="preserve"> shares of the Company's common stock valued at </w:t>
      </w:r>
      <w:r>
        <w:rPr>
          <w:rFonts w:ascii="Times New Roman" w:hAnsi="Times New Roman" w:eastAsia="Times New Roman" w:cs="Times New Roman"/>
          <w:sz w:val="20"/>
        </w:rPr>
        <w:t xml:space="preserve">$600,000</w:t>
      </w:r>
      <w:r>
        <w:rPr>
          <w:rFonts w:ascii="Times New Roman" w:hAnsi="Times New Roman" w:eastAsia="Times New Roman" w:cs="Times New Roman"/>
          <w:sz w:val="20"/>
        </w:rPr>
        <w:t xml:space="preserve">. The ZenContent Stock Purchase Agreement also requires (i) three equal annual installment payments totaling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subject to a working capital adjustment, commencing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months following the closing and (ii) contingent performance payments of up to an aggregate of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over the three consecutive 12-month periods following the closing, based upon ZenContent achieving certain minimum revenue thresholds. Of these payments, </w:t>
      </w:r>
      <w:r>
        <w:rPr>
          <w:rFonts w:ascii="Times New Roman" w:hAnsi="Times New Roman" w:eastAsia="Times New Roman" w:cs="Times New Roman"/>
          <w:sz w:val="20"/>
        </w:rPr>
        <w:t xml:space="preserve">33%</w:t>
      </w:r>
      <w:r>
        <w:rPr>
          <w:rFonts w:ascii="Times New Roman" w:hAnsi="Times New Roman" w:eastAsia="Times New Roman" w:cs="Times New Roman"/>
          <w:sz w:val="20"/>
        </w:rPr>
        <w:t xml:space="preserve"> of each such annual installment or contingent performance payment will be in the form of cash and the remainder of such payment will be in the form of either cash or additional shares of the Company's common stock (determined at the Company's option). In July 2018, pursuant to an amendment to the ZenContent Stock Purchase Agreement, the parties agreed to fix the amount payable for any further contingent performance payments at </w:t>
      </w:r>
      <w:r>
        <w:rPr>
          <w:rFonts w:ascii="Times New Roman" w:hAnsi="Times New Roman" w:eastAsia="Times New Roman" w:cs="Times New Roman"/>
          <w:sz w:val="20"/>
        </w:rPr>
        <w:t xml:space="preserve">$90,000</w:t>
      </w:r>
      <w:r>
        <w:rPr>
          <w:rFonts w:ascii="Times New Roman" w:hAnsi="Times New Roman" w:eastAsia="Times New Roman" w:cs="Times New Roman"/>
          <w:sz w:val="20"/>
        </w:rPr>
        <w:t xml:space="preserve">, of which </w:t>
      </w:r>
      <w:r>
        <w:rPr>
          <w:rFonts w:ascii="Times New Roman" w:hAnsi="Times New Roman" w:eastAsia="Times New Roman" w:cs="Times New Roman"/>
          <w:sz w:val="20"/>
        </w:rPr>
        <w:t xml:space="preserve">$45,000</w:t>
      </w:r>
      <w:r>
        <w:rPr>
          <w:rFonts w:ascii="Times New Roman" w:hAnsi="Times New Roman" w:eastAsia="Times New Roman" w:cs="Times New Roman"/>
          <w:sz w:val="20"/>
        </w:rPr>
        <w:t xml:space="preserve"> was paid in cash on November 1, 2018, and </w:t>
      </w:r>
      <w:r>
        <w:rPr>
          <w:rFonts w:ascii="Times New Roman" w:hAnsi="Times New Roman" w:eastAsia="Times New Roman" w:cs="Times New Roman"/>
          <w:sz w:val="20"/>
        </w:rPr>
        <w:t xml:space="preserve">$45,000</w:t>
      </w:r>
      <w:r>
        <w:rPr>
          <w:rFonts w:ascii="Times New Roman" w:hAnsi="Times New Roman" w:eastAsia="Times New Roman" w:cs="Times New Roman"/>
          <w:sz w:val="20"/>
        </w:rPr>
        <w:t xml:space="preserve"> is due on November 1, 2019 and is payable in cash or stock at the Company's option.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Purchase Price and Acquisition Costs Payable</w:t>
      </w:r>
    </w:p>
    <w:tbl>
      <w:tblPr>
        <w:tblW w:type="dxa" w:w="10240"/>
        <w:tblLayout w:type="fixed"/>
        <w:jc w:val="left"/>
      </w:tblPr>
      <w:tblGrid>
        <w:gridCol w:w="5120"/>
        <w:gridCol w:w="110"/>
        <w:gridCol w:w="1093"/>
        <w:gridCol w:w="77"/>
        <w:gridCol w:w="110"/>
        <w:gridCol w:w="1093"/>
        <w:gridCol w:w="77"/>
        <w:gridCol w:w="110"/>
        <w:gridCol w:w="1093"/>
        <w:gridCol w:w="77"/>
        <w:gridCol w:w="110"/>
        <w:gridCol w:w="1093"/>
        <w:gridCol w:w="77"/>
      </w:tblGrid>
      <w:tr>
        <w:trPr>
          <w:trHeight w:hRule="exact" w:val="900"/>
        </w:trPr>
        <w:tc>
          <w:tcPr>
            <w:tcW w:type="dxa" w:w="512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Initial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Initial Present and Fair Value</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0"/>
              <w:right w:type="dxa" w:w="60"/>
            </w:tcMar>
            <w:tcBorders/>
            <w:hMerge w:val="continue"/>
          </w:tcPr>
          <w:p/>
        </w:tc>
      </w:tr>
      <w:tr>
        <w:trPr>
          <w:trHeight w:hRule="exact" w:val="300"/>
        </w:trPr>
        <w:tc>
          <w:tcPr>
            <w:tcW w:type="dxa" w:w="5120"/>
            <w:tcMar>
              <w:left w:type="dxa" w:w="6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12/31/2018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12/31/2018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3/31/2019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3/31/2019</w:t>
            </w:r>
          </w:p>
        </w:tc>
        <w:tc>
          <w:tcPr>
            <w:tcMar>
              <w:left w:type="dxa" w:w="0"/>
              <w:right w:type="dxa" w:w="60"/>
            </w:tcMar>
            <w:tcBorders>
              <w:bottom w:val="single" w:sz="8"/>
            </w:tcBorders>
            <w:hMerge w:val="continue"/>
          </w:tcPr>
          <w:p/>
        </w:tc>
      </w:tr>
      <w:tr>
        <w:trPr>
          <w:trHeight w:hRule="exact" w:val="320"/>
        </w:trPr>
        <w:tc>
          <w:tcPr>
            <w:tcW w:type="dxa" w:w="5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paid at closing (a)</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5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paid at closing (a)</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5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Guaranteed purchase price (b)</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933,565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933,565</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566,547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566,547</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321,740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321,740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326,709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326,709</w:t>
            </w:r>
          </w:p>
        </w:tc>
        <w:tc>
          <w:tcPr>
            <w:tcW w:type="dxa" w:w="77"/>
            <w:tcMar>
              <w:left w:type="dxa" w:w="0"/>
              <w:right w:type="dxa" w:w="0"/>
            </w:tcMar>
            <w:tcBorders/>
          </w:tcPr>
          <w:p/>
        </w:tc>
      </w:tr>
      <w:tr>
        <w:trPr>
          <w:trHeight w:hRule="exact" w:val="280"/>
        </w:trPr>
        <w:tc>
          <w:tcPr>
            <w:tcW w:type="dxa" w:w="5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Contingent performance payments (c)</w:t>
            </w: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2,500,000</w:t>
            </w:r>
          </w:p>
        </w:tc>
        <w:tc>
          <w:tcPr>
            <w:tcW w:type="dxa" w:w="77"/>
            <w:tcMar>
              <w:left w:type="dxa" w:w="0"/>
              <w:right w:type="dxa" w:w="0"/>
            </w:tcMar>
            <w:tcBorders/>
          </w:tcPr>
          <w:p/>
        </w:tc>
        <w:tc>
          <w:tcPr>
            <w:tcW w:type="dxa" w:w="12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230,000</w:t>
            </w:r>
          </w:p>
        </w:tc>
        <w:tc>
          <w:tcPr>
            <w:tcW w:type="dxa" w:w="77"/>
            <w:tcMar>
              <w:left w:type="dxa" w:w="0"/>
              <w:right w:type="dxa" w:w="0"/>
            </w:tcMar>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43,639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43,639</w:t>
            </w:r>
          </w:p>
        </w:tc>
        <w:tc>
          <w:tcPr>
            <w:tcW w:type="dxa" w:w="77"/>
            <w:tcMar>
              <w:left w:type="dxa" w:w="0"/>
              <w:right w:type="dxa" w:w="0"/>
            </w:tcMar>
            <w:tcBorders>
              <w:bottom w:val="single" w:sz="8"/>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44,220</w:t>
            </w:r>
          </w:p>
        </w:tc>
        <w:tc>
          <w:tcPr>
            <w:tcW w:type="dxa" w:w="77"/>
            <w:tcMar>
              <w:left w:type="dxa" w:w="0"/>
              <w:right w:type="dxa" w:w="0"/>
            </w:tcMar>
            <w:tcBorders>
              <w:bottom w:val="single" w:sz="8"/>
            </w:tcBorders>
          </w:tcPr>
          <w:p/>
        </w:tc>
      </w:tr>
      <w:tr>
        <w:trPr>
          <w:trHeight w:hRule="exact" w:val="280"/>
        </w:trPr>
        <w:tc>
          <w:tcPr>
            <w:tcW w:type="dxa" w:w="5120"/>
            <w:tcMar>
              <w:left w:type="dxa" w:w="30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estimated consideration</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4,433,565</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1,796,547</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365,379</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370,929</w:t>
            </w:r>
          </w:p>
        </w:tc>
        <w:tc>
          <w:tcPr>
            <w:tcW w:type="dxa" w:w="77"/>
            <w:tcMar>
              <w:left w:type="dxa" w:w="0"/>
              <w:right w:type="dxa" w:w="0"/>
            </w:tcMar>
            <w:tcBorders>
              <w:top w:val="single" w:sz="8" w:space="0"/>
              <w:bottom w:val="double" w:sz="4"/>
            </w:tcBorders>
          </w:tcPr>
          <w:p/>
        </w:tc>
      </w:tr>
      <w:tr>
        <w:trPr>
          <w:trHeight w:hRule="exact" w:val="280"/>
        </w:trPr>
        <w:tc>
          <w:tcPr>
            <w:tcW w:type="dxa" w:w="512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5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365,379</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370,929</w:t>
            </w:r>
          </w:p>
        </w:tc>
        <w:tc>
          <w:tcPr>
            <w:tcW w:type="dxa" w:w="77"/>
            <w:tcMar>
              <w:left w:type="dxa" w:w="0"/>
              <w:right w:type="dxa" w:w="0"/>
            </w:tcMar>
            <w:tcBorders/>
          </w:tcPr>
          <w:p/>
        </w:tc>
      </w:tr>
      <w:tr>
        <w:trPr>
          <w:trHeight w:hRule="exact" w:val="280"/>
        </w:trPr>
        <w:tc>
          <w:tcPr>
            <w:tcW w:type="dxa" w:w="5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Long-term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2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r>
      <w:tr>
        <w:trPr>
          <w:trHeight w:hRule="exact" w:val="280"/>
        </w:trPr>
        <w:tc>
          <w:tcPr>
            <w:tcW w:type="dxa" w:w="512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acquisition costs payable</w:t>
            </w:r>
          </w:p>
        </w:tc>
        <w:tc>
          <w:tcPr>
            <w:tcW w:type="dxa" w:w="0"/>
            <w:tcMar>
              <w:left w:type="dxa" w:w="0"/>
              <w:right w:type="dxa" w:w="60"/>
            </w:tcMar>
            <w:tcBorders>
              <w:top w:val="single" w:sz="8" w:space="0"/>
              <w:bottom w:val="double" w:sz="4"/>
            </w:tcBorders>
            <w:vAlign w:val="bottom"/>
            <w:hMerge w:val="restart"/>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tc>
        <w:tc>
          <w:tcPr>
            <w:tcW w:type="dxa" w:w="0"/>
            <w:tcMar>
              <w:left w:type="dxa" w:w="60"/>
              <w:right w:type="dxa" w:w="0"/>
            </w:tcMar>
            <w:tcBorders>
              <w:top w:val="single" w:sz="8" w:space="0"/>
              <w:bottom w:val="double" w:sz="4"/>
            </w:tcBorders>
            <w:vAlign w:val="bottom"/>
            <w:hMerge w:val="restart"/>
          </w:tcPr>
          <w:p>
            <w:pPr>
              <w:jc w:val="left"/>
              <w:keepLines/>
              <w:spacing w:before="40" w:after="40" w:line="240" w:lineRule="auto"/>
              <w:rPr/>
            </w:pPr>
            <w:r>
              <w:rPr/>
            </w:r>
          </w:p>
        </w:tc>
        <w:tc>
          <w:tcPr>
            <w:tcMar>
              <w:left w:type="dxa" w:w="60"/>
              <w:right w:type="dxa" w:w="0"/>
            </w:tcMar>
            <w:tcBorders>
              <w:top w:val="single" w:sz="8" w:space="0"/>
              <w:bottom w:val="double" w:sz="4"/>
            </w:tcBorders>
            <w:hMerge w:val="continue"/>
          </w:tcPr>
          <w:p>
            <w:pPr>
              <w:jc w:val="left"/>
              <w:keepLines/>
              <w:spacing w:before="40" w:after="40" w:line="240" w:lineRule="auto"/>
              <w:rPr/>
            </w:pPr>
            <w:r>
              <w:rPr/>
            </w:r>
          </w:p>
        </w:tc>
        <w:tc>
          <w:tcPr>
            <w:tcMar>
              <w:left w:type="dxa" w:w="0"/>
              <w:right w:type="dxa" w:w="0"/>
            </w:tcMar>
            <w:tcBorders>
              <w:top w:val="single" w:sz="8" w:space="0"/>
              <w:bottom w:val="double" w:sz="4"/>
            </w:tcBorders>
            <w:hMerge w:val="continue"/>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365,379</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370,929</w:t>
            </w:r>
          </w:p>
        </w:tc>
        <w:tc>
          <w:tcPr>
            <w:tcW w:type="dxa" w:w="77"/>
            <w:tcMar>
              <w:left w:type="dxa" w:w="0"/>
              <w:right w:type="dxa" w:w="0"/>
            </w:tcMar>
            <w:tcBorders>
              <w:top w:val="single" w:sz="8" w:space="0"/>
              <w:bottom w:val="double" w:sz="4"/>
            </w:tcBorders>
          </w:tcPr>
          <w:p/>
        </w:tc>
      </w:tr>
    </w:tbl>
    <w:p>
      <w:pPr>
        <w:jc w:val="center"/>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The aggregate consideration paid at closing for the acquisition of ZenContent consisted of a cash payment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and the issuance of </w:t>
      </w:r>
      <w:r>
        <w:rPr>
          <w:rFonts w:ascii="Times New Roman" w:hAnsi="Times New Roman" w:eastAsia="Times New Roman" w:cs="Times New Roman"/>
          <w:sz w:val="20"/>
        </w:rPr>
        <w:t xml:space="preserve">86,207</w:t>
      </w:r>
      <w:r>
        <w:rPr>
          <w:rFonts w:ascii="Times New Roman" w:hAnsi="Times New Roman" w:eastAsia="Times New Roman" w:cs="Times New Roman"/>
          <w:sz w:val="20"/>
        </w:rPr>
        <w:t xml:space="preserve"> shares of IZEA common stock valued at </w:t>
      </w:r>
      <w:r>
        <w:rPr>
          <w:rFonts w:ascii="Times New Roman" w:hAnsi="Times New Roman" w:eastAsia="Times New Roman" w:cs="Times New Roman"/>
          <w:sz w:val="20"/>
        </w:rPr>
        <w:t xml:space="preserve">$600,000</w:t>
      </w:r>
      <w:r>
        <w:rPr>
          <w:rFonts w:ascii="Times New Roman" w:hAnsi="Times New Roman" w:eastAsia="Times New Roman" w:cs="Times New Roman"/>
          <w:sz w:val="20"/>
        </w:rPr>
        <w:t xml:space="preserve">.</w:t>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 	Aggregate post-acquisition date consideration consists of (i) </w:t>
      </w:r>
      <w:r>
        <w:rPr>
          <w:rFonts w:ascii="Times New Roman" w:hAnsi="Times New Roman" w:eastAsia="Times New Roman" w:cs="Times New Roman"/>
          <w:sz w:val="20"/>
        </w:rPr>
        <w:t xml:space="preserve">three equal annual installment payments totaling $1,000,000</w:t>
      </w:r>
      <w:r>
        <w:rPr>
          <w:rFonts w:ascii="Times New Roman" w:hAnsi="Times New Roman" w:eastAsia="Times New Roman" w:cs="Times New Roman"/>
          <w:sz w:val="20"/>
        </w:rPr>
        <w:t xml:space="preserve">, commencing 12 months following the closing, less a reduction of </w:t>
      </w:r>
      <w:r>
        <w:rPr>
          <w:rFonts w:ascii="Times New Roman" w:hAnsi="Times New Roman" w:eastAsia="Times New Roman" w:cs="Times New Roman"/>
          <w:sz w:val="20"/>
        </w:rPr>
        <w:t xml:space="preserve">$66,435</w:t>
      </w:r>
      <w:r>
        <w:rPr>
          <w:rFonts w:ascii="Times New Roman" w:hAnsi="Times New Roman" w:eastAsia="Times New Roman" w:cs="Times New Roman"/>
          <w:sz w:val="20"/>
        </w:rPr>
        <w:t xml:space="preserve"> due to a customary closing date working capital adjustment (“guaranteed purchase price”), and (ii) contingent performance payments up to an aggregate of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over the three consecutive 12-month periods following the closing. These payments are also subject to a downward adjustment up to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 if ZenContent’s co-founder was terminated by IZEA for cause or if she terminated her employment without good reason. As a result, the Company initially reduced its acquisition cost liability by </w:t>
      </w:r>
      <w:r>
        <w:rPr>
          <w:rFonts w:ascii="Times New Roman" w:hAnsi="Times New Roman" w:eastAsia="Times New Roman" w:cs="Times New Roman"/>
          <w:sz w:val="20"/>
        </w:rPr>
        <w:t xml:space="preserve">$300,000</w:t>
      </w:r>
      <w:r>
        <w:rPr>
          <w:rFonts w:ascii="Times New Roman" w:hAnsi="Times New Roman" w:eastAsia="Times New Roman" w:cs="Times New Roman"/>
          <w:sz w:val="20"/>
        </w:rPr>
        <w:t xml:space="preserve"> to be accrued as compensation expense over the </w:t>
      </w:r>
      <w:r>
        <w:rPr>
          <w:rFonts w:ascii="Times New Roman" w:hAnsi="Times New Roman" w:eastAsia="Times New Roman" w:cs="Times New Roman"/>
          <w:sz w:val="20"/>
        </w:rPr>
        <w:t xml:space="preserve">three-year</w:t>
      </w:r>
      <w:r>
        <w:rPr>
          <w:rFonts w:ascii="Times New Roman" w:hAnsi="Times New Roman" w:eastAsia="Times New Roman" w:cs="Times New Roman"/>
          <w:sz w:val="20"/>
        </w:rPr>
        <w:t xml:space="preserve"> term rather than allocated to the initial purchase price in accordance with ASC 805-10-55-25. The initial guaranteed purchase price consideration was discounted to present value using the Company's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5.5%</w:t>
      </w:r>
      <w:r>
        <w:rPr>
          <w:rFonts w:ascii="Times New Roman" w:hAnsi="Times New Roman" w:eastAsia="Times New Roman" w:cs="Times New Roman"/>
          <w:sz w:val="20"/>
        </w:rPr>
        <w:t xml:space="preserve"> on July 31, 2016). On July 31, 2017, the Company paid </w:t>
      </w:r>
      <w:r>
        <w:rPr>
          <w:rFonts w:ascii="Times New Roman" w:hAnsi="Times New Roman" w:eastAsia="Times New Roman" w:cs="Times New Roman"/>
          <w:sz w:val="20"/>
        </w:rPr>
        <w:t xml:space="preserve">$266,898</w:t>
      </w:r>
      <w:r>
        <w:rPr>
          <w:rFonts w:ascii="Times New Roman" w:hAnsi="Times New Roman" w:eastAsia="Times New Roman" w:cs="Times New Roman"/>
          <w:sz w:val="20"/>
        </w:rPr>
        <w:t xml:space="preserve"> in cash for the first annual installment of </w:t>
      </w:r>
      <w:r>
        <w:rPr>
          <w:rFonts w:ascii="Times New Roman" w:hAnsi="Times New Roman" w:eastAsia="Times New Roman" w:cs="Times New Roman"/>
          <w:sz w:val="20"/>
        </w:rPr>
        <w:t xml:space="preserve">$333,333</w:t>
      </w:r>
      <w:r>
        <w:rPr>
          <w:rFonts w:ascii="Times New Roman" w:hAnsi="Times New Roman" w:eastAsia="Times New Roman" w:cs="Times New Roman"/>
          <w:sz w:val="20"/>
        </w:rPr>
        <w:t xml:space="preserve"> less </w:t>
      </w:r>
      <w:r>
        <w:rPr>
          <w:rFonts w:ascii="Times New Roman" w:hAnsi="Times New Roman" w:eastAsia="Times New Roman" w:cs="Times New Roman"/>
          <w:sz w:val="20"/>
        </w:rPr>
        <w:t xml:space="preserve">$66,435</w:t>
      </w:r>
      <w:r>
        <w:rPr>
          <w:rFonts w:ascii="Times New Roman" w:hAnsi="Times New Roman" w:eastAsia="Times New Roman" w:cs="Times New Roman"/>
          <w:sz w:val="20"/>
        </w:rPr>
        <w:t xml:space="preserve"> in working capital adjustments. On July 31, 2018, the Company paid the second annual installment, comprised of </w:t>
      </w:r>
      <w:r>
        <w:rPr>
          <w:rFonts w:ascii="Times New Roman" w:hAnsi="Times New Roman" w:eastAsia="Times New Roman" w:cs="Times New Roman"/>
          <w:sz w:val="20"/>
        </w:rPr>
        <w:t xml:space="preserve">$111,112</w:t>
      </w:r>
      <w:r>
        <w:rPr>
          <w:rFonts w:ascii="Times New Roman" w:hAnsi="Times New Roman" w:eastAsia="Times New Roman" w:cs="Times New Roman"/>
          <w:sz w:val="20"/>
        </w:rPr>
        <w:t xml:space="preserve"> in cash and </w:t>
      </w:r>
      <w:r>
        <w:rPr>
          <w:rFonts w:ascii="Times New Roman" w:hAnsi="Times New Roman" w:eastAsia="Times New Roman" w:cs="Times New Roman"/>
          <w:sz w:val="20"/>
        </w:rPr>
        <w:t xml:space="preserve">$222,221</w:t>
      </w:r>
      <w:r>
        <w:rPr>
          <w:rFonts w:ascii="Times New Roman" w:hAnsi="Times New Roman" w:eastAsia="Times New Roman" w:cs="Times New Roman"/>
          <w:sz w:val="20"/>
        </w:rPr>
        <w:t xml:space="preserve"> in stock using </w:t>
      </w:r>
      <w:r>
        <w:rPr>
          <w:rFonts w:ascii="Times New Roman" w:hAnsi="Times New Roman" w:eastAsia="Times New Roman" w:cs="Times New Roman"/>
          <w:sz w:val="20"/>
        </w:rPr>
        <w:t xml:space="preserve">98,765</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$2.25</w:t>
      </w:r>
      <w:r>
        <w:rPr>
          <w:rFonts w:ascii="Times New Roman" w:hAnsi="Times New Roman" w:eastAsia="Times New Roman" w:cs="Times New Roman"/>
          <w:sz w:val="20"/>
        </w:rPr>
        <w:t xml:space="preserve"> per share, using a thirty (30) trading day volume-weighted average closing price as reported by the Nasdaq Capital Market prior to the issuance date.</w:t>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	The contingent performance payments were subject to ZenContent achieving certain minimum revenue thresholds over </w:t>
      </w:r>
      <w:r>
        <w:rPr>
          <w:rFonts w:ascii="Times New Roman" w:hAnsi="Times New Roman" w:eastAsia="Times New Roman" w:cs="Times New Roman"/>
          <w:sz w:val="20"/>
        </w:rPr>
        <w:t xml:space="preserve">36 months</w:t>
      </w:r>
      <w:r>
        <w:rPr>
          <w:rFonts w:ascii="Times New Roman" w:hAnsi="Times New Roman" w:eastAsia="Times New Roman" w:cs="Times New Roman"/>
          <w:sz w:val="20"/>
        </w:rPr>
        <w:t xml:space="preserve">. On July 31, 2016, the Company initially determined the fair value of the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contingent payments to be </w:t>
      </w:r>
      <w:r>
        <w:rPr>
          <w:rFonts w:ascii="Times New Roman" w:hAnsi="Times New Roman" w:eastAsia="Times New Roman" w:cs="Times New Roman"/>
          <w:sz w:val="20"/>
        </w:rPr>
        <w:t xml:space="preserve">$230,000</w:t>
      </w:r>
      <w:r>
        <w:rPr>
          <w:rFonts w:ascii="Times New Roman" w:hAnsi="Times New Roman" w:eastAsia="Times New Roman" w:cs="Times New Roman"/>
          <w:sz w:val="20"/>
        </w:rPr>
        <w:t xml:space="preserve">. The fair value of the contingent performance payments was required to be revalued each quarter and was calculated using a Monte-Carlo simulation to simulate revenue over the future periods. Since the contingent consideration has an option like structure, a risk-neutral framework was considered appropriate for the valuation. The Company started with a risk-adjusted measure of forecasted revenue (using a risk-adjusted discount rate of </w:t>
      </w:r>
      <w:r>
        <w:rPr>
          <w:rFonts w:ascii="Times New Roman" w:hAnsi="Times New Roman" w:eastAsia="Times New Roman" w:cs="Times New Roman"/>
          <w:sz w:val="20"/>
        </w:rPr>
        <w:t xml:space="preserve">17%</w:t>
      </w:r>
      <w:r>
        <w:rPr>
          <w:rFonts w:ascii="Times New Roman" w:hAnsi="Times New Roman" w:eastAsia="Times New Roman" w:cs="Times New Roman"/>
          <w:sz w:val="20"/>
        </w:rPr>
        <w:t xml:space="preserve">) and assumed it would follow geometric Brownian motion to simulate the revenue at future dates. Once the initial revenue was estimated based off of projections, payout was calculated for each year and present valued to incorporate the credit risk associated with these payments. The Company's fair value conclusion was based on the average payment from </w:t>
      </w:r>
      <w:r>
        <w:rPr>
          <w:rFonts w:ascii="Times New Roman" w:hAnsi="Times New Roman" w:eastAsia="Times New Roman" w:cs="Times New Roman"/>
          <w:sz w:val="20"/>
        </w:rPr>
        <w:t xml:space="preserve">250,000</w:t>
      </w:r>
      <w:r>
        <w:rPr>
          <w:rFonts w:ascii="Times New Roman" w:hAnsi="Times New Roman" w:eastAsia="Times New Roman" w:cs="Times New Roman"/>
          <w:sz w:val="20"/>
        </w:rPr>
        <w:t xml:space="preserve"> simulation trials. The volatility used for the simulation was </w:t>
      </w:r>
      <w:r>
        <w:rPr>
          <w:rFonts w:ascii="Times New Roman" w:hAnsi="Times New Roman" w:eastAsia="Times New Roman" w:cs="Times New Roman"/>
          <w:sz w:val="20"/>
        </w:rPr>
        <w:t xml:space="preserve">45%</w:t>
      </w:r>
      <w:r>
        <w:rPr>
          <w:rFonts w:ascii="Times New Roman" w:hAnsi="Times New Roman" w:eastAsia="Times New Roman" w:cs="Times New Roman"/>
          <w:sz w:val="20"/>
        </w:rPr>
        <w:t xml:space="preserve">. The interest rate used for the simulation was the Company's current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at the time of valuation. The Company revised its estimate of the contingent performance payments based on the fixed payments agreed upon in the July 2018 amendment to the ZenContent Stock Purchase Agreement.</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4"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3. 	PROPERTY AND EQUIPMENT</w:t>
      </w:r>
      <w:bookmarkStart w:id="33266" w:name="NOTE_3___Property_and_Equipment"/>
      <w:bookmarkEnd w:id="33266"/>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Property and equipment consists of the following: </w:t>
      </w:r>
    </w:p>
    <w:tbl>
      <w:tblPr>
        <w:tblW w:type="dxa" w:w="10240"/>
        <w:tblLayout w:type="fixed"/>
        <w:jc w:val="left"/>
      </w:tblPr>
      <w:tblGrid>
        <w:gridCol w:w="7560"/>
        <w:gridCol w:w="110"/>
        <w:gridCol w:w="1113"/>
        <w:gridCol w:w="77"/>
        <w:gridCol w:w="80"/>
        <w:gridCol w:w="110"/>
        <w:gridCol w:w="1113"/>
        <w:gridCol w:w="77"/>
      </w:tblGrid>
      <w:tr>
        <w:trPr>
          <w:trHeight w:hRule="exact" w:val="50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 2019</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2018</w:t>
            </w:r>
          </w:p>
        </w:tc>
        <w:tc>
          <w:tcPr>
            <w:tcMar>
              <w:left w:type="dxa" w:w="0"/>
              <w:right w:type="dxa" w:w="60"/>
            </w:tcMar>
            <w:tcBorders>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Furniture and fixtures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293,777</w:t>
            </w:r>
          </w:p>
        </w:tc>
        <w:tc>
          <w:tcPr>
            <w:tcW w:type="dxa" w:w="77"/>
            <w:tcMar>
              <w:left w:type="dxa" w:w="0"/>
              <w:right w:type="dxa" w:w="0"/>
            </w:tcMar>
            <w:tcBorders>
              <w:top w:val="single" w:sz="8" w:space="0"/>
            </w:tcBorders>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293,777</w:t>
            </w:r>
          </w:p>
        </w:tc>
        <w:tc>
          <w:tcPr>
            <w:tcW w:type="dxa" w:w="77"/>
            <w:tcMar>
              <w:left w:type="dxa" w:w="0"/>
              <w:right w:type="dxa" w:w="0"/>
            </w:tcMar>
            <w:tcBorders>
              <w:top w:val="single" w:sz="8" w:space="0"/>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Office equipment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77,993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77,993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77,194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77,194</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Computer equipment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562,357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562,357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561,812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561,812</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Leasehold improvements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338,018</w:t>
            </w:r>
          </w:p>
        </w:tc>
        <w:tc>
          <w:tcPr>
            <w:tcW w:type="dxa" w:w="77"/>
            <w:tcMar>
              <w:left w:type="dxa" w:w="0"/>
              <w:right w:type="dxa" w:w="0"/>
            </w:tcMar>
            <w:tcBorders>
              <w:bottom w:val="single" w:sz="8"/>
            </w:tcBorders>
          </w:tcPr>
          <w:p/>
        </w:tc>
      </w:tr>
      <w:tr>
        <w:trPr>
          <w:trHeight w:hRule="exact" w:val="300"/>
        </w:trPr>
        <w:tc>
          <w:tcPr>
            <w:tcW w:type="dxa" w:w="7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1,272,145</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1,272,145</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1,270,801</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1,270,801</w:t>
            </w:r>
          </w:p>
        </w:tc>
        <w:tc>
          <w:tcPr>
            <w:tcW w:type="dxa" w:w="77"/>
            <w:tcMar>
              <w:left w:type="dxa" w:w="0"/>
              <w:right w:type="dxa" w:w="0"/>
            </w:tcMar>
            <w:tcBorders>
              <w:top w:val="single" w:sz="8" w:space="0"/>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accumulated depreciation and amortization</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(1,036,000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(1,036,000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(998,562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(998,562</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236,145</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272,239</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Depreciation expense on property and equipment recorded in depreciation and amortization expense in the accompanying consolidated statements of operations was </w:t>
      </w:r>
      <w:r>
        <w:rPr>
          <w:rFonts w:ascii="Times New Roman" w:hAnsi="Times New Roman" w:eastAsia="Times New Roman" w:cs="Times New Roman"/>
          <w:sz w:val="20"/>
        </w:rPr>
        <w:t xml:space="preserve">$38,477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$56,038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5" w:type="default"/>
          <w:footerReference r:id="rId16"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4. 	INTANGIBLE ASSETS</w:t>
      </w:r>
      <w:bookmarkStart w:id="10608" w:name="NOTE_4___Intangible_Assets"/>
      <w:bookmarkEnd w:id="10608"/>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identifiable intangible assets, other than Goodwill, consists of the following assets:	</w:t>
      </w:r>
    </w:p>
    <w:tbl>
      <w:tblPr>
        <w:tblW w:type="dxa" w:w="10240"/>
        <w:tblLayout w:type="fixed"/>
        <w:jc w:val="center"/>
      </w:tblPr>
      <w:tblGrid>
        <w:gridCol w:w="4980"/>
        <w:gridCol w:w="110"/>
        <w:gridCol w:w="853"/>
        <w:gridCol w:w="77"/>
        <w:gridCol w:w="110"/>
        <w:gridCol w:w="1013"/>
        <w:gridCol w:w="77"/>
        <w:gridCol w:w="80"/>
        <w:gridCol w:w="110"/>
        <w:gridCol w:w="853"/>
        <w:gridCol w:w="77"/>
        <w:gridCol w:w="110"/>
        <w:gridCol w:w="1013"/>
        <w:gridCol w:w="77"/>
        <w:gridCol w:w="700"/>
      </w:tblGrid>
      <w:tr>
        <w:trPr>
          <w:trHeight w:hRule="exact" w:val="560"/>
        </w:trPr>
        <w:tc>
          <w:tcPr>
            <w:tcW w:type="dxa" w:w="49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0"/>
              <w:right w:type="dxa" w:w="60"/>
            </w:tcMar>
            <w:tcBorders>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0"/>
              <w:right w:type="dxa" w:w="60"/>
            </w:tcMar>
            <w:tcBorders>
              <w:bottom w:val="single" w:sz="8"/>
            </w:tcBorders>
            <w:hMerge w:val="continue"/>
          </w:tcPr>
          <w:p/>
        </w:tc>
        <w:tc>
          <w:tcPr>
            <w:tcW w:type="dxa" w:w="0"/>
            <w:tcMar>
              <w:left w:type="dxa" w:w="60"/>
              <w:right w:type="dxa" w:w="40"/>
            </w:tcMar>
            <w:tcBorders>
              <w:bottom w:val="single" w:sz="8"/>
            </w:tcBorders>
            <w:vAlign w:val="bottom"/>
            <w:hMerge w:val="restart"/>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60"/>
              <w:right w:type="dxa" w:w="40"/>
            </w:tcMar>
            <w:tcBorders>
              <w:bottom w:val="single" w:sz="8"/>
            </w:tcBorders>
            <w:hMerge w:val="continue"/>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0"/>
              <w:right w:type="dxa" w:w="0"/>
            </w:tcMar>
            <w:tcBorders>
              <w:bottom w:val="single" w:sz="8"/>
            </w:tcBorders>
            <w:hMerge w:val="continue"/>
          </w:tcPr>
          <w:p/>
        </w:tc>
        <w:tc>
          <w:tcPr>
            <w:tcW w:type="dxa" w:w="700"/>
            <w:tcMar>
              <w:left w:type="dxa" w:w="60"/>
              <w:right w:type="dxa" w:w="60"/>
            </w:tcMar>
            <w:v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Useful Life   (in years)</w:t>
            </w:r>
          </w:p>
        </w:tc>
      </w:tr>
      <w:tr>
        <w:trPr>
          <w:trHeight w:hRule="exact" w:val="320"/>
        </w:trPr>
        <w:tc>
          <w:tcPr>
            <w:tcW w:type="dxa" w:w="49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 2019</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 2019</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2018</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2018</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700"/>
            <w:tcMar>
              <w:left w:type="dxa" w:w="60"/>
              <w:right w:type="dxa" w:w="0"/>
            </w:tcMar>
            <w:hMerge w:val="restart"/>
            <w:vMerge w:val="continue"/>
            <w:tcBorders>
              <w:bottom w:val="single" w:sz="8"/>
            </w:tcBorders>
            <w:vAlign w:val="bottom"/>
          </w:tcPr>
          <w:p>
            <w:pPr>
              <w:jc w:val="left"/>
              <w:keepNext/>
              <w:keepLines/>
              <w:spacing w:before="40" w:after="40" w:line="240" w:lineRule="auto"/>
              <w:rPr/>
            </w:pPr>
            <w:r>
              <w:rPr/>
            </w:r>
          </w:p>
        </w:tc>
      </w:tr>
      <w:tr>
        <w:trPr>
          <w:trHeight w:hRule="exact" w:val="280"/>
        </w:trPr>
        <w:tc>
          <w:tcPr>
            <w:tcW w:type="dxa" w:w="4980"/>
            <w:tcMar>
              <w:left w:type="dxa" w:w="60"/>
              <w:right w:type="dxa" w:w="40"/>
            </w:tcMar>
            <w:vMerge w:val="restart"/>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Content provider networks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70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r>
      <w:tr>
        <w:trPr>
          <w:trHeight w:hRule="exact" w:val="280"/>
        </w:trPr>
        <w:tc>
          <w:tcPr>
            <w:tcW w:type="dxa" w:w="49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Trade names</w:t>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75,333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75,333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66,583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66,583</w:t>
            </w:r>
          </w:p>
        </w:tc>
        <w:tc>
          <w:tcPr>
            <w:tcW w:type="dxa" w:w="77"/>
            <w:tcMar>
              <w:left w:type="dxa" w:w="0"/>
              <w:right w:type="dxa" w:w="0"/>
            </w:tcMar>
            <w:tcBorders/>
          </w:tcP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r>
      <w:tr>
        <w:trPr>
          <w:trHeight w:hRule="exact" w:val="280"/>
        </w:trPr>
        <w:tc>
          <w:tcPr>
            <w:tcW w:type="dxa" w:w="49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Developed technology</w:t>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452,667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452,667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396,167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396,167</w:t>
            </w:r>
          </w:p>
        </w:tc>
        <w:tc>
          <w:tcPr>
            <w:tcW w:type="dxa" w:w="77"/>
            <w:tcMar>
              <w:left w:type="dxa" w:w="0"/>
              <w:right w:type="dxa" w:w="0"/>
            </w:tcMar>
            <w:tcBorders/>
          </w:tcP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280"/>
        </w:trPr>
        <w:tc>
          <w:tcPr>
            <w:tcW w:type="dxa" w:w="49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Self-service content customers</w:t>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787,778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787,778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571,111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571,111</w:t>
            </w:r>
          </w:p>
        </w:tc>
        <w:tc>
          <w:tcPr>
            <w:tcW w:type="dxa" w:w="77"/>
            <w:tcMar>
              <w:left w:type="dxa" w:w="0"/>
              <w:right w:type="dxa" w:w="0"/>
            </w:tcMar>
            <w:tcBorders/>
          </w:tcP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r>
      <w:tr>
        <w:trPr>
          <w:trHeight w:hRule="exact" w:val="280"/>
        </w:trPr>
        <w:tc>
          <w:tcPr>
            <w:tcW w:type="dxa" w:w="49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content customers</w:t>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2,101,111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2,101,111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2,071,945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2,071,945</w:t>
            </w:r>
          </w:p>
        </w:tc>
        <w:tc>
          <w:tcPr>
            <w:tcW w:type="dxa" w:w="77"/>
            <w:tcMar>
              <w:left w:type="dxa" w:w="0"/>
              <w:right w:type="dxa" w:w="0"/>
            </w:tcMar>
            <w:tcBorders/>
          </w:tcP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r>
      <w:tr>
        <w:trPr>
          <w:trHeight w:hRule="exact" w:val="280"/>
        </w:trPr>
        <w:tc>
          <w:tcPr>
            <w:tcW w:type="dxa" w:w="49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Domains</w:t>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108,205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108,205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99,881</w:t>
            </w:r>
          </w:p>
        </w:tc>
        <w:tc>
          <w:tcPr>
            <w:tcW w:type="dxa" w:w="77"/>
            <w:tcMar>
              <w:left w:type="dxa" w:w="0"/>
              <w:right w:type="dxa" w:w="0"/>
            </w:tcMar>
            <w:tcBorders/>
          </w:tcP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280"/>
        </w:trPr>
        <w:tc>
          <w:tcPr>
            <w:tcW w:type="dxa" w:w="49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Embedded non-compete provision</w:t>
            </w:r>
          </w:p>
        </w:tc>
        <w:tc>
          <w:tcPr>
            <w:tcW w:type="dxa" w:w="9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9,333</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9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5,833</w:t>
            </w:r>
          </w:p>
        </w:tc>
        <w:tc>
          <w:tcPr>
            <w:tcW w:type="dxa" w:w="77"/>
            <w:tcMar>
              <w:left w:type="dxa" w:w="0"/>
              <w:right w:type="dxa" w:w="0"/>
            </w:tcMar>
            <w:tcBorders>
              <w:bottom w:val="single" w:sz="8"/>
            </w:tcBorders>
          </w:tcP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r>
      <w:tr>
        <w:trPr>
          <w:trHeight w:hRule="exact" w:val="500"/>
        </w:trPr>
        <w:tc>
          <w:tcPr>
            <w:tcW w:type="dxa" w:w="498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identifiable intangible assets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3,694,427</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3,371,520</w:t>
            </w:r>
          </w:p>
        </w:tc>
        <w:tc>
          <w:tcPr>
            <w:tcW w:type="dxa" w:w="77"/>
            <w:tcMar>
              <w:left w:type="dxa" w:w="0"/>
              <w:right w:type="dxa" w:w="0"/>
            </w:tcMar>
            <w:tcBorders>
              <w:top w:val="single" w:sz="8" w:space="0"/>
              <w:bottom w:val="double" w:sz="4"/>
            </w:tcBorders>
          </w:tcPr>
          <w:p/>
        </w:tc>
        <w:tc>
          <w:tcPr>
            <w:tcW w:type="dxa" w:w="700"/>
            <w:tcMar>
              <w:left w:type="dxa" w:w="0"/>
              <w:right w:type="dxa" w:w="60"/>
            </w:tcMar>
            <w:tcBorders/>
            <w:vAlign w:val="bottom"/>
          </w:tcPr>
          <w:p>
            <w:pPr>
              <w:jc w:val="left"/>
              <w:keepLines/>
              <w:spacing w:before="40" w:after="40" w:line="240" w:lineRule="auto"/>
              <w:rPr/>
            </w:pPr>
            <w:r>
              <w:rPr/>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identifiable intangible assets, other than Goodwill, from the Company's acquisitions and other acquired assets net of accumulated amortization thereon consists of the following:</w:t>
      </w:r>
    </w:p>
    <w:tbl>
      <w:tblPr>
        <w:tblW w:type="dxa" w:w="10240"/>
        <w:tblLayout w:type="fixed"/>
        <w:jc w:val="center"/>
      </w:tblPr>
      <w:tblGrid>
        <w:gridCol w:w="7560"/>
        <w:gridCol w:w="110"/>
        <w:gridCol w:w="1113"/>
        <w:gridCol w:w="77"/>
        <w:gridCol w:w="80"/>
        <w:gridCol w:w="110"/>
        <w:gridCol w:w="1113"/>
        <w:gridCol w:w="77"/>
      </w:tblGrid>
      <w:tr>
        <w:trPr>
          <w:trHeight w:hRule="exact" w:val="50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0"/>
              <w:right w:type="dxa" w:w="60"/>
            </w:tcMar>
            <w:tcBorders>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Ebyline Intangible Assets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2,370,000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2,370,000</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ZenContent Intangible Assets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TapInfluence Intangible Assets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Domains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Intangible Assets</w:t>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(3,694,427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(3,694,427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(3,371,520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(3,371,520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2,827,042</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3,149,949</w:t>
            </w:r>
          </w:p>
        </w:tc>
        <w:tc>
          <w:tcPr>
            <w:tcW w:type="dxa" w:w="77"/>
            <w:tcMar>
              <w:left w:type="dxa" w:w="0"/>
              <w:right w:type="dxa" w:w="0"/>
            </w:tcMar>
            <w:tcBorders>
              <w:top w:val="single" w:sz="8" w:space="0"/>
              <w:bottom w:val="double" w:sz="4"/>
            </w:tcBorders>
          </w:tcP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 amortizing the identifiable intangible assets over a weighted average period of </w:t>
      </w:r>
      <w:r>
        <w:rPr>
          <w:rFonts w:ascii="Times New Roman" w:hAnsi="Times New Roman" w:eastAsia="Times New Roman" w:cs="Times New Roman"/>
          <w:sz w:val="20"/>
        </w:rPr>
        <w:t xml:space="preserve">three years</w:t>
      </w:r>
      <w:r>
        <w:rPr>
          <w:rFonts w:ascii="Times New Roman" w:hAnsi="Times New Roman" w:eastAsia="Times New Roman" w:cs="Times New Roman"/>
          <w:sz w:val="20"/>
        </w:rPr>
        <w:t xml:space="preserve">. Amortization expense recorded in depreciation and amortization expense in the accompanying consolidated statements of operations was </w:t>
      </w:r>
      <w:r>
        <w:rPr>
          <w:rFonts w:ascii="Times New Roman" w:hAnsi="Times New Roman" w:eastAsia="Times New Roman" w:cs="Times New Roman"/>
          <w:sz w:val="20"/>
        </w:rPr>
        <w:t xml:space="preserve">$322,907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$135,795</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The portion of this amortization expense specifically related to the costs of acquired technology for its platforms that is presented separately from cost of revenue was </w:t>
      </w:r>
      <w:r>
        <w:rPr>
          <w:rFonts w:ascii="Times New Roman" w:hAnsi="Times New Roman" w:eastAsia="Times New Roman" w:cs="Times New Roman"/>
          <w:sz w:val="20"/>
        </w:rPr>
        <w:t xml:space="preserve">$26,500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$26,500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future estimated amortization expense related to identifiable intangible assets over the next five years is set forth in the following schedule:</w:t>
      </w:r>
    </w:p>
    <w:tbl>
      <w:tblPr>
        <w:tblW w:type="dxa" w:w="10240"/>
        <w:tblLayout w:type="fixed"/>
        <w:jc w:val="center"/>
      </w:tblPr>
      <w:tblGrid>
        <w:gridCol w:w="8640"/>
        <w:gridCol w:w="110"/>
        <w:gridCol w:w="1413"/>
        <w:gridCol w:w="77"/>
      </w:tblGrid>
      <w:tr>
        <w:trPr>
          <w:trHeight w:hRule="exact" w:val="500"/>
        </w:trPr>
        <w:tc>
          <w:tcPr>
            <w:tcW w:type="dxa" w:w="86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Year ending December 31:</w:t>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Amortization Expense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Amortization Expense</w:t>
            </w:r>
          </w:p>
        </w:tc>
        <w:tc>
          <w:tcPr>
            <w:tcMar>
              <w:left w:type="dxa" w:w="0"/>
              <w:right w:type="dxa" w:w="60"/>
            </w:tcMar>
            <w:tcBorders>
              <w:bottom w:val="single" w:sz="8"/>
            </w:tcBorders>
            <w:hMerge w:val="continue"/>
          </w:tcPr>
          <w:p/>
        </w:tc>
      </w:tr>
      <w:tr>
        <w:trPr>
          <w:trHeight w:hRule="exact" w:val="300"/>
        </w:trPr>
        <w:tc>
          <w:tcPr>
            <w:tcW w:type="dxa" w:w="8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Remainder of 2019</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905,526</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1,079,127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1,079,127</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2021</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652,389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652,389</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2022</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120,000</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2023</w:t>
            </w:r>
          </w:p>
        </w:tc>
        <w:tc>
          <w:tcPr>
            <w:tcW w:type="dxa" w:w="15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70,000</w:t>
            </w:r>
          </w:p>
        </w:tc>
        <w:tc>
          <w:tcPr>
            <w:tcW w:type="dxa" w:w="77"/>
            <w:tcMar>
              <w:left w:type="dxa" w:w="0"/>
              <w:right w:type="dxa" w:w="0"/>
            </w:tcMar>
            <w:tcBorders>
              <w:bottom w:val="single" w:sz="8"/>
            </w:tcBorders>
          </w:tcPr>
          <w:p/>
        </w:tc>
      </w:tr>
      <w:tr>
        <w:trPr>
          <w:trHeight w:hRule="exact" w:val="300"/>
        </w:trPr>
        <w:tc>
          <w:tcPr>
            <w:tcW w:type="dxa" w:w="86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2,827,042</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goodwill balance changed as follows:</w:t>
      </w:r>
    </w:p>
    <w:tbl>
      <w:tblPr>
        <w:tblW w:type="dxa" w:w="10240"/>
        <w:tblLayout w:type="fixed"/>
        <w:jc w:val="center"/>
      </w:tblPr>
      <w:tblGrid>
        <w:gridCol w:w="8640"/>
        <w:gridCol w:w="110"/>
        <w:gridCol w:w="1413"/>
        <w:gridCol w:w="77"/>
      </w:tblGrid>
      <w:tr>
        <w:trPr>
          <w:trHeight w:hRule="exact" w:val="300"/>
        </w:trPr>
        <w:tc>
          <w:tcPr>
            <w:tcW w:type="dxa" w:w="864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Amount</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Amount</w:t>
            </w:r>
          </w:p>
        </w:tc>
        <w:tc>
          <w:tcPr>
            <w:tcMar>
              <w:left w:type="dxa" w:w="0"/>
              <w:right w:type="dxa" w:w="60"/>
            </w:tcMar>
            <w:tcBorders>
              <w:bottom w:val="single" w:sz="8"/>
            </w:tcBorders>
            <w:hMerge w:val="continue"/>
          </w:tcPr>
          <w:p/>
        </w:tc>
      </w:tr>
      <w:tr>
        <w:trPr>
          <w:trHeight w:hRule="exact" w:val="300"/>
        </w:trPr>
        <w:tc>
          <w:tcPr>
            <w:tcW w:type="dxa" w:w="8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 on December 31, 2018</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op w:val="single" w:sz="8" w:space="0"/>
            </w:tcBorders>
          </w:tcPr>
          <w:p/>
        </w:tc>
      </w:tr>
      <w:tr>
        <w:trPr>
          <w:trHeight w:hRule="exact" w:val="300"/>
        </w:trPr>
        <w:tc>
          <w:tcPr>
            <w:tcW w:type="dxa" w:w="8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Acquired during 2019</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00"/>
        </w:trPr>
        <w:tc>
          <w:tcPr>
            <w:tcW w:type="dxa" w:w="86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 on March 31, 2019</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op w:val="single" w:sz="8" w:space="0"/>
              <w:bottom w:val="double" w:sz="4"/>
            </w:tcBorders>
          </w:tcPr>
          <w:p/>
        </w:tc>
      </w:tr>
    </w:tbl>
    <w:p>
      <w:pPr>
        <w:jc w:val="left"/>
        <w:keepLines/>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7"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5. 	SOFTWARE DEVELOPMENT COSTS</w:t>
      </w:r>
      <w:bookmarkStart w:id="42844" w:name="NOTE_5___Software_Development_Costs"/>
      <w:bookmarkEnd w:id="42844"/>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Software development costs consists of the following:</w:t>
      </w:r>
    </w:p>
    <w:tbl>
      <w:tblPr>
        <w:tblW w:type="dxa" w:w="10240"/>
        <w:tblLayout w:type="fixed"/>
        <w:jc w:val="center"/>
      </w:tblPr>
      <w:tblGrid>
        <w:gridCol w:w="7560"/>
        <w:gridCol w:w="110"/>
        <w:gridCol w:w="1113"/>
        <w:gridCol w:w="77"/>
        <w:gridCol w:w="80"/>
        <w:gridCol w:w="110"/>
        <w:gridCol w:w="1113"/>
        <w:gridCol w:w="77"/>
      </w:tblGrid>
      <w:tr>
        <w:trPr>
          <w:trHeight w:hRule="exact" w:val="50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0"/>
              <w:right w:type="dxa" w:w="60"/>
            </w:tcMar>
            <w:tcBorders>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2,663,304</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2,316,515</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accumulated depreciation and amortization</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(962,753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(962,753</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(887,911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(887,911</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1,700,551</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1,428,604</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developed its web-based advertising and content exchange platform,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to enable native advertising campaigns on a greater scale. The Company continues to add new features and additional functionality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to facilitate the contracting, workflow, and delivery of direct content as well as provide for invoicing, collaborating, and direct payments for the Company's self-service customers. Research and planning phase costs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 Company incurred and capitalized software development costs of </w:t>
      </w:r>
      <w:r>
        <w:rPr>
          <w:rFonts w:ascii="Times New Roman" w:hAnsi="Times New Roman" w:eastAsia="Times New Roman" w:cs="Times New Roman"/>
          <w:sz w:val="20"/>
        </w:rPr>
        <w:t xml:space="preserve">$346,789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$119,352</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As a result, the Company has capitalized a total of </w:t>
      </w:r>
      <w:r>
        <w:rPr>
          <w:rFonts w:ascii="Times New Roman" w:hAnsi="Times New Roman" w:eastAsia="Times New Roman" w:cs="Times New Roman"/>
          <w:sz w:val="20"/>
        </w:rPr>
        <w:t xml:space="preserve">$2,663,304</w:t>
      </w:r>
      <w:r>
        <w:rPr>
          <w:rFonts w:ascii="Times New Roman" w:hAnsi="Times New Roman" w:eastAsia="Times New Roman" w:cs="Times New Roman"/>
          <w:sz w:val="20"/>
        </w:rPr>
        <w:t xml:space="preserve"> in direct materials, consulting, payroll and benefit costs to its internal use software development costs in the consolidated balance sheet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amortizes its software development costs, upon initial release of the software or additional features, on a straight-line basis over the estimated the useful life of </w:t>
      </w:r>
      <w:r>
        <w:rPr>
          <w:rFonts w:ascii="Times New Roman" w:hAnsi="Times New Roman" w:eastAsia="Times New Roman" w:cs="Times New Roman"/>
          <w:sz w:val="20"/>
        </w:rPr>
        <w:t xml:space="preserve">five years</w:t>
      </w:r>
      <w:r>
        <w:rPr>
          <w:rFonts w:ascii="Times New Roman" w:hAnsi="Times New Roman" w:eastAsia="Times New Roman" w:cs="Times New Roman"/>
          <w:sz w:val="20"/>
        </w:rPr>
        <w:t xml:space="preserve">, which is consistent with the amount of time its legacy platforms were in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Amortization expense on software development costs that is presented separately from cost of revenue and recorded in depreciation and amortization expense in the accompanying consolidated statements of operations was </w:t>
      </w:r>
      <w:r>
        <w:rPr>
          <w:rFonts w:ascii="Times New Roman" w:hAnsi="Times New Roman" w:eastAsia="Times New Roman" w:cs="Times New Roman"/>
          <w:sz w:val="20"/>
        </w:rPr>
        <w:t xml:space="preserve">$74,842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$73,622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future estimated amortization expense related to software development costs is set forth in the following schedule:</w:t>
      </w:r>
    </w:p>
    <w:tbl>
      <w:tblPr>
        <w:tblW w:type="dxa" w:w="10240"/>
        <w:tblLayout w:type="fixed"/>
        <w:jc w:val="justify"/>
      </w:tblPr>
      <w:tblGrid>
        <w:gridCol w:w="8240"/>
        <w:gridCol w:w="110"/>
        <w:gridCol w:w="1813"/>
        <w:gridCol w:w="77"/>
      </w:tblGrid>
      <w:tr>
        <w:trPr>
          <w:trHeight w:hRule="exact" w:val="500"/>
        </w:trPr>
        <w:tc>
          <w:tcPr>
            <w:tcW w:type="dxa" w:w="82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Year ending December 31:</w:t>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Amortization Expense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Amortization Expense</w:t>
            </w:r>
          </w:p>
        </w:tc>
        <w:tc>
          <w:tcPr>
            <w:tcMar>
              <w:left w:type="dxa" w:w="0"/>
              <w:right w:type="dxa" w:w="60"/>
            </w:tcMar>
            <w:tcBorders>
              <w:bottom w:val="single" w:sz="8"/>
            </w:tcBorders>
            <w:hMerge w:val="continue"/>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Remainder of 2019</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295,885</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414,002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414,002</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2021</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372,606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372,606</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2022</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303,281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303,281</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Thereafter</w:t>
            </w:r>
          </w:p>
        </w:tc>
        <w:tc>
          <w:tcPr>
            <w:tcW w:type="dxa" w:w="19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314,777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314,777</w:t>
            </w:r>
          </w:p>
        </w:tc>
        <w:tc>
          <w:tcPr>
            <w:tcW w:type="dxa" w:w="77"/>
            <w:tcMar>
              <w:left w:type="dxa" w:w="0"/>
              <w:right w:type="dxa" w:w="0"/>
            </w:tcMar>
            <w:tcBorders>
              <w:bottom w:val="single" w:sz="8"/>
            </w:tcBorders>
          </w:tcPr>
          <w:p/>
        </w:tc>
      </w:tr>
      <w:tr>
        <w:trPr>
          <w:trHeight w:hRule="exact" w:val="300"/>
        </w:trPr>
        <w:tc>
          <w:tcPr>
            <w:tcW w:type="dxa" w:w="824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1,700,551</w:t>
            </w:r>
          </w:p>
        </w:tc>
        <w:tc>
          <w:tcPr>
            <w:tcW w:type="dxa" w:w="77"/>
            <w:tcMar>
              <w:left w:type="dxa" w:w="0"/>
              <w:right w:type="dxa" w:w="0"/>
            </w:tcMar>
            <w:tcBorders>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8" w:type="default"/>
        </w:sectPr>
      </w:pPr>
    </w:p>
    <w:p>
      <w:pPr>
        <w:tabs>
          <w:tab w:val="left" w:pos="1440"/>
        </w:tabs>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6.	COMMITMENTS &amp; CONTINGENCIES</w:t>
      </w:r>
      <w:bookmarkStart w:id="51327" w:name="NOTE_6___Commitments___Contingencies"/>
      <w:bookmarkEnd w:id="51327"/>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Credit Agreement</w:t>
      </w:r>
    </w:p>
    <w:p>
      <w:pPr>
        <w:tabs>
          <w:tab w:val="left" w:pos="6840"/>
          <w:tab w:val="left" w:pos="7200"/>
          <w:tab w:val="left" w:pos="7920"/>
          <w:tab w:val="left" w:pos="8640"/>
          <w:tab w:val="left" w:pos="9360"/>
          <w:tab w:val="left" w:pos="10080"/>
          <w:tab w:val="left" w:pos="10800"/>
          <w:tab w:val="left" w:pos="11520"/>
        </w:tabs>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a secured credit facility agreement with Western Alliance Bank, the parent company of Bridge Bank, N.A. of San Jose, California, which it obtained on March 1, 2013 and expanded on April 13, 2015. Effective August 30, 2018, as a result of IZEA's merger with TapInfluence, the Company entered into a Business Financing Modification Agreement and Consent with Western Alliance Bank to add TapInfluence as an additional borrower on the credit facility. In connection with the August 30, 2018 amendment, the Company incurred approximately </w:t>
      </w:r>
      <w:r>
        <w:rPr>
          <w:rFonts w:ascii="Times New Roman" w:hAnsi="Times New Roman" w:eastAsia="Times New Roman" w:cs="Times New Roman"/>
          <w:sz w:val="20"/>
        </w:rPr>
        <w:t xml:space="preserve">$8,400</w:t>
      </w:r>
      <w:r>
        <w:rPr>
          <w:rFonts w:ascii="Times New Roman" w:hAnsi="Times New Roman" w:eastAsia="Times New Roman" w:cs="Times New Roman"/>
          <w:sz w:val="20"/>
        </w:rPr>
        <w:t xml:space="preserve"> of costs which have been capitalized and are being amortized through interest expense over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months. Pursuant to the credit facility agreement, as amended, the Company may submit requests for funding up to </w:t>
      </w:r>
      <w:r>
        <w:rPr>
          <w:rFonts w:ascii="Times New Roman" w:hAnsi="Times New Roman" w:eastAsia="Times New Roman" w:cs="Times New Roman"/>
          <w:sz w:val="20"/>
        </w:rPr>
        <w:t xml:space="preserve">80%</w:t>
      </w:r>
      <w:r>
        <w:rPr>
          <w:rFonts w:ascii="Times New Roman" w:hAnsi="Times New Roman" w:eastAsia="Times New Roman" w:cs="Times New Roman"/>
          <w:sz w:val="20"/>
        </w:rPr>
        <w:t xml:space="preserve"> of its eligible accounts receivable up to a maximum credit limit of </w:t>
      </w:r>
      <w:r>
        <w:rPr>
          <w:rFonts w:ascii="Times New Roman" w:hAnsi="Times New Roman" w:eastAsia="Times New Roman" w:cs="Times New Roman"/>
          <w:sz w:val="20"/>
        </w:rPr>
        <w:t xml:space="preserve">$5 million</w:t>
      </w:r>
      <w:r>
        <w:rPr>
          <w:rFonts w:ascii="Times New Roman" w:hAnsi="Times New Roman" w:eastAsia="Times New Roman" w:cs="Times New Roman"/>
          <w:sz w:val="20"/>
        </w:rPr>
        <w:t xml:space="preserve">. This agreement is secured by the Company's accounts receivable and substantially all of the Company's other assets. The agreement automatically renews in April of each year and requires the Company to pay an annual facility fee of </w:t>
      </w:r>
      <w:r>
        <w:rPr>
          <w:rFonts w:ascii="Times New Roman" w:hAnsi="Times New Roman" w:eastAsia="Times New Roman" w:cs="Times New Roman"/>
          <w:sz w:val="20"/>
        </w:rPr>
        <w:t xml:space="preserve">$20,000</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0.4%</w:t>
      </w:r>
      <w:r>
        <w:rPr>
          <w:rFonts w:ascii="Times New Roman" w:hAnsi="Times New Roman" w:eastAsia="Times New Roman" w:cs="Times New Roman"/>
          <w:sz w:val="20"/>
        </w:rPr>
        <w:t xml:space="preserve"> of the credit limit) and an annual due diligence fee of </w:t>
      </w:r>
      <w:r>
        <w:rPr>
          <w:rFonts w:ascii="Times New Roman" w:hAnsi="Times New Roman" w:eastAsia="Times New Roman" w:cs="Times New Roman"/>
          <w:sz w:val="20"/>
        </w:rPr>
        <w:t xml:space="preserve">$1,000</w:t>
      </w:r>
      <w:r>
        <w:rPr>
          <w:rFonts w:ascii="Times New Roman" w:hAnsi="Times New Roman" w:eastAsia="Times New Roman" w:cs="Times New Roman"/>
          <w:sz w:val="20"/>
        </w:rPr>
        <w:t xml:space="preserve">. Interest accrued on the advances at the rate of </w:t>
      </w:r>
      <w:r>
        <w:rPr>
          <w:rFonts w:ascii="Times New Roman" w:hAnsi="Times New Roman" w:eastAsia="Times New Roman" w:cs="Times New Roman"/>
          <w:sz w:val="20"/>
        </w:rPr>
        <w:t xml:space="preserve">prime plus 2% per annum</w:t>
      </w:r>
      <w:r>
        <w:rPr>
          <w:rFonts w:ascii="Times New Roman" w:hAnsi="Times New Roman" w:eastAsia="Times New Roman" w:cs="Times New Roman"/>
          <w:sz w:val="20"/>
        </w:rPr>
        <w:t xml:space="preserve"> through August 29, 2018, at which time the rate was amended to </w:t>
      </w:r>
      <w:r>
        <w:rPr>
          <w:rFonts w:ascii="Times New Roman" w:hAnsi="Times New Roman" w:eastAsia="Times New Roman" w:cs="Times New Roman"/>
          <w:sz w:val="20"/>
        </w:rPr>
        <w:t xml:space="preserve">prime plus 1.5%</w:t>
      </w:r>
      <w:r>
        <w:rPr>
          <w:rFonts w:ascii="Times New Roman" w:hAnsi="Times New Roman" w:eastAsia="Times New Roman" w:cs="Times New Roman"/>
          <w:sz w:val="20"/>
        </w:rPr>
        <w:t xml:space="preserve"> per annum in conjunction with the August 30, 2018 modification agreement. The default rate of interest is </w:t>
      </w:r>
      <w:r>
        <w:rPr>
          <w:rFonts w:ascii="Times New Roman" w:hAnsi="Times New Roman" w:eastAsia="Times New Roman" w:cs="Times New Roman"/>
          <w:sz w:val="20"/>
        </w:rPr>
        <w:t xml:space="preserve">prime plus 7%</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$1,336,247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$1,526,288</w:t>
      </w:r>
      <w:r>
        <w:rPr>
          <w:rFonts w:ascii="Times New Roman" w:hAnsi="Times New Roman" w:eastAsia="Times New Roman" w:cs="Times New Roman"/>
          <w:sz w:val="20"/>
        </w:rPr>
        <w:t xml:space="preserve"> outstanding under this line of credit agreement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These balances outstanding were secured by gross accounts receivable balances of </w:t>
      </w:r>
      <w:r>
        <w:rPr>
          <w:rFonts w:ascii="Times New Roman" w:hAnsi="Times New Roman" w:eastAsia="Times New Roman" w:cs="Times New Roman"/>
          <w:sz w:val="20"/>
        </w:rPr>
        <w:t xml:space="preserve">$1,670,308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$1,907,860</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respectively.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had a net accounts receivable balance of </w:t>
      </w:r>
      <w:r>
        <w:rPr>
          <w:rFonts w:ascii="Times New Roman" w:hAnsi="Times New Roman" w:eastAsia="Times New Roman" w:cs="Times New Roman"/>
          <w:sz w:val="20"/>
        </w:rPr>
        <w:t xml:space="preserve">$6,066,161</w:t>
      </w:r>
      <w:r>
        <w:rPr>
          <w:rFonts w:ascii="Times New Roman" w:hAnsi="Times New Roman" w:eastAsia="Times New Roman" w:cs="Times New Roman"/>
          <w:sz w:val="20"/>
        </w:rPr>
        <w:t xml:space="preserve">. Assuming that all of the Company's accounts receivable balance was eligible for funding, the Company had </w:t>
      </w:r>
      <w:r>
        <w:rPr>
          <w:rFonts w:ascii="Times New Roman" w:hAnsi="Times New Roman" w:eastAsia="Times New Roman" w:cs="Times New Roman"/>
          <w:sz w:val="20"/>
        </w:rPr>
        <w:t xml:space="preserve">$3,516,682</w:t>
      </w:r>
      <w:r>
        <w:rPr>
          <w:rFonts w:ascii="Times New Roman" w:hAnsi="Times New Roman" w:eastAsia="Times New Roman" w:cs="Times New Roman"/>
          <w:sz w:val="20"/>
        </w:rPr>
        <w:t xml:space="preserve"> in remaining available credit under the agreement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t>
      </w:r>
    </w:p>
    <w:p>
      <w:pPr>
        <w:tabs>
          <w:tab w:val="left" w:pos="684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684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annual fees are capitalized in the Company's consolidated balance sheet within other current assets and are amortized to interest expense over </w:t>
      </w:r>
      <w:r>
        <w:rPr>
          <w:rFonts w:ascii="Times New Roman" w:hAnsi="Times New Roman" w:eastAsia="Times New Roman" w:cs="Times New Roman"/>
          <w:sz w:val="20"/>
        </w:rPr>
        <w:t xml:space="preserve">one year</w:t>
      </w:r>
      <w:r>
        <w:rPr>
          <w:rFonts w:ascii="Times New Roman" w:hAnsi="Times New Roman" w:eastAsia="Times New Roman" w:cs="Times New Roman"/>
          <w:sz w:val="20"/>
        </w:rPr>
        <w:t xml:space="preserve">. The Company amortized </w:t>
      </w:r>
      <w:r>
        <w:rPr>
          <w:rFonts w:ascii="Times New Roman" w:hAnsi="Times New Roman" w:eastAsia="Times New Roman" w:cs="Times New Roman"/>
          <w:sz w:val="20"/>
        </w:rPr>
        <w:t xml:space="preserve">$8,410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$5,250</w:t>
      </w:r>
      <w:r>
        <w:rPr>
          <w:rFonts w:ascii="Times New Roman" w:hAnsi="Times New Roman" w:eastAsia="Times New Roman" w:cs="Times New Roman"/>
          <w:sz w:val="20"/>
        </w:rPr>
        <w:t xml:space="preserve"> of the credit facility costs through interest expense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The remaining value of the capitalized loan costs related to the Bridge Bank credit agreement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is </w:t>
      </w:r>
      <w:r>
        <w:rPr>
          <w:rFonts w:ascii="Times New Roman" w:hAnsi="Times New Roman" w:eastAsia="Times New Roman" w:cs="Times New Roman"/>
          <w:sz w:val="20"/>
        </w:rPr>
        <w:t xml:space="preserve">$2,804</w:t>
      </w:r>
      <w:r>
        <w:rPr>
          <w:rFonts w:ascii="Times New Roman" w:hAnsi="Times New Roman" w:eastAsia="Times New Roman" w:cs="Times New Roman"/>
          <w:sz w:val="20"/>
        </w:rPr>
        <w:t xml:space="preserve">. This amount will be amortized to interest expense in April 2019.</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Lease Commitments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obligations under capital leases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December 31, 2018.</w:t>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Operating Leases</w:t>
      </w:r>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corporate headquarters are located at 480 N. Orlando Avenue, Suite 200 in Winter Park, Florida. The Company occupies this office pursuant to a </w:t>
      </w:r>
      <w:r>
        <w:rPr>
          <w:rFonts w:ascii="Times New Roman" w:hAnsi="Times New Roman" w:eastAsia="Times New Roman" w:cs="Times New Roman"/>
          <w:sz w:val="20"/>
        </w:rPr>
        <w:t xml:space="preserve">sixty-five month</w:t>
      </w:r>
      <w:r>
        <w:rPr>
          <w:rFonts w:ascii="Times New Roman" w:hAnsi="Times New Roman" w:eastAsia="Times New Roman" w:cs="Times New Roman"/>
          <w:sz w:val="20"/>
        </w:rPr>
        <w:t xml:space="preserve"> sublease agreement that originally expired in April 2019. In January 2019, the Company exercised its option to extend this lease for </w:t>
      </w:r>
      <w:r>
        <w:rPr>
          <w:rFonts w:ascii="Times New Roman" w:hAnsi="Times New Roman" w:eastAsia="Times New Roman" w:cs="Times New Roman"/>
          <w:sz w:val="20"/>
        </w:rPr>
        <w:t xml:space="preserve">one additional year until April 30, 2020</w:t>
      </w:r>
      <w:r>
        <w:rPr>
          <w:rFonts w:ascii="Times New Roman" w:hAnsi="Times New Roman" w:eastAsia="Times New Roman" w:cs="Times New Roman"/>
          <w:sz w:val="20"/>
        </w:rPr>
        <w:t xml:space="preserve">. This lease covers approximately </w:t>
      </w:r>
      <w:r>
        <w:rPr>
          <w:rFonts w:ascii="Times New Roman" w:hAnsi="Times New Roman" w:eastAsia="Times New Roman" w:cs="Times New Roman"/>
          <w:sz w:val="20"/>
        </w:rPr>
        <w:t xml:space="preserve">15,500</w:t>
      </w:r>
      <w:r>
        <w:rPr>
          <w:rFonts w:ascii="Times New Roman" w:hAnsi="Times New Roman" w:eastAsia="Times New Roman" w:cs="Times New Roman"/>
          <w:sz w:val="20"/>
        </w:rPr>
        <w:t xml:space="preserve"> square feet based on an annually increasing rate of </w:t>
      </w:r>
      <w:r>
        <w:rPr>
          <w:rFonts w:ascii="Times New Roman" w:hAnsi="Times New Roman" w:eastAsia="Times New Roman" w:cs="Times New Roman"/>
          <w:sz w:val="20"/>
        </w:rPr>
        <w:t xml:space="preserve">$17.50</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$22.50</w:t>
      </w:r>
      <w:r>
        <w:rPr>
          <w:rFonts w:ascii="Times New Roman" w:hAnsi="Times New Roman" w:eastAsia="Times New Roman" w:cs="Times New Roman"/>
          <w:sz w:val="20"/>
        </w:rPr>
        <w:t xml:space="preserve"> per square foot over the initial lease term. The Company also occupies flexible office space under monthly, quarterly or semi-annual membership contracts in Los Angeles, San Francisco, Denver, Chicago, New York City and Toronto.</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A summary of future minimum lease payments under the Company's non-cancelable leases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is as follows:</w:t>
      </w:r>
    </w:p>
    <w:tbl>
      <w:tblPr>
        <w:tblW w:type="dxa" w:w="10240"/>
        <w:tblLayout w:type="fixed"/>
        <w:jc w:val="justify"/>
      </w:tblPr>
      <w:tblGrid>
        <w:gridCol w:w="8240"/>
        <w:gridCol w:w="110"/>
        <w:gridCol w:w="1813"/>
        <w:gridCol w:w="77"/>
      </w:tblGrid>
      <w:tr>
        <w:trPr>
          <w:trHeight w:hRule="exact" w:val="500"/>
        </w:trPr>
        <w:tc>
          <w:tcPr>
            <w:tcW w:type="dxa" w:w="82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of March 31, 2019</w:t>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Operating Leases</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Operating Leases</w:t>
            </w:r>
          </w:p>
        </w:tc>
        <w:tc>
          <w:tcPr>
            <w:tcMar>
              <w:left w:type="dxa" w:w="0"/>
              <w:right w:type="dxa" w:w="60"/>
            </w:tcMar>
            <w:tcBorders>
              <w:bottom w:val="single" w:sz="8"/>
            </w:tcBorders>
            <w:hMerge w:val="continue"/>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432,067</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113,516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113,516</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minimum lease payments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545,583</w:t>
            </w:r>
          </w:p>
        </w:tc>
        <w:tc>
          <w:tcPr>
            <w:tcW w:type="dxa" w:w="77"/>
            <w:tcMar>
              <w:left w:type="dxa" w:w="0"/>
              <w:right w:type="dxa" w:w="0"/>
            </w:tcMar>
            <w:tcBorders>
              <w:top w:val="single" w:sz="8" w:space="0"/>
              <w:bottom w:val="double" w:sz="4"/>
            </w:tcBorders>
          </w:tcPr>
          <w:p/>
        </w:tc>
      </w:tr>
    </w:tbl>
    <w:p>
      <w:pPr>
        <w:jc w:val="left"/>
        <w:spacing w:line="40" w:lineRule="exact"/>
        <w:rPr/>
      </w:pPr>
      <w:r>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Our lease portfolio has a wighted-average remaining lease term of 11 months. The present value of the lease obligation associated with our Winter Park, Florida office space was determined using a discount rate of 9.5%, consistent with our effective borrowing rate.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rent expense recorded in general and administrative expense in the accompanying consolidated statements of operations was approximately </w:t>
      </w:r>
      <w:r>
        <w:rPr>
          <w:rFonts w:ascii="Times New Roman" w:hAnsi="Times New Roman" w:eastAsia="Times New Roman" w:cs="Times New Roman"/>
          <w:sz w:val="20"/>
        </w:rPr>
        <w:t xml:space="preserve">$154,697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$167,582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Retirement Plans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December 2007, the Company introduced a 401(k) plan that covered all eligible employees. The Company matches participant contributions in an amount equal to </w:t>
      </w:r>
      <w:r>
        <w:rPr>
          <w:rFonts w:ascii="Times New Roman" w:hAnsi="Times New Roman" w:eastAsia="Times New Roman" w:cs="Times New Roman"/>
          <w:sz w:val="20"/>
        </w:rPr>
        <w:t xml:space="preserve">50%</w:t>
      </w:r>
      <w:r>
        <w:rPr>
          <w:rFonts w:ascii="Times New Roman" w:hAnsi="Times New Roman" w:eastAsia="Times New Roman" w:cs="Times New Roman"/>
          <w:sz w:val="20"/>
        </w:rPr>
        <w:t xml:space="preserve"> of each participant's contribution up to </w:t>
      </w:r>
      <w:r>
        <w:rPr>
          <w:rFonts w:ascii="Times New Roman" w:hAnsi="Times New Roman" w:eastAsia="Times New Roman" w:cs="Times New Roman"/>
          <w:sz w:val="20"/>
        </w:rPr>
        <w:t xml:space="preserve">8%</w:t>
      </w:r>
      <w:r>
        <w:rPr>
          <w:rFonts w:ascii="Times New Roman" w:hAnsi="Times New Roman" w:eastAsia="Times New Roman" w:cs="Times New Roman"/>
          <w:sz w:val="20"/>
        </w:rPr>
        <w:t xml:space="preserve"> of the participant's salary. The participants become vested in </w:t>
      </w:r>
      <w:r>
        <w:rPr>
          <w:rFonts w:ascii="Times New Roman" w:hAnsi="Times New Roman" w:eastAsia="Times New Roman" w:cs="Times New Roman"/>
          <w:sz w:val="20"/>
        </w:rPr>
        <w:t xml:space="preserve">20%</w:t>
      </w:r>
      <w:r>
        <w:rPr>
          <w:rFonts w:ascii="Times New Roman" w:hAnsi="Times New Roman" w:eastAsia="Times New Roman" w:cs="Times New Roman"/>
          <w:sz w:val="20"/>
        </w:rPr>
        <w:t xml:space="preserve"> annual increments after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years of service.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Company incurred </w:t>
      </w:r>
      <w:r>
        <w:rPr>
          <w:rFonts w:ascii="Times New Roman" w:hAnsi="Times New Roman" w:eastAsia="Times New Roman" w:cs="Times New Roman"/>
          <w:sz w:val="20"/>
        </w:rPr>
        <w:t xml:space="preserve">$51,692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$50,324</w:t>
      </w:r>
      <w:r>
        <w:rPr>
          <w:rFonts w:ascii="Times New Roman" w:hAnsi="Times New Roman" w:eastAsia="Times New Roman" w:cs="Times New Roman"/>
          <w:sz w:val="20"/>
        </w:rPr>
        <w:t xml:space="preserve">, respectively, in expense for matching employer contributions.</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Litigation</w:t>
      </w:r>
      <w:r>
        <w:rPr>
          <w:rFonts w:ascii="Times New Roman" w:hAnsi="Times New Roman" w:eastAsia="Times New Roman" w:cs="Times New Roman"/>
          <w:sz w:val="20"/>
          <w:b w:val="true"/>
        </w:rPr>
      </w:r>
    </w:p>
    <w:p>
      <w:pPr>
        <w:jc w:val="both"/>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the Company and certain of its executive officers on behalf of certain purchasers of its common stock. The plaintiffs seek to recover damages for investors under federal securities laws. The Company believes that the plaintiffs’ allegations are without merit and intends to continue to vigorously defend against the claims. However, based upon currently available information and review with outside counsel, the Company has estimated and accrued a potential loss of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representing its deductible on the associated insurance coverage.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April 15, 2019, a stipulation of settlement was filed in the U.S. District Court for the Central District of California that contained settlement terms as agreed upon by us and the other parties to the Perez class action lawsuit described above. The settlement terms as agreed upon by the parties include that, within </w:t>
      </w:r>
      <w:r>
        <w:rPr>
          <w:rFonts w:ascii="Times New Roman" w:hAnsi="Times New Roman" w:eastAsia="Times New Roman" w:cs="Times New Roman"/>
          <w:sz w:val="20"/>
        </w:rPr>
        <w:t xml:space="preserve">15</w:t>
      </w:r>
      <w:r>
        <w:rPr>
          <w:rFonts w:ascii="Times New Roman" w:hAnsi="Times New Roman" w:eastAsia="Times New Roman" w:cs="Times New Roman"/>
          <w:sz w:val="20"/>
        </w:rPr>
        <w:t xml:space="preserve"> business days of execution of the stipulation of settlement, IZEA's insurer will deposit </w:t>
      </w:r>
      <w:r>
        <w:rPr>
          <w:rFonts w:ascii="Times New Roman" w:hAnsi="Times New Roman" w:eastAsia="Times New Roman" w:cs="Times New Roman"/>
          <w:sz w:val="20"/>
        </w:rPr>
        <w:t xml:space="preserve">$250,000</w:t>
      </w:r>
      <w:r>
        <w:rPr>
          <w:rFonts w:ascii="Times New Roman" w:hAnsi="Times New Roman" w:eastAsia="Times New Roman" w:cs="Times New Roman"/>
          <w:sz w:val="20"/>
        </w:rPr>
        <w:t xml:space="preserve"> into the settlement fund. Within </w:t>
      </w:r>
      <w:r>
        <w:rPr>
          <w:rFonts w:ascii="Times New Roman" w:hAnsi="Times New Roman" w:eastAsia="Times New Roman" w:cs="Times New Roman"/>
          <w:sz w:val="20"/>
        </w:rPr>
        <w:t xml:space="preserve">20</w:t>
      </w:r>
      <w:r>
        <w:rPr>
          <w:rFonts w:ascii="Times New Roman" w:hAnsi="Times New Roman" w:eastAsia="Times New Roman" w:cs="Times New Roman"/>
          <w:sz w:val="20"/>
        </w:rPr>
        <w:t xml:space="preserve"> business days of entry of the Court's order of preliminary approval, our insurer will make a payment of </w:t>
      </w:r>
      <w:r>
        <w:rPr>
          <w:rFonts w:ascii="Times New Roman" w:hAnsi="Times New Roman" w:eastAsia="Times New Roman" w:cs="Times New Roman"/>
          <w:sz w:val="20"/>
        </w:rPr>
        <w:t xml:space="preserve">$550,000</w:t>
      </w:r>
      <w:r>
        <w:rPr>
          <w:rFonts w:ascii="Times New Roman" w:hAnsi="Times New Roman" w:eastAsia="Times New Roman" w:cs="Times New Roman"/>
          <w:sz w:val="20"/>
        </w:rPr>
        <w:t xml:space="preserve"> and we will pay the remainder of the Company's previously accrued insurance deductible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into escrow to be used as settlement funds, inclusive of lead plaintiff awards and lead counsel fees. The settlement is subject to approval by the U.S. District Court, and the plaintiff has filed a motion for preliminary approval of the settlement which the court entered on May 8, 2019. Upon final approval by the Court, the settlement will require that the Perez lawsuit be dismissed with prejudice. In the event that the Court does not approve the settlement, we intend to vigorously defend against the claims.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 2018, a shareholder derivative lawsuit, </w:t>
      </w:r>
      <w:r>
        <w:rPr>
          <w:rFonts w:ascii="Times New Roman" w:hAnsi="Times New Roman" w:eastAsia="Times New Roman" w:cs="Times New Roman"/>
          <w:sz w:val="20"/>
          <w:i w:val="true"/>
        </w:rPr>
        <w:t xml:space="preserve">Korene Stuart v. Edward H. Murphy et al</w:t>
      </w:r>
      <w:r>
        <w:rPr>
          <w:rFonts w:ascii="Times New Roman" w:hAnsi="Times New Roman" w:eastAsia="Times New Roman" w:cs="Times New Roman"/>
          <w:sz w:val="20"/>
        </w:rPr>
        <w:t xml:space="preserve">.,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the company for purported breaches of the individual defendants’ fiduciary duties as directors and/or officers of IZEA, unjust enrichment, abuse of control, gross mismanagement, and waste of corporate assets in violation of state common law.</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the company for purported breaches of the individual defendants’ fiduciary duties as directors and/or officers of IZEA, and gross mismanagement, and under federal securities laws.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March 6, 2019, a stipulation of settlement was filed in the United States District Court for the Central District of California that contained settlement terms as agreed upon by the parties to the Stuart and Emond shareholder derivative lawsuits described above. The settlement terms as agreed upon by the parties include that IZEA will direct its insurers to make a payment of </w:t>
      </w:r>
      <w:r>
        <w:rPr>
          <w:rFonts w:ascii="Times New Roman" w:hAnsi="Times New Roman" w:eastAsia="Times New Roman" w:cs="Times New Roman"/>
          <w:sz w:val="20"/>
        </w:rPr>
        <w:t xml:space="preserve">$300,000</w:t>
      </w:r>
      <w:r>
        <w:rPr>
          <w:rFonts w:ascii="Times New Roman" w:hAnsi="Times New Roman" w:eastAsia="Times New Roman" w:cs="Times New Roman"/>
          <w:sz w:val="20"/>
        </w:rPr>
        <w:t xml:space="preserve"> as a fee and service award to the plaintiffs and their counsel in the Emond and Stuart lawsuits and further that IZEA will enact certain corporate governance reforms. The settlement is subject to approval by the United States District Court for the Central District of California, and the plaintiff has filed a motion for preliminary approval of the settlement which is scheduled to be heard by the Court on May 13, 2019. Upon final approval by the Court, the settlement will require that both the Emond and Stuart lawsuits be dismissed with prejudice. In the event that the Court does not approve the settlement, the Company intends to vigorously defend against the claims.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From time to time, the Company may become involved in various other lawsuits and legal proceedings that arise in the ordinary course of its business. Litigation is, however, subject to inherent uncertainties, and an adverse result in these or other matters may arise from time to time that may harm the Company's business. The Company is currently not aware of any other legal proceedings or claims that it believes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9" w:type="default"/>
        </w:sectPr>
      </w:pPr>
    </w:p>
    <w:p>
      <w:pPr>
        <w:tabs>
          <w:tab w:val="left" w:pos="1440"/>
        </w:tabs>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7.	STOCKHOLDERS' EQUITY</w:t>
      </w:r>
      <w:bookmarkStart w:id="5513" w:name="NOTE_7___Stockholders__Equity"/>
      <w:bookmarkEnd w:id="5513"/>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Authorized Shares</w:t>
      </w:r>
    </w:p>
    <w:p>
      <w:pPr>
        <w:jc w:val="both"/>
        <w:keepLines/>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w:t>
      </w:r>
      <w:r>
        <w:rPr>
          <w:rFonts w:ascii="Times New Roman" w:hAnsi="Times New Roman" w:eastAsia="Times New Roman" w:cs="Times New Roman"/>
          <w:sz w:val="20"/>
        </w:rPr>
        <w:t xml:space="preserve">200,000,000</w:t>
      </w:r>
      <w:r>
        <w:rPr>
          <w:rFonts w:ascii="Times New Roman" w:hAnsi="Times New Roman" w:eastAsia="Times New Roman" w:cs="Times New Roman"/>
          <w:sz w:val="20"/>
        </w:rPr>
        <w:t xml:space="preserve"> authorized shares of common stock and </w:t>
      </w:r>
      <w:r>
        <w:rPr>
          <w:rFonts w:ascii="Times New Roman" w:hAnsi="Times New Roman" w:eastAsia="Times New Roman" w:cs="Times New Roman"/>
          <w:sz w:val="20"/>
        </w:rPr>
        <w:t xml:space="preserve">10,000,000</w:t>
      </w:r>
      <w:r>
        <w:rPr>
          <w:rFonts w:ascii="Times New Roman" w:hAnsi="Times New Roman" w:eastAsia="Times New Roman" w:cs="Times New Roman"/>
          <w:sz w:val="20"/>
        </w:rPr>
        <w:t xml:space="preserve"> authorized shares of preferred stock, each with a par value of </w:t>
      </w:r>
      <w:r>
        <w:rPr>
          <w:rFonts w:ascii="Times New Roman" w:hAnsi="Times New Roman" w:eastAsia="Times New Roman" w:cs="Times New Roman"/>
          <w:sz w:val="20"/>
        </w:rPr>
        <w:t xml:space="preserve">$0.0001</w:t>
      </w:r>
      <w:r>
        <w:rPr>
          <w:rFonts w:ascii="Times New Roman" w:hAnsi="Times New Roman" w:eastAsia="Times New Roman" w:cs="Times New Roman"/>
          <w:sz w:val="20"/>
        </w:rPr>
        <w:t xml:space="preserve"> per share.</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 Issued for Acquisitions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January 26, 2019, pursuant to its Merger Agreement with TapInfluence (see Note 2), the Company issued </w:t>
      </w:r>
      <w:r>
        <w:rPr>
          <w:rFonts w:ascii="Times New Roman" w:hAnsi="Times New Roman" w:eastAsia="Times New Roman" w:cs="Times New Roman"/>
          <w:sz w:val="20"/>
        </w:rPr>
        <w:t xml:space="preserve">660,136</w:t>
      </w:r>
      <w:r>
        <w:rPr>
          <w:rFonts w:ascii="Times New Roman" w:hAnsi="Times New Roman" w:eastAsia="Times New Roman" w:cs="Times New Roman"/>
          <w:sz w:val="20"/>
        </w:rPr>
        <w:t xml:space="preserve"> shares of its common stock valued at </w:t>
      </w:r>
      <w:r>
        <w:rPr>
          <w:rFonts w:ascii="Times New Roman" w:hAnsi="Times New Roman" w:eastAsia="Times New Roman" w:cs="Times New Roman"/>
          <w:sz w:val="20"/>
        </w:rPr>
        <w:t xml:space="preserve">$884,583</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per share, using a thirty (30) trading day volume-weighted average closing price as reported by the Nasdaq Capital Market prior to the issuance date. The Company recorded a </w:t>
      </w:r>
      <w:r>
        <w:rPr>
          <w:rFonts w:ascii="Times New Roman" w:hAnsi="Times New Roman" w:eastAsia="Times New Roman" w:cs="Times New Roman"/>
          <w:sz w:val="20"/>
        </w:rPr>
        <w:t xml:space="preserve">$191,439</w:t>
      </w:r>
      <w:r>
        <w:rPr>
          <w:rFonts w:ascii="Times New Roman" w:hAnsi="Times New Roman" w:eastAsia="Times New Roman" w:cs="Times New Roman"/>
          <w:sz w:val="20"/>
        </w:rPr>
        <w:t xml:space="preserve"> loss on the settlement of this acquisition cost payable as a result of the difference between the actual closing market price of the common stock of </w:t>
      </w:r>
      <w:r>
        <w:rPr>
          <w:rFonts w:ascii="Times New Roman" w:hAnsi="Times New Roman" w:eastAsia="Times New Roman" w:cs="Times New Roman"/>
          <w:sz w:val="20"/>
        </w:rPr>
        <w:t xml:space="preserve">$1.63</w:t>
      </w:r>
      <w:r>
        <w:rPr>
          <w:rFonts w:ascii="Times New Roman" w:hAnsi="Times New Roman" w:eastAsia="Times New Roman" w:cs="Times New Roman"/>
          <w:sz w:val="20"/>
        </w:rPr>
        <w:t xml:space="preserve"> on the settlement date and the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-day average price of the common stock of </w:t>
      </w:r>
      <w:r>
        <w:rPr>
          <w:rFonts w:ascii="Times New Roman" w:hAnsi="Times New Roman" w:eastAsia="Times New Roman" w:cs="Times New Roman"/>
          <w:sz w:val="20"/>
        </w:rPr>
        <w:t xml:space="preserve">$1.34</w:t>
      </w:r>
      <w:r>
        <w:rPr>
          <w:rFonts w:ascii="Times New Roman" w:hAnsi="Times New Roman" w:eastAsia="Times New Roman" w:cs="Times New Roman"/>
          <w:sz w:val="20"/>
        </w:rPr>
        <w:t xml:space="preserve"> required by the Merger Agreement.</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Equity Incentive Plans</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May 2011, the Company's Board of Directors (the “Board”) adopted the 2011 Equity Incentive Plan of IZEA, Inc. (the “May 2011 Plan”). At the Company's 2018 Annual Meeting of Stockholders held on December 18, 2018, the stockholders approved an amendment and restatement of the May 2011 Plan which increased the number of shares of common stock available for issuance under the May 2011 Plan. The amended and restated May 2011 Plan allows the Company to award restricted stock, restricted stock units and stock options, covering up to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shares of common stock as incentive compensation for its employees and consultants.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1,024,156</w:t>
      </w:r>
      <w:r>
        <w:rPr>
          <w:rFonts w:ascii="Times New Roman" w:hAnsi="Times New Roman" w:eastAsia="Times New Roman" w:cs="Times New Roman"/>
          <w:sz w:val="20"/>
        </w:rPr>
        <w:t xml:space="preserve"> shares of common stock available for issuance pursuant to future grants under the May 2011 Plan.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August 22, 2011, the Company adopted the 2011 B Equity Incentive Plan (the “August 2011 Plan”) reserving </w:t>
      </w:r>
      <w:r>
        <w:rPr>
          <w:rFonts w:ascii="Times New Roman" w:hAnsi="Times New Roman" w:eastAsia="Times New Roman" w:cs="Times New Roman"/>
          <w:sz w:val="20"/>
        </w:rPr>
        <w:t xml:space="preserve">4,375</w:t>
      </w:r>
      <w:r>
        <w:rPr>
          <w:rFonts w:ascii="Times New Roman" w:hAnsi="Times New Roman" w:eastAsia="Times New Roman" w:cs="Times New Roman"/>
          <w:sz w:val="20"/>
        </w:rPr>
        <w:t xml:space="preserve"> shares of common stock for issuance under the August 2011 Plan.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4,375</w:t>
      </w:r>
      <w:r>
        <w:rPr>
          <w:rFonts w:ascii="Times New Roman" w:hAnsi="Times New Roman" w:eastAsia="Times New Roman" w:cs="Times New Roman"/>
          <w:sz w:val="20"/>
        </w:rPr>
        <w:t xml:space="preserve"> shares of common stock available for future grants under the August 2011 Plan.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Restricted Stock</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Under both the May 2011 Plan and the August 2011 Plan (together, the “2011 Equity Incentive Plans”), the Board determines the terms and conditions of each restricted stock issuance, including any future vesting restrictions.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issued </w:t>
      </w:r>
      <w:r>
        <w:rPr>
          <w:rFonts w:ascii="Times New Roman" w:hAnsi="Times New Roman" w:eastAsia="Times New Roman" w:cs="Times New Roman"/>
          <w:sz w:val="20"/>
        </w:rPr>
        <w:t xml:space="preserve">27,184</w:t>
      </w:r>
      <w:r>
        <w:rPr>
          <w:rFonts w:ascii="Times New Roman" w:hAnsi="Times New Roman" w:eastAsia="Times New Roman" w:cs="Times New Roman"/>
          <w:sz w:val="20"/>
        </w:rPr>
        <w:t xml:space="preserve"> shares of restricted stock on March 28, 2019 to Mr. Edward Murphy, its Chief Executive Officer, for amounts owed on his fourth quarter 2018 performance bonus. The stock was initially valued at </w:t>
      </w:r>
      <w:r>
        <w:rPr>
          <w:rFonts w:ascii="Times New Roman" w:hAnsi="Times New Roman" w:eastAsia="Times New Roman" w:cs="Times New Roman"/>
          <w:sz w:val="20"/>
        </w:rPr>
        <w:t xml:space="preserve">$36,427</w:t>
      </w:r>
      <w:r>
        <w:rPr>
          <w:rFonts w:ascii="Times New Roman" w:hAnsi="Times New Roman" w:eastAsia="Times New Roman" w:cs="Times New Roman"/>
          <w:sz w:val="20"/>
        </w:rPr>
        <w:t xml:space="preserve"> and vests in equal monthly installments over </w:t>
      </w:r>
      <w:r>
        <w:rPr>
          <w:rFonts w:ascii="Times New Roman" w:hAnsi="Times New Roman" w:eastAsia="Times New Roman" w:cs="Times New Roman"/>
          <w:sz w:val="20"/>
        </w:rPr>
        <w:t xml:space="preserve">12 months</w:t>
      </w:r>
      <w:r>
        <w:rPr>
          <w:rFonts w:ascii="Times New Roman" w:hAnsi="Times New Roman" w:eastAsia="Times New Roman" w:cs="Times New Roman"/>
          <w:sz w:val="20"/>
        </w:rPr>
        <w:t xml:space="preserve"> from issuance. The Company issued </w:t>
      </w:r>
      <w:r>
        <w:rPr>
          <w:rFonts w:ascii="Times New Roman" w:hAnsi="Times New Roman" w:eastAsia="Times New Roman" w:cs="Times New Roman"/>
          <w:sz w:val="20"/>
        </w:rPr>
        <w:t xml:space="preserve">4,570</w:t>
      </w:r>
      <w:r>
        <w:rPr>
          <w:rFonts w:ascii="Times New Roman" w:hAnsi="Times New Roman" w:eastAsia="Times New Roman" w:cs="Times New Roman"/>
          <w:sz w:val="20"/>
        </w:rPr>
        <w:t xml:space="preserve"> shares of restricted stock on March 28, 2019 to Mr. Ryan Schram, its Chief Operating Officer, for amounts owed on his fourth quarter 2018 performance bonus. The stock was initially valued at </w:t>
      </w:r>
      <w:r>
        <w:rPr>
          <w:rFonts w:ascii="Times New Roman" w:hAnsi="Times New Roman" w:eastAsia="Times New Roman" w:cs="Times New Roman"/>
          <w:sz w:val="20"/>
        </w:rPr>
        <w:t xml:space="preserve">$6,124</w:t>
      </w:r>
      <w:r>
        <w:rPr>
          <w:rFonts w:ascii="Times New Roman" w:hAnsi="Times New Roman" w:eastAsia="Times New Roman" w:cs="Times New Roman"/>
          <w:sz w:val="20"/>
        </w:rPr>
        <w:t xml:space="preserve"> and vests in equal monthly installments over </w:t>
      </w:r>
      <w:r>
        <w:rPr>
          <w:rFonts w:ascii="Times New Roman" w:hAnsi="Times New Roman" w:eastAsia="Times New Roman" w:cs="Times New Roman"/>
          <w:sz w:val="20"/>
        </w:rPr>
        <w:t xml:space="preserve">48 months</w:t>
      </w:r>
      <w:r>
        <w:rPr>
          <w:rFonts w:ascii="Times New Roman" w:hAnsi="Times New Roman" w:eastAsia="Times New Roman" w:cs="Times New Roman"/>
          <w:sz w:val="20"/>
        </w:rPr>
        <w:t xml:space="preserve"> from issuance.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issued its </w:t>
      </w:r>
      <w:r>
        <w:rPr>
          <w:rFonts w:ascii="Times New Roman" w:hAnsi="Times New Roman" w:eastAsia="Times New Roman" w:cs="Times New Roman"/>
          <w:sz w:val="20"/>
        </w:rPr>
        <w:t xml:space="preserve">six</w:t>
      </w:r>
      <w:r>
        <w:rPr>
          <w:rFonts w:ascii="Times New Roman" w:hAnsi="Times New Roman" w:eastAsia="Times New Roman" w:cs="Times New Roman"/>
          <w:sz w:val="20"/>
        </w:rPr>
        <w:t xml:space="preserve"> independent directors a total of </w:t>
      </w:r>
      <w:r>
        <w:rPr>
          <w:rFonts w:ascii="Times New Roman" w:hAnsi="Times New Roman" w:eastAsia="Times New Roman" w:cs="Times New Roman"/>
          <w:sz w:val="20"/>
        </w:rPr>
        <w:t xml:space="preserve">88,758</w:t>
      </w:r>
      <w:r>
        <w:rPr>
          <w:rFonts w:ascii="Times New Roman" w:hAnsi="Times New Roman" w:eastAsia="Times New Roman" w:cs="Times New Roman"/>
          <w:sz w:val="20"/>
        </w:rPr>
        <w:t xml:space="preserve"> shares of restricted common stock initially valued at </w:t>
      </w:r>
      <w:r>
        <w:rPr>
          <w:rFonts w:ascii="Times New Roman" w:hAnsi="Times New Roman" w:eastAsia="Times New Roman" w:cs="Times New Roman"/>
          <w:sz w:val="20"/>
        </w:rPr>
        <w:t xml:space="preserve">$150,000</w:t>
      </w:r>
      <w:r>
        <w:rPr>
          <w:rFonts w:ascii="Times New Roman" w:hAnsi="Times New Roman" w:eastAsia="Times New Roman" w:cs="Times New Roman"/>
          <w:sz w:val="20"/>
        </w:rPr>
        <w:t xml:space="preserve"> for their annual service as directors of the Company. The stock will vest in equal monthly installments from January through December 2019.</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contains summarized information about restricted stock issued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t>
      </w:r>
    </w:p>
    <w:tbl>
      <w:tblPr>
        <w:tblW w:type="dxa" w:w="10240"/>
        <w:tblLayout w:type="fixed"/>
        <w:jc w:val="justify"/>
      </w:tblPr>
      <w:tblGrid>
        <w:gridCol w:w="6160"/>
        <w:gridCol w:w="1283"/>
        <w:gridCol w:w="77"/>
        <w:gridCol w:w="110"/>
        <w:gridCol w:w="1173"/>
        <w:gridCol w:w="77"/>
        <w:gridCol w:w="1360"/>
      </w:tblGrid>
      <w:tr>
        <w:trPr>
          <w:trHeight w:hRule="exact" w:val="1100"/>
        </w:trPr>
        <w:tc>
          <w:tcPr>
            <w:tcW w:type="dxa" w:w="61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Restricted Stock</w:t>
            </w:r>
          </w:p>
        </w:tc>
        <w:tc>
          <w:tcPr>
            <w:tcW w:type="dxa" w:w="1283"/>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c>
          <w:tcPr>
            <w:tcMar>
              <w:left w:type="dxa" w:w="0"/>
              <w:right w:type="dxa" w:w="60"/>
            </w:tcMar>
            <w:tcBorders/>
            <w:hMerge w:val="continue"/>
          </w:tcPr>
          <w:p/>
        </w:tc>
        <w:tc>
          <w:tcPr>
            <w:tcW w:type="dxa" w:w="13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Remaining Years
</w:t>
              <w:br w:type="textWrapping"/>
              <w:t xml:space="preserve">to Vest</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2017</w:t>
            </w:r>
          </w:p>
        </w:tc>
        <w:tc>
          <w:tcPr>
            <w:tcW w:type="dxa" w:w="12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11,799</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4.52</w:t>
            </w:r>
          </w:p>
        </w:tc>
        <w:tc>
          <w:tcPr>
            <w:tcW w:type="dxa" w:w="77"/>
            <w:tcMar>
              <w:left w:type="dxa" w:w="0"/>
              <w:right w:type="dxa" w:w="0"/>
            </w:tcMar>
            <w:tcBorders>
              <w:top w:val="single" w:sz="8" w:space="0"/>
            </w:tcBorders>
          </w:tcPr>
          <w:p/>
        </w:tc>
        <w:tc>
          <w:tcPr>
            <w:tcW w:type="dxa" w:w="136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115,763</w:t>
            </w:r>
          </w:p>
        </w:tc>
        <w:tc>
          <w:tcPr>
            <w:tcW w:type="dxa" w:w="77"/>
            <w:tcMar>
              <w:left w:type="dxa" w:w="0"/>
              <w:right w:type="dxa" w:w="0"/>
            </w:tcMar>
            <w:tcBorders/>
          </w:tcP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(62,078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(7,500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w:t>
            </w:r>
          </w:p>
        </w:tc>
        <w:tc>
          <w:tcPr>
            <w:tcW w:type="dxa" w:w="77"/>
            <w:tcMar>
              <w:left w:type="dxa" w:w="0"/>
              <w:right w:type="dxa" w:w="0"/>
            </w:tcMar>
            <w:tcBorders>
              <w:bottom w:val="single" w:sz="8"/>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2018</w:t>
            </w:r>
          </w:p>
        </w:tc>
        <w:tc>
          <w:tcPr>
            <w:tcW w:type="dxa" w:w="12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57,984</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w:t>
            </w:r>
          </w:p>
        </w:tc>
        <w:tc>
          <w:tcPr>
            <w:tcW w:type="dxa" w:w="77"/>
            <w:tcMar>
              <w:left w:type="dxa" w:w="0"/>
              <w:right w:type="dxa" w:w="0"/>
            </w:tcMar>
            <w:tcBorders>
              <w:top w:val="single" w:sz="8" w:space="0"/>
            </w:tcBorders>
          </w:tcPr>
          <w:p/>
        </w:tc>
        <w:tc>
          <w:tcPr>
            <w:tcW w:type="dxa" w:w="136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120,512</w:t>
            </w:r>
          </w:p>
        </w:tc>
        <w:tc>
          <w:tcPr>
            <w:tcW w:type="dxa" w:w="77"/>
            <w:tcMar>
              <w:left w:type="dxa" w:w="0"/>
              <w:right w:type="dxa" w:w="0"/>
            </w:tcMar>
            <w:tcBorders/>
          </w:tcP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(34,024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2.47</w:t>
            </w:r>
          </w:p>
        </w:tc>
        <w:tc>
          <w:tcPr>
            <w:tcW w:type="dxa" w:w="77"/>
            <w:tcMar>
              <w:left w:type="dxa" w:w="0"/>
              <w:right w:type="dxa" w:w="0"/>
            </w:tcMar>
            <w:tcBorders/>
          </w:tcPr>
          <w:p/>
        </w:tc>
        <w:tc>
          <w:tcPr>
            <w:tcW w:type="dxa" w:w="136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w:t>
            </w:r>
          </w:p>
        </w:tc>
        <w:tc>
          <w:tcPr>
            <w:tcW w:type="dxa" w:w="77"/>
            <w:tcMar>
              <w:left w:type="dxa" w:w="0"/>
              <w:right w:type="dxa" w:w="0"/>
            </w:tcMar>
            <w:tcBorders/>
          </w:tcPr>
          <w:p/>
        </w:tc>
        <w:tc>
          <w:tcPr>
            <w:tcW w:type="dxa" w:w="136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March 31, 2019</w:t>
            </w:r>
          </w:p>
        </w:tc>
        <w:tc>
          <w:tcPr>
            <w:tcW w:type="dxa" w:w="128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141,972</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2.18</w:t>
            </w:r>
          </w:p>
        </w:tc>
        <w:tc>
          <w:tcPr>
            <w:tcW w:type="dxa" w:w="77"/>
            <w:tcMar>
              <w:left w:type="dxa" w:w="0"/>
              <w:right w:type="dxa" w:w="0"/>
            </w:tcMar>
            <w:tcBorders>
              <w:top w:val="single" w:sz="8" w:space="0"/>
              <w:bottom w:val="double" w:sz="4"/>
            </w:tcBorders>
          </w:tcPr>
          <w:p/>
        </w:tc>
        <w:tc>
          <w:tcPr>
            <w:tcW w:type="dxa" w:w="1360"/>
            <w:tcMar>
              <w:left w:type="dxa" w:w="0"/>
              <w:right w:type="dxa" w:w="6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w:t>
            </w:r>
          </w:p>
        </w:tc>
      </w:tr>
    </w:tbl>
    <w:p>
      <w:pPr>
        <w:jc w:val="both"/>
        <w:spacing w:before="60"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Although restricted stock is issued upon the grant of an award, the Company excludes restricted stock from the computations of total shares outstanding and earnings per share until such time as the restricted stock vests.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Expense recognized on restricted stock issued to non-employees for services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$37,498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$28,671</w:t>
      </w:r>
      <w:r>
        <w:rPr>
          <w:rFonts w:ascii="Times New Roman" w:hAnsi="Times New Roman" w:eastAsia="Times New Roman" w:cs="Times New Roman"/>
          <w:sz w:val="20"/>
        </w:rPr>
        <w:t xml:space="preserve">, respectively. Expense recognized on restricted stock issued to employees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$38,414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$28,069</w:t>
      </w:r>
      <w:r>
        <w:rPr>
          <w:rFonts w:ascii="Times New Roman" w:hAnsi="Times New Roman" w:eastAsia="Times New Roman" w:cs="Times New Roman"/>
          <w:sz w:val="20"/>
        </w:rPr>
        <w:t xml:space="preserve">, respectively. Future compensation expense related to issued, but nonvested restricted stock awards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is </w:t>
      </w:r>
      <w:r>
        <w:rPr>
          <w:rFonts w:ascii="Times New Roman" w:hAnsi="Times New Roman" w:eastAsia="Times New Roman" w:cs="Times New Roman"/>
          <w:sz w:val="20"/>
        </w:rPr>
        <w:t xml:space="preserve">$311,953</w:t>
      </w:r>
      <w:r>
        <w:rPr>
          <w:rFonts w:ascii="Times New Roman" w:hAnsi="Times New Roman" w:eastAsia="Times New Roman" w:cs="Times New Roman"/>
          <w:sz w:val="20"/>
        </w:rPr>
        <w:t xml:space="preserve">. This value is estimated to be recognized over the weighted-average vesting period of approximately </w:t>
      </w:r>
      <w:r>
        <w:rPr>
          <w:rFonts w:ascii="Times New Roman" w:hAnsi="Times New Roman" w:eastAsia="Times New Roman" w:cs="Times New Roman"/>
          <w:sz w:val="20"/>
        </w:rPr>
        <w:t xml:space="preserve">1.1</w:t>
      </w:r>
      <w:r>
        <w:rPr>
          <w:rFonts w:ascii="Times New Roman" w:hAnsi="Times New Roman" w:eastAsia="Times New Roman" w:cs="Times New Roman"/>
          <w:sz w:val="20"/>
        </w:rPr>
        <w:t xml:space="preserve"> years.</w:t>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both"/>
        <w:keepNext/>
        <w:keepLines/>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Restricted Stock Units</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Board determines the terms and conditions of each restricted stock unit award issued under the May 2011 Plan.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contains summarized information about restricted stock units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t>
      </w:r>
    </w:p>
    <w:tbl>
      <w:tblPr>
        <w:tblW w:type="dxa" w:w="10240"/>
        <w:tblLayout w:type="fixed"/>
        <w:jc w:val="justify"/>
      </w:tblPr>
      <w:tblGrid>
        <w:gridCol w:w="6160"/>
        <w:gridCol w:w="1283"/>
        <w:gridCol w:w="77"/>
        <w:gridCol w:w="110"/>
        <w:gridCol w:w="1173"/>
        <w:gridCol w:w="77"/>
        <w:gridCol w:w="1360"/>
      </w:tblGrid>
      <w:tr>
        <w:trPr>
          <w:trHeight w:hRule="exact" w:val="1100"/>
        </w:trPr>
        <w:tc>
          <w:tcPr>
            <w:tcW w:type="dxa" w:w="61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Restricted Stock Units</w:t>
            </w:r>
          </w:p>
        </w:tc>
        <w:tc>
          <w:tcPr>
            <w:tcW w:type="dxa" w:w="1283"/>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c>
          <w:tcPr>
            <w:tcMar>
              <w:left w:type="dxa" w:w="0"/>
              <w:right w:type="dxa" w:w="60"/>
            </w:tcMar>
            <w:tcBorders/>
            <w:hMerge w:val="continue"/>
          </w:tcPr>
          <w:p/>
        </w:tc>
        <w:tc>
          <w:tcPr>
            <w:tcW w:type="dxa" w:w="13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Remaining Years
</w:t>
              <w:br w:type="textWrapping"/>
              <w:t xml:space="preserve">to Vest</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2017</w:t>
            </w:r>
          </w:p>
        </w:tc>
        <w:tc>
          <w:tcPr>
            <w:tcW w:type="dxa" w:w="1283"/>
            <w:tcMar>
              <w:left w:type="dxa" w:w="0"/>
              <w:right w:type="dxa" w:w="0"/>
            </w:tcMar>
            <w:tcBorders>
              <w:top w:val="single" w:sz="16"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16" w:space="0"/>
            </w:tcBorders>
          </w:tcPr>
          <w:p/>
        </w:tc>
        <w:tc>
          <w:tcPr>
            <w:tcW w:type="dxa" w:w="110"/>
            <w:tcMar>
              <w:left w:type="dxa" w:w="0"/>
              <w:right w:type="dxa" w:w="0"/>
            </w:tcMar>
            <w:tcBorders>
              <w:top w:val="single" w:sz="16"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16"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16" w:space="0"/>
            </w:tcBorders>
          </w:tcPr>
          <w:p/>
        </w:tc>
        <w:tc>
          <w:tcPr>
            <w:tcW w:type="dxa" w:w="1360"/>
            <w:tcMar>
              <w:left w:type="dxa" w:w="0"/>
              <w:right w:type="dxa" w:w="60"/>
            </w:tcMar>
            <w:tcBorders>
              <w:top w:val="single" w:sz="16"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0.0</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cP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tcPr>
          <w:p/>
        </w:tc>
        <w:tc>
          <w:tcPr>
            <w:tcW w:type="dxa" w:w="136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2018</w:t>
            </w:r>
          </w:p>
        </w:tc>
        <w:tc>
          <w:tcPr>
            <w:tcW w:type="dxa" w:w="12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top w:val="single" w:sz="8" w:space="0"/>
            </w:tcBorders>
          </w:tcPr>
          <w:p/>
        </w:tc>
        <w:tc>
          <w:tcPr>
            <w:tcW w:type="dxa" w:w="136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(4,165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tcPr>
          <w:p/>
        </w:tc>
        <w:tc>
          <w:tcPr>
            <w:tcW w:type="dxa" w:w="136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(13,000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tcPr>
          <w:p/>
        </w:tc>
        <w:tc>
          <w:tcPr>
            <w:tcW w:type="dxa" w:w="136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March 31, 2019</w:t>
            </w:r>
          </w:p>
        </w:tc>
        <w:tc>
          <w:tcPr>
            <w:tcW w:type="dxa" w:w="1283"/>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142,835</w:t>
            </w:r>
          </w:p>
        </w:tc>
        <w:tc>
          <w:tcPr>
            <w:tcW w:type="dxa" w:w="77"/>
            <w:tcMar>
              <w:left w:type="dxa" w:w="0"/>
              <w:right w:type="dxa" w:w="0"/>
            </w:tcMar>
            <w:tcBorders>
              <w:top w:val="single" w:sz="16" w:space="0"/>
              <w:bottom w:val="double" w:sz="4"/>
            </w:tcBorders>
          </w:tcPr>
          <w:p/>
        </w:tc>
        <w:tc>
          <w:tcPr>
            <w:tcW w:type="dxa" w:w="110"/>
            <w:tcMar>
              <w:left w:type="dxa" w:w="0"/>
              <w:right w:type="dxa" w:w="0"/>
            </w:tcMar>
            <w:tcBorders>
              <w:top w:val="single" w:sz="16"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top w:val="single" w:sz="16"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77"/>
            <w:tcMar>
              <w:left w:type="dxa" w:w="0"/>
              <w:right w:type="dxa" w:w="0"/>
            </w:tcMar>
            <w:tcBorders>
              <w:top w:val="single" w:sz="16" w:space="0"/>
              <w:bottom w:val="double" w:sz="4"/>
            </w:tcBorders>
          </w:tcPr>
          <w:p/>
        </w:tc>
        <w:tc>
          <w:tcPr>
            <w:tcW w:type="dxa" w:w="1360"/>
            <w:tcMar>
              <w:left w:type="dxa" w:w="0"/>
              <w:right w:type="dxa" w:w="60"/>
            </w:tcMar>
            <w:tcBorders>
              <w:top w:val="single" w:sz="16"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1.45</w:t>
            </w:r>
          </w:p>
        </w:tc>
      </w:tr>
    </w:tbl>
    <w:p>
      <w:pPr>
        <w:jc w:val="both"/>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fair value of the Company's common stock on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$1.15</w:t>
      </w:r>
      <w:r>
        <w:rPr>
          <w:rFonts w:ascii="Times New Roman" w:hAnsi="Times New Roman" w:eastAsia="Times New Roman" w:cs="Times New Roman"/>
          <w:sz w:val="20"/>
        </w:rPr>
        <w:t xml:space="preserve"> per share. The intrinsic value on the non-vested restricted units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$164,260</w:t>
      </w:r>
      <w:r>
        <w:rPr>
          <w:rFonts w:ascii="Times New Roman" w:hAnsi="Times New Roman" w:eastAsia="Times New Roman" w:cs="Times New Roman"/>
          <w:sz w:val="20"/>
        </w:rPr>
        <w:t xml:space="preserve">. Expense recognized on restricted stock units issued to employees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$32,465</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future compensation related to restricted stock units expected to vest of </w:t>
      </w:r>
      <w:r>
        <w:rPr>
          <w:rFonts w:ascii="Times New Roman" w:hAnsi="Times New Roman" w:eastAsia="Times New Roman" w:cs="Times New Roman"/>
          <w:sz w:val="20"/>
        </w:rPr>
        <w:t xml:space="preserve">$123,767</w:t>
      </w:r>
      <w:r>
        <w:rPr>
          <w:rFonts w:ascii="Times New Roman" w:hAnsi="Times New Roman" w:eastAsia="Times New Roman" w:cs="Times New Roman"/>
          <w:sz w:val="20"/>
        </w:rPr>
        <w:t xml:space="preserve"> is estimated to be recognized over the weighted-average vesting period of approximately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year.</w:t>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tabs>
          <w:tab w:val="left" w:pos="900"/>
        </w:tabs>
        <w:jc w:val="both"/>
        <w:keepNext/>
        <w:keepLines/>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Stock Options</w:t>
      </w:r>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Under the 2011 Equity Incentive Plans, the Board determines the exercise price to be paid for the option shares, the period within which each option may be exercised, and the terms and conditions of each option. The exercise price of incentive and non-qualified stock options may not be less than </w:t>
      </w:r>
      <w:r>
        <w:rPr>
          <w:rFonts w:ascii="Times New Roman" w:hAnsi="Times New Roman" w:eastAsia="Times New Roman" w:cs="Times New Roman"/>
          <w:sz w:val="20"/>
        </w:rPr>
        <w:t xml:space="preserve">100%</w:t>
      </w:r>
      <w:r>
        <w:rPr>
          <w:rFonts w:ascii="Times New Roman" w:hAnsi="Times New Roman" w:eastAsia="Times New Roman" w:cs="Times New Roman"/>
          <w:sz w:val="20"/>
        </w:rPr>
        <w:t xml:space="preserve"> of the fair market value per share of the Company’s common stock on the grant date. If an individual owns stock representing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the outstanding shares, the exercise price of each share of an incentive stock option must be equal to or exceed </w:t>
      </w:r>
      <w:r>
        <w:rPr>
          <w:rFonts w:ascii="Times New Roman" w:hAnsi="Times New Roman" w:eastAsia="Times New Roman" w:cs="Times New Roman"/>
          <w:sz w:val="20"/>
        </w:rPr>
        <w:t xml:space="preserve">110%</w:t>
      </w:r>
      <w:r>
        <w:rPr>
          <w:rFonts w:ascii="Times New Roman" w:hAnsi="Times New Roman" w:eastAsia="Times New Roman" w:cs="Times New Roman"/>
          <w:sz w:val="20"/>
        </w:rPr>
        <w:t xml:space="preserve"> of fair market value. Unless otherwise determined by the Board at the time of grant, the exercise price is set at the fair market value of the Company’s common stock on the grant date (or the last trading day prior to the grant date, if it is awarded on a non-trading day).  Additionally, the term is set at ten years and the option typically vests on a straight-line basis over the requisite service period as follows: </w:t>
      </w:r>
      <w:r>
        <w:rPr>
          <w:rFonts w:ascii="Times New Roman" w:hAnsi="Times New Roman" w:eastAsia="Times New Roman" w:cs="Times New Roman"/>
          <w:sz w:val="20"/>
        </w:rPr>
        <w:t xml:space="preserve">25%</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year from the date of grant with the remaining vesting monthly in equal increments over the following </w:t>
      </w:r>
      <w:r>
        <w:rPr>
          <w:rFonts w:ascii="Times New Roman" w:hAnsi="Times New Roman" w:eastAsia="Times New Roman" w:cs="Times New Roman"/>
          <w:sz w:val="20"/>
        </w:rPr>
        <w:t xml:space="preserve">three</w:t>
      </w:r>
      <w:r>
        <w:rPr>
          <w:rFonts w:ascii="Times New Roman" w:hAnsi="Times New Roman" w:eastAsia="Times New Roman" w:cs="Times New Roman"/>
          <w:sz w:val="20"/>
        </w:rPr>
        <w:t xml:space="preserve"> years. The Company issues new shares for any stock awards or options exercised under its 2011 Equity Incentive Plans.</w:t>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A summary of option activity under the 2011 Equity Incentive Plans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is presented below: </w:t>
      </w:r>
    </w:p>
    <w:tbl>
      <w:tblPr>
        <w:tblW w:type="dxa" w:w="10240"/>
        <w:tblLayout w:type="fixed"/>
        <w:jc w:val="left"/>
      </w:tblPr>
      <w:tblGrid>
        <w:gridCol w:w="5520"/>
        <w:gridCol w:w="1243"/>
        <w:gridCol w:w="77"/>
        <w:gridCol w:w="80"/>
        <w:gridCol w:w="110"/>
        <w:gridCol w:w="1373"/>
        <w:gridCol w:w="77"/>
        <w:gridCol w:w="80"/>
        <w:gridCol w:w="1680"/>
      </w:tblGrid>
      <w:tr>
        <w:trPr>
          <w:trHeight w:hRule="exact" w:val="700"/>
        </w:trPr>
        <w:tc>
          <w:tcPr>
            <w:tcW w:type="dxa" w:w="552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Options Outstanding</w:t>
            </w:r>
          </w:p>
        </w:tc>
        <w:tc>
          <w:tcPr>
            <w:tcW w:type="dxa" w:w="124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Exercise Price</w:t>
            </w:r>
          </w:p>
        </w:tc>
        <w:tc>
          <w:tcPr>
            <w:tcMar>
              <w:left w:type="dxa" w:w="60"/>
              <w:right w:type="dxa" w:w="60"/>
            </w:tcMar>
            <w:tcBorders>
              <w:bottom w:val="single" w:sz="8"/>
            </w:tcBorders>
            <w:vAlign w:val="bottom"/>
            <w:hMerge w:val="continue"/>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Exercise Price</w:t>
            </w:r>
          </w:p>
        </w:tc>
        <w:tc>
          <w:tcPr>
            <w:tcMar>
              <w:left w:type="dxa" w:w="0"/>
              <w:right w:type="dxa" w:w="60"/>
            </w:tcMar>
            <w:tcBorders>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680"/>
            <w:tcMar>
              <w:left w:type="dxa" w:w="60"/>
              <w:right w:type="dxa" w:w="60"/>
            </w:tcMar>
            <w:tcBorders>
              <w:bottom w:val="single" w:sz="8"/>
            </w:tcBorders>
            <w:vAlign w:val="bottom"/>
            <w:vAlign w:val="bottom"/>
            <w:vAlign w:val="bottom"/>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Remaining Life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(Years)</w:t>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December 31, 2017</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1,049,503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w:t>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156,084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Expired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(63,013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(102,097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4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6.66</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December 31, 2018</w:t>
            </w:r>
          </w:p>
        </w:tc>
        <w:tc>
          <w:tcPr>
            <w:tcW w:type="dxa" w:w="124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1,040,477</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5.23</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68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w:t>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30,542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(38,924</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4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March 31, 2019</w:t>
            </w:r>
          </w:p>
        </w:tc>
        <w:tc>
          <w:tcPr>
            <w:tcW w:type="dxa" w:w="124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1,032,095</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5.19</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680"/>
            <w:tcMar>
              <w:left w:type="dxa" w:w="0"/>
              <w:right w:type="dxa" w:w="60"/>
            </w:tcMar>
            <w:tcBorders>
              <w:top w:val="single" w:sz="8" w:space="0"/>
              <w:bottom w:val="double" w:sz="4"/>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w:t>
            </w:r>
          </w:p>
        </w:tc>
      </w:tr>
      <w:tr>
        <w:trPr>
          <w:trHeight w:hRule="exact" w:val="180"/>
        </w:trPr>
        <w:tc>
          <w:tcPr>
            <w:tcW w:type="dxa" w:w="552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Exercisable at March 31, 2019</w:t>
            </w:r>
          </w:p>
        </w:tc>
        <w:tc>
          <w:tcPr>
            <w:tcW w:type="dxa" w:w="124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744,479</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5.89</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680"/>
            <w:tcMar>
              <w:left w:type="dxa" w:w="0"/>
              <w:right w:type="dxa" w:w="6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options were exercised. The fair value of the Company's common stock on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$1.15</w:t>
      </w:r>
      <w:r>
        <w:rPr>
          <w:rFonts w:ascii="Times New Roman" w:hAnsi="Times New Roman" w:eastAsia="Times New Roman" w:cs="Times New Roman"/>
          <w:sz w:val="20"/>
        </w:rPr>
        <w:t xml:space="preserve"> per share. The intrinsic value on outstanding options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$3,309</w:t>
      </w:r>
      <w:r>
        <w:rPr>
          <w:rFonts w:ascii="Times New Roman" w:hAnsi="Times New Roman" w:eastAsia="Times New Roman" w:cs="Times New Roman"/>
          <w:sz w:val="20"/>
        </w:rPr>
        <w:t xml:space="preserve">. The intrinsic value on exercisable options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$227</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summary of the nonvested stock option activity under the 2011 Equity Incentive Plans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is presented below:</w:t>
      </w:r>
    </w:p>
    <w:tbl>
      <w:tblPr>
        <w:tblW w:type="dxa" w:w="10240"/>
        <w:tblLayout w:type="fixed"/>
        <w:jc w:val="justify"/>
      </w:tblPr>
      <w:tblGrid>
        <w:gridCol w:w="5880"/>
        <w:gridCol w:w="1083"/>
        <w:gridCol w:w="77"/>
        <w:gridCol w:w="80"/>
        <w:gridCol w:w="110"/>
        <w:gridCol w:w="1333"/>
        <w:gridCol w:w="77"/>
        <w:gridCol w:w="80"/>
        <w:gridCol w:w="1520"/>
      </w:tblGrid>
      <w:tr>
        <w:trPr>
          <w:trHeight w:hRule="exact" w:val="900"/>
        </w:trPr>
        <w:tc>
          <w:tcPr>
            <w:tcW w:type="dxa" w:w="588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Nonvested Options</w:t>
            </w:r>
          </w:p>
        </w:tc>
        <w:tc>
          <w:tcPr>
            <w:tcW w:type="dxa" w:w="108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Grant Date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w:t>
            </w:r>
          </w:p>
        </w:tc>
        <w:tc>
          <w:tcPr>
            <w:tcMar>
              <w:left w:type="dxa" w:w="60"/>
              <w:right w:type="dxa" w:w="60"/>
            </w:tcMar>
            <w:tcBorders>
              <w:bottom w:val="single" w:sz="8"/>
            </w:tcBorders>
            <w:vAlign w:val="bottom"/>
            <w:vAlign w:val="bottom"/>
            <w:hMerge w:val="continue"/>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Grant Date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1520"/>
            <w:tcMar>
              <w:left w:type="dxa" w:w="60"/>
              <w:right w:type="dxa" w:w="60"/>
            </w:tcMar>
            <w:tcBorders>
              <w:bottom w:val="single" w:sz="8"/>
            </w:tcBorders>
            <w:vAlign w:val="bottom"/>
            <w:vAlign w:val="bottom"/>
            <w:vAlign w:val="bottom"/>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Remaining Years</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to Vest</w:t>
            </w:r>
          </w:p>
        </w:tc>
      </w:tr>
      <w:tr>
        <w:trPr>
          <w:trHeight w:hRule="exact" w:val="30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January 1, 2018</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323,077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156,084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(137,206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(41,445</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4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2.88</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52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2018</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300,510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w:t>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30,542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(28,871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4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(14,565</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4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1.84</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52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88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March 31, 2019</w:t>
            </w:r>
          </w:p>
        </w:tc>
        <w:tc>
          <w:tcPr>
            <w:tcW w:type="dxa" w:w="108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287,616</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520"/>
            <w:tcMar>
              <w:left w:type="dxa" w:w="0"/>
              <w:right w:type="dxa" w:w="6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Expense recognized on stock options issued to employees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$89,998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$112,883</w:t>
      </w:r>
      <w:r>
        <w:rPr>
          <w:rFonts w:ascii="Times New Roman" w:hAnsi="Times New Roman" w:eastAsia="Times New Roman" w:cs="Times New Roman"/>
          <w:sz w:val="20"/>
        </w:rPr>
        <w:t xml:space="preserve">, respectively. Future compensation expense related to nonvested awards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expected to vest of approximately </w:t>
      </w:r>
      <w:r>
        <w:rPr>
          <w:rFonts w:ascii="Times New Roman" w:hAnsi="Times New Roman" w:eastAsia="Times New Roman" w:cs="Times New Roman"/>
          <w:sz w:val="20"/>
        </w:rPr>
        <w:t xml:space="preserve">$335,000</w:t>
      </w:r>
      <w:r>
        <w:rPr>
          <w:rFonts w:ascii="Times New Roman" w:hAnsi="Times New Roman" w:eastAsia="Times New Roman" w:cs="Times New Roman"/>
          <w:sz w:val="20"/>
        </w:rPr>
        <w:t xml:space="preserve"> is estimated to be recognized over the weighted-average vesting period of approximately </w:t>
      </w:r>
      <w:r>
        <w:rPr>
          <w:rFonts w:ascii="Times New Roman" w:hAnsi="Times New Roman" w:eastAsia="Times New Roman" w:cs="Times New Roman"/>
          <w:sz w:val="20"/>
        </w:rPr>
        <w:t xml:space="preserve">two years, two months</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Employee Stock Purchase Plan</w:t>
      </w:r>
    </w:p>
    <w:p>
      <w:pPr>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At the Company's 2018 Annual Meeting of Stockholders held on December 18, 2018, stockholders holding a majority of the Company's outstanding shares of common stock, upon previous recommendation and approval of the Board, adopted the amended and restated IZEA Worldwide, Inc. 2014 Employee Stock Purchase Plan (the “ESPP”), which provides for the issuance of up to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shares of the Company's common stock thereunder. Any employee regularly employed by the Company for </w:t>
      </w:r>
      <w:r>
        <w:rPr>
          <w:rFonts w:ascii="Times New Roman" w:hAnsi="Times New Roman" w:eastAsia="Times New Roman" w:cs="Times New Roman"/>
          <w:sz w:val="20"/>
        </w:rPr>
        <w:t xml:space="preserve">90 days</w:t>
      </w:r>
      <w:r>
        <w:rPr>
          <w:rFonts w:ascii="Times New Roman" w:hAnsi="Times New Roman" w:eastAsia="Times New Roman" w:cs="Times New Roman"/>
          <w:sz w:val="20"/>
        </w:rPr>
        <w:t xml:space="preserve"> or more on a full-time or part-time basis (</w:t>
      </w:r>
      <w:r>
        <w:rPr>
          <w:rFonts w:ascii="Times New Roman" w:hAnsi="Times New Roman" w:eastAsia="Times New Roman" w:cs="Times New Roman"/>
          <w:sz w:val="20"/>
        </w:rPr>
        <w:t xml:space="preserve">20</w:t>
      </w:r>
      <w:r>
        <w:rPr>
          <w:rFonts w:ascii="Times New Roman" w:hAnsi="Times New Roman" w:eastAsia="Times New Roman" w:cs="Times New Roman"/>
          <w:sz w:val="20"/>
        </w:rPr>
        <w:t xml:space="preserve"> hours or more per week on a regular schedule) is eligible to participate in the ESPP. The ESPP operates in successive </w:t>
      </w:r>
      <w:r>
        <w:rPr>
          <w:rFonts w:ascii="Times New Roman" w:hAnsi="Times New Roman" w:eastAsia="Times New Roman" w:cs="Times New Roman"/>
          <w:sz w:val="20"/>
        </w:rPr>
        <w:t xml:space="preserve">six months</w:t>
      </w:r>
      <w:r>
        <w:rPr>
          <w:rFonts w:ascii="Times New Roman" w:hAnsi="Times New Roman" w:eastAsia="Times New Roman" w:cs="Times New Roman"/>
          <w:sz w:val="20"/>
        </w:rPr>
        <w:t xml:space="preserve"> offering periods commencing at the beginning of each fiscal year half. Each eligible employee who elects to participate may purchase up to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their annual compensation in common stock not to exceed </w:t>
      </w:r>
      <w:r>
        <w:rPr>
          <w:rFonts w:ascii="Times New Roman" w:hAnsi="Times New Roman" w:eastAsia="Times New Roman" w:cs="Times New Roman"/>
          <w:sz w:val="20"/>
        </w:rPr>
        <w:t xml:space="preserve">$21,250</w:t>
      </w:r>
      <w:r>
        <w:rPr>
          <w:rFonts w:ascii="Times New Roman" w:hAnsi="Times New Roman" w:eastAsia="Times New Roman" w:cs="Times New Roman"/>
          <w:sz w:val="20"/>
        </w:rPr>
        <w:t xml:space="preserve"> annually or </w:t>
      </w:r>
      <w:r>
        <w:rPr>
          <w:rFonts w:ascii="Times New Roman" w:hAnsi="Times New Roman" w:eastAsia="Times New Roman" w:cs="Times New Roman"/>
          <w:sz w:val="20"/>
        </w:rPr>
        <w:t xml:space="preserve">2,000</w:t>
      </w:r>
      <w:r>
        <w:rPr>
          <w:rFonts w:ascii="Times New Roman" w:hAnsi="Times New Roman" w:eastAsia="Times New Roman" w:cs="Times New Roman"/>
          <w:sz w:val="20"/>
        </w:rPr>
        <w:t xml:space="preserve"> shares per offering period. The purchase price will be the lower of (i) </w:t>
      </w:r>
      <w:r>
        <w:rPr>
          <w:rFonts w:ascii="Times New Roman" w:hAnsi="Times New Roman" w:eastAsia="Times New Roman" w:cs="Times New Roman"/>
          <w:sz w:val="20"/>
        </w:rPr>
        <w:t xml:space="preserve">85%</w:t>
      </w:r>
      <w:r>
        <w:rPr>
          <w:rFonts w:ascii="Times New Roman" w:hAnsi="Times New Roman" w:eastAsia="Times New Roman" w:cs="Times New Roman"/>
          <w:sz w:val="20"/>
        </w:rPr>
        <w:t xml:space="preserve"> of the fair market value of a share of common stock on the first day of the offering period or (ii) </w:t>
      </w:r>
      <w:r>
        <w:rPr>
          <w:rFonts w:ascii="Times New Roman" w:hAnsi="Times New Roman" w:eastAsia="Times New Roman" w:cs="Times New Roman"/>
          <w:sz w:val="20"/>
        </w:rPr>
        <w:t xml:space="preserve">85%</w:t>
      </w:r>
      <w:r>
        <w:rPr>
          <w:rFonts w:ascii="Times New Roman" w:hAnsi="Times New Roman" w:eastAsia="Times New Roman" w:cs="Times New Roman"/>
          <w:sz w:val="20"/>
        </w:rPr>
        <w:t xml:space="preserve"> of the fair market value of a share of common stock on the last day of the offering period. The ESPP will continue until January 1, 2024, unless otherwise terminated by the Board.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437,228</w:t>
      </w:r>
      <w:r>
        <w:rPr>
          <w:rFonts w:ascii="Times New Roman" w:hAnsi="Times New Roman" w:eastAsia="Times New Roman" w:cs="Times New Roman"/>
          <w:sz w:val="20"/>
        </w:rPr>
        <w:t xml:space="preserve"> remaining shares of common stock available for future grants under the ESPP.</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cost related to all awards granted to employees is measured at the grant date, based on the fair value of the award, and is recognized as an expense over the employee’s requisite service period. The Company estimates the fair value of each option award on the date of grant using a Black-Scholes option-pricing model that uses the assumptions stated in Note 1. Total stock-based compensation expense recognized on restricted stock, restricted stock units, stock options and stock purchase plan issuances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$160,877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$146,281</w:t>
      </w:r>
      <w:r>
        <w:rPr>
          <w:rFonts w:ascii="Times New Roman" w:hAnsi="Times New Roman" w:eastAsia="Times New Roman" w:cs="Times New Roman"/>
          <w:sz w:val="20"/>
        </w:rPr>
        <w:t xml:space="preserve">, respectively. Stock-based compensation expense was recorded as </w:t>
      </w:r>
      <w:r>
        <w:rPr>
          <w:rFonts w:ascii="Times New Roman" w:hAnsi="Times New Roman" w:eastAsia="Times New Roman" w:cs="Times New Roman"/>
          <w:sz w:val="20"/>
        </w:rPr>
        <w:t xml:space="preserve">$2,886</w:t>
      </w:r>
      <w:r>
        <w:rPr>
          <w:rFonts w:ascii="Times New Roman" w:hAnsi="Times New Roman" w:eastAsia="Times New Roman" w:cs="Times New Roman"/>
          <w:sz w:val="20"/>
        </w:rPr>
        <w:t xml:space="preserve"> to cost of revenue, </w:t>
      </w:r>
      <w:r>
        <w:rPr>
          <w:rFonts w:ascii="Times New Roman" w:hAnsi="Times New Roman" w:eastAsia="Times New Roman" w:cs="Times New Roman"/>
          <w:sz w:val="20"/>
        </w:rPr>
        <w:t xml:space="preserve">$6,336</w:t>
      </w:r>
      <w:r>
        <w:rPr>
          <w:rFonts w:ascii="Times New Roman" w:hAnsi="Times New Roman" w:eastAsia="Times New Roman" w:cs="Times New Roman"/>
          <w:sz w:val="20"/>
        </w:rPr>
        <w:t xml:space="preserve"> to sales and marketing, and </w:t>
      </w:r>
      <w:r>
        <w:rPr>
          <w:rFonts w:ascii="Times New Roman" w:hAnsi="Times New Roman" w:eastAsia="Times New Roman" w:cs="Times New Roman"/>
          <w:sz w:val="20"/>
        </w:rPr>
        <w:t xml:space="preserve">$151,655</w:t>
      </w:r>
      <w:r>
        <w:rPr>
          <w:rFonts w:ascii="Times New Roman" w:hAnsi="Times New Roman" w:eastAsia="Times New Roman" w:cs="Times New Roman"/>
          <w:sz w:val="20"/>
        </w:rPr>
        <w:t xml:space="preserve"> to general and administrative expense in the Company's consolidated statement of operations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t>
      </w:r>
      <w:r>
        <w:rPr>
          <w:rFonts w:ascii="Times New Roman" w:hAnsi="Times New Roman" w:eastAsia="Times New Roman" w:cs="Times New Roman"/>
          <w:sz w:val="20"/>
          <w:color w:val="000000"/>
          <w:shd w:val="solid" w:color="ffff00"/>
        </w:rPr>
        <w:t xml:space="preserve"> </w:t>
      </w:r>
      <w:r>
        <w:rPr>
          <w:rFonts w:ascii="Times New Roman" w:hAnsi="Times New Roman" w:eastAsia="Times New Roman" w:cs="Times New Roman"/>
          <w:sz w:val="20"/>
        </w:rPr>
        <w:t xml:space="preserve">Stock-based compensation expense was recorded as </w:t>
      </w:r>
      <w:r>
        <w:rPr>
          <w:rFonts w:ascii="Times New Roman" w:hAnsi="Times New Roman" w:eastAsia="Times New Roman" w:cs="Times New Roman"/>
          <w:sz w:val="20"/>
        </w:rPr>
        <w:t xml:space="preserve">$3,706</w:t>
      </w:r>
      <w:r>
        <w:rPr>
          <w:rFonts w:ascii="Times New Roman" w:hAnsi="Times New Roman" w:eastAsia="Times New Roman" w:cs="Times New Roman"/>
          <w:sz w:val="20"/>
        </w:rPr>
        <w:t xml:space="preserve"> to cost of revenue, </w:t>
      </w:r>
      <w:r>
        <w:rPr>
          <w:rFonts w:ascii="Times New Roman" w:hAnsi="Times New Roman" w:eastAsia="Times New Roman" w:cs="Times New Roman"/>
          <w:sz w:val="20"/>
        </w:rPr>
        <w:t xml:space="preserve">$16,298</w:t>
      </w:r>
      <w:r>
        <w:rPr>
          <w:rFonts w:ascii="Times New Roman" w:hAnsi="Times New Roman" w:eastAsia="Times New Roman" w:cs="Times New Roman"/>
          <w:sz w:val="20"/>
        </w:rPr>
        <w:t xml:space="preserve"> to sales and marketing, and </w:t>
      </w:r>
      <w:r>
        <w:rPr>
          <w:rFonts w:ascii="Times New Roman" w:hAnsi="Times New Roman" w:eastAsia="Times New Roman" w:cs="Times New Roman"/>
          <w:sz w:val="20"/>
        </w:rPr>
        <w:t xml:space="preserve">$126,277</w:t>
      </w:r>
      <w:r>
        <w:rPr>
          <w:rFonts w:ascii="Times New Roman" w:hAnsi="Times New Roman" w:eastAsia="Times New Roman" w:cs="Times New Roman"/>
          <w:sz w:val="20"/>
        </w:rPr>
        <w:t xml:space="preserve"> to general and administrative expense in the Company's consolidated statement of operations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2018</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1080" w:left="990" w:right="990" w:bottom="860" w:footer="460" w:gutter="0" w:header="160"/>
          <w:headerReference r:id="rId10" w:type="default"/>
          <w:footerReference r:id="rId20" w:type="default"/>
        </w:sectPr>
      </w:pPr>
    </w:p>
    <w:p>
      <w:pPr>
        <w:tabs>
          <w:tab w:val="left" w:pos="144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8.	LOSS PER COMMON SHARE</w:t>
      </w:r>
      <w:bookmarkStart w:id="48314" w:name="NOTE_8___Earnings_Per_Common_Share"/>
      <w:bookmarkEnd w:id="48314"/>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Basic earnings (loss) per common share is computed by dividing the net income or loss by the basic weighted-average number of shares of common stock outstanding during each period presented. Although restricted stock is issued upon the grant of an award, the Company excludes restricted stock from the computations of weighted-average number of shares of common stock outstanding until such time as the stock vests. Diluted loss per share is computed by dividing the net income or loss by the sum of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w:t>
      </w:r>
    </w:p>
    <w:tbl>
      <w:tblPr>
        <w:tblW w:type="dxa" w:w="10240"/>
        <w:tblLayout w:type="fixed"/>
        <w:jc w:val="center"/>
      </w:tblPr>
      <w:tblGrid>
        <w:gridCol w:w="7560"/>
        <w:gridCol w:w="110"/>
        <w:gridCol w:w="1113"/>
        <w:gridCol w:w="77"/>
        <w:gridCol w:w="80"/>
        <w:gridCol w:w="110"/>
        <w:gridCol w:w="1113"/>
        <w:gridCol w:w="77"/>
      </w:tblGrid>
      <w:tr>
        <w:trPr>
          <w:trHeight w:hRule="exact" w:val="5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756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(1,830,580</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(2,045,120</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shares outstanding - basic and diluted</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12,575,458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12,575,458</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5,802,099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5,802,099</w:t>
            </w:r>
          </w:p>
        </w:tc>
        <w:tc>
          <w:tcPr>
            <w:tcW w:type="dxa" w:w="77"/>
            <w:tcMar>
              <w:left w:type="dxa" w:w="0"/>
              <w:right w:type="dxa" w:w="0"/>
            </w:tcMar>
            <w:tcBorders>
              <w:bottom w:val="single" w:sz="8"/>
            </w:tcBorders>
          </w:tcP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Basic and diluted loss per common share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(0.15</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(0.35</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excluded the following weighted average items from the above computation of diluted loss per common share, as their effect would be anti-dilutive:</w:t>
      </w:r>
    </w:p>
    <w:tbl>
      <w:tblPr>
        <w:tblW w:type="dxa" w:w="10240"/>
        <w:tblLayout w:type="fixed"/>
        <w:jc w:val="center"/>
      </w:tblPr>
      <w:tblGrid>
        <w:gridCol w:w="7560"/>
        <w:gridCol w:w="1223"/>
        <w:gridCol w:w="77"/>
        <w:gridCol w:w="80"/>
        <w:gridCol w:w="1223"/>
        <w:gridCol w:w="77"/>
      </w:tblGrid>
      <w:tr>
        <w:trPr>
          <w:trHeight w:hRule="exact" w:val="500"/>
        </w:trPr>
        <w:tc>
          <w:tcPr>
            <w:tcW w:type="dxa" w:w="7560"/>
            <w:tcMar>
              <w:left w:type="dxa" w:w="60"/>
              <w:right w:type="dxa" w:w="0"/>
            </w:tcMar>
            <w:tcBorders/>
            <w:vAlign w:val="bottom"/>
          </w:tcPr>
          <w:p>
            <w:pPr>
              <w:jc w:val="left"/>
              <w:keepNext/>
              <w:keepLines/>
              <w:spacing w:before="40" w:after="40" w:line="240" w:lineRule="auto"/>
              <w:rPr/>
            </w:pPr>
            <w:r>
              <w:rPr/>
            </w:r>
          </w:p>
        </w:tc>
        <w:tc>
          <w:tcPr>
            <w:tcW w:type="dxa" w:w="252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7560"/>
            <w:tcMar>
              <w:left w:type="dxa" w:w="60"/>
              <w:right w:type="dxa" w:w="0"/>
            </w:tcMar>
            <w:hMerge w:val="restart"/>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options</w:t>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1,032,095</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1,045,264</w:t>
            </w:r>
          </w:p>
        </w:tc>
        <w:tc>
          <w:tcPr>
            <w:tcW w:type="dxa" w:w="77"/>
            <w:tcMar>
              <w:left w:type="dxa" w:w="0"/>
              <w:right w:type="dxa" w:w="0"/>
            </w:tcMar>
            <w:tcBorders>
              <w:top w:val="single" w:sz="8" w:space="0"/>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Restricted stock units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142,385</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Warrants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17,500</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515,950</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excluded shares</w:t>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1,191,980</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1,561,214</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21" w:type="default"/>
          <w:footerReference r:id="rId6"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9.	REVENUE</w:t>
      </w:r>
      <w:bookmarkStart w:id="16490" w:name="NOTE_9__Revenue"/>
      <w:bookmarkEnd w:id="16490"/>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consistently applied its accounting policies with respect to revenue to all periods presented in the unaudited consolidated financial statements contained herein. The following table illustrates the Company's revenue by product service type:</w:t>
      </w:r>
    </w:p>
    <w:tbl>
      <w:tblPr>
        <w:tblW w:type="dxa" w:w="10240"/>
        <w:tblLayout w:type="fixed"/>
        <w:jc w:val="center"/>
      </w:tblPr>
      <w:tblGrid>
        <w:gridCol w:w="7560"/>
        <w:gridCol w:w="110"/>
        <w:gridCol w:w="1113"/>
        <w:gridCol w:w="77"/>
        <w:gridCol w:w="80"/>
        <w:gridCol w:w="110"/>
        <w:gridCol w:w="1113"/>
        <w:gridCol w:w="77"/>
      </w:tblGrid>
      <w:tr>
        <w:trPr>
          <w:trHeight w:hRule="exact" w:val="5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756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756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Managed Services 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3,867,232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3,796,665</w:t>
            </w:r>
          </w:p>
        </w:tc>
        <w:tc>
          <w:tcPr>
            <w:tcW w:type="dxa" w:w="77"/>
            <w:tcMar>
              <w:left w:type="dxa" w:w="0"/>
              <w:right w:type="dxa" w:w="0"/>
            </w:tcMar>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Fees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47,330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47,330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60,705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60,705</w:t>
            </w:r>
          </w:p>
        </w:tc>
        <w:tc>
          <w:tcPr>
            <w:tcW w:type="dxa" w:w="77"/>
            <w:tcMar>
              <w:left w:type="dxa" w:w="0"/>
              <w:right w:type="dxa" w:w="0"/>
            </w:tcMar>
            <w:tcBorders/>
          </w:tcPr>
          <w:p/>
        </w:tc>
      </w:tr>
      <w:tr>
        <w:trPr>
          <w:trHeight w:hRule="exact" w:val="300"/>
        </w:trPr>
        <w:tc>
          <w:tcPr>
            <w:tcW w:type="dxa" w:w="7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374,653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374,653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2,843</w:t>
            </w:r>
          </w:p>
        </w:tc>
        <w:tc>
          <w:tcPr>
            <w:tcW w:type="dxa" w:w="77"/>
            <w:tcMar>
              <w:left w:type="dxa" w:w="0"/>
              <w:right w:type="dxa" w:w="0"/>
            </w:tcMar>
            <w:tcBorders/>
          </w:tcPr>
          <w:p/>
        </w:tc>
      </w:tr>
      <w:tr>
        <w:trPr>
          <w:trHeight w:hRule="exact" w:val="300"/>
        </w:trPr>
        <w:tc>
          <w:tcPr>
            <w:tcW w:type="dxa" w:w="756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491,094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491,094</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13,264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13,264</w:t>
            </w:r>
          </w:p>
        </w:tc>
        <w:tc>
          <w:tcPr>
            <w:tcW w:type="dxa" w:w="77"/>
            <w:tcMar>
              <w:left w:type="dxa" w:w="0"/>
              <w:right w:type="dxa" w:w="0"/>
            </w:tcMar>
            <w:tcBorders>
              <w:bottom w:val="single" w:sz="8"/>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SaaS Services Revenue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913,077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913,077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76,812</w:t>
            </w:r>
          </w:p>
        </w:tc>
        <w:tc>
          <w:tcPr>
            <w:tcW w:type="dxa" w:w="77"/>
            <w:tcMar>
              <w:left w:type="dxa" w:w="0"/>
              <w:right w:type="dxa" w:w="0"/>
            </w:tcMar>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Other Revenue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Total Revenue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op w:val="single" w:sz="8" w:space="0"/>
              <w:bottom w:val="double" w:sz="4"/>
            </w:tcBorders>
          </w:tcPr>
          <w:p/>
        </w:tc>
      </w:tr>
    </w:tbl>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Contract Balances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information about receivables, contract assets and contract liabilities from contracts with customers.</w:t>
      </w:r>
    </w:p>
    <w:tbl>
      <w:tblPr>
        <w:tblW w:type="dxa" w:w="10200"/>
        <w:tblLayout w:type="fixed"/>
        <w:jc w:val="center"/>
      </w:tblPr>
      <w:tblGrid>
        <w:gridCol w:w="7520"/>
        <w:gridCol w:w="110"/>
        <w:gridCol w:w="1113"/>
        <w:gridCol w:w="77"/>
        <w:gridCol w:w="80"/>
        <w:gridCol w:w="110"/>
        <w:gridCol w:w="1113"/>
        <w:gridCol w:w="77"/>
      </w:tblGrid>
      <w:tr>
        <w:trPr>
          <w:trHeight w:hRule="exact" w:val="480"/>
        </w:trPr>
        <w:tc>
          <w:tcPr>
            <w:tcW w:type="dxa" w:w="752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w:t>
              <w:br w:type="textWrapping"/>
              <w:t xml:space="preserve"> 2019</w:t>
            </w:r>
          </w:p>
        </w:tc>
        <w:tc>
          <w:tcPr>
            <w:tcMar>
              <w:left w:type="dxa" w:w="0"/>
              <w:right w:type="dxa" w:w="60"/>
            </w:tcMar>
            <w:tcBorders>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2018</w:t>
            </w:r>
          </w:p>
        </w:tc>
        <w:tc>
          <w:tcPr>
            <w:tcMar>
              <w:left w:type="dxa" w:w="0"/>
              <w:right w:type="dxa" w:w="60"/>
            </w:tcMar>
            <w:tcBorders>
              <w:bottom w:val="single" w:sz="8"/>
            </w:tcBorders>
            <w:hMerge w:val="continue"/>
          </w:tcPr>
          <w:p/>
        </w:tc>
      </w:tr>
      <w:tr>
        <w:trPr>
          <w:trHeight w:hRule="exact" w:val="280"/>
        </w:trPr>
        <w:tc>
          <w:tcPr>
            <w:tcW w:type="dxa" w:w="75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6,066,161</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7,071,815</w:t>
            </w:r>
          </w:p>
        </w:tc>
        <w:tc>
          <w:tcPr>
            <w:tcW w:type="dxa" w:w="77"/>
            <w:tcMar>
              <w:left w:type="dxa" w:w="0"/>
              <w:right w:type="dxa" w:w="0"/>
            </w:tcMar>
            <w:tcBorders>
              <w:top w:val="single" w:sz="8" w:space="0"/>
            </w:tcBorders>
          </w:tcPr>
          <w:p/>
        </w:tc>
      </w:tr>
      <w:tr>
        <w:trPr>
          <w:trHeight w:hRule="exact" w:val="280"/>
        </w:trPr>
        <w:tc>
          <w:tcPr>
            <w:tcW w:type="dxa" w:w="7520"/>
            <w:tcMar>
              <w:left w:type="dxa" w:w="1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 (unearned revenue)</w:t>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5,464,843</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4,957,869</w:t>
            </w:r>
          </w:p>
        </w:tc>
        <w:tc>
          <w:tcPr>
            <w:tcW w:type="dxa" w:w="77"/>
            <w:tcMar>
              <w:left w:type="dxa" w:w="0"/>
              <w:right w:type="dxa" w:w="0"/>
            </w:tcMar>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does not typically engage in contracts that are longer than one year. Therefore, the Company does not have contract assets, because it does not capitalize costs to obtain its customer contracts as these amounts generally would be recognized over a period of less than one year and are not material.</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Contract receivables are recognized when the receipt of consideration is unconditional. The Company did not recognize any contract assets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Contract liabilities relate to advance consideration received from customers under the terms of the Company's contracts, which will be earned in future periods.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a practical expedient, the Company expenses the costs of sales commissions that are paid to its sales force associated with obtaining contracts less than one year in length in the period incurred.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Remaining Performance Obligations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typically enters into contracts that are one year or less in length. As such, the remaining performance obligations at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are equal to the contract liabilities disclosed above. The Company expects to recognize the full balance of the unearned revenue at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within the next year.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3" w:type="default"/>
          <w:footerReference r:id="rId22"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10. 	BUSINESS SEGMENTS</w:t>
      </w:r>
      <w:bookmarkStart w:id="10879" w:name="NOTE_10__Business_Segments"/>
      <w:bookmarkEnd w:id="10879"/>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Company management actively evaluates operations under the following two reportable business segments: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i w:val="true"/>
        </w:rPr>
        <w:t xml:space="preserve">Managed Services</w:t>
      </w:r>
      <w:r>
        <w:rPr>
          <w:rFonts w:ascii="Times New Roman" w:hAnsi="Times New Roman" w:eastAsia="Times New Roman" w:cs="Times New Roman"/>
          <w:sz w:val="20"/>
        </w:rPr>
        <w:t xml:space="preserve">, which includes services to marketers to provide custom content, influencer marketing, amplification or other consulting services using the Company's internal resources, its network of creators and/or its technology platforms.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keepNex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i w:val="true"/>
        </w:rPr>
        <w:t xml:space="preserve">SaaS Services</w:t>
      </w:r>
      <w:r>
        <w:rPr>
          <w:rFonts w:ascii="Times New Roman" w:hAnsi="Times New Roman" w:eastAsia="Times New Roman" w:cs="Times New Roman"/>
          <w:sz w:val="20"/>
        </w:rPr>
        <w:t xml:space="preserve">, which includes services generated by the self-service use of the Company's technology platforms by marketers to manage their own influencer marketing campaigns, as well as license subscriptions to access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SaaS Services are associated with the following revenue types: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keepNex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Marketplace Spend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keepNex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License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keepLines/>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Legacy Workflow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reportable segments are strategic business units that may offer similar services, but under different revenue recognition guidance. They are managed separately because each segment requires marketing and oversight strategies, however, the Company's chief operating decision maker for each segment is currently evaluating operations on the basis of revenue only as the Company does not currently allocate specific cost of revenue, other operating costs, or assets to each segment.</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accounting policies of the segments are the same as those described in the summary of significant accounting policies except that Company management evaluates performance based primarily on gross revenue and gross margin for all revenue streams, including revenue externally reported on a net basis for the Company's SaaS Services segment.</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the Company's measure of revenue for each reportable segment, and for other revenue. All other measures of Company profit and assets are reviewed on a consolidated basis.</w:t>
      </w:r>
    </w:p>
    <w:tbl>
      <w:tblPr>
        <w:tblW w:type="dxa" w:w="10240"/>
        <w:tblLayout w:type="fixed"/>
        <w:jc w:val="left"/>
      </w:tblPr>
      <w:tblGrid>
        <w:gridCol w:w="7560"/>
        <w:gridCol w:w="110"/>
        <w:gridCol w:w="1113"/>
        <w:gridCol w:w="77"/>
        <w:gridCol w:w="80"/>
        <w:gridCol w:w="110"/>
        <w:gridCol w:w="1113"/>
        <w:gridCol w:w="77"/>
      </w:tblGrid>
      <w:tr>
        <w:trPr>
          <w:trHeight w:hRule="exact" w:val="5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756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top"/>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top"/>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756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 Segment 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3,867,232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3,796,665</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SaaS Services Segment Revenue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913,077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913,077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76,812</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Revenue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the Company's revenues as determined by the country of domicile:</w:t>
      </w:r>
    </w:p>
    <w:tbl>
      <w:tblPr>
        <w:tblW w:type="dxa" w:w="10240"/>
        <w:tblLayout w:type="fixed"/>
        <w:jc w:val="left"/>
      </w:tblPr>
      <w:tblGrid>
        <w:gridCol w:w="7560"/>
        <w:gridCol w:w="110"/>
        <w:gridCol w:w="1113"/>
        <w:gridCol w:w="77"/>
        <w:gridCol w:w="80"/>
        <w:gridCol w:w="110"/>
        <w:gridCol w:w="1113"/>
        <w:gridCol w:w="77"/>
      </w:tblGrid>
      <w:tr>
        <w:trPr>
          <w:trHeight w:hRule="exact" w:val="5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756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top"/>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top"/>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r>
      <w:tr>
        <w:trPr>
          <w:trHeight w:hRule="exact" w:val="300"/>
        </w:trPr>
        <w:tc>
          <w:tcPr>
            <w:tcW w:type="dxa" w:w="756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United States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4,275,419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3,405,628</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Canada</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518,337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518,337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490,813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490,813</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23"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11. 	SUBSEQUENT EVENTS</w:t>
      </w:r>
      <w:bookmarkStart w:id="34738" w:name="NOTE_11__Subsequent_Events"/>
      <w:bookmarkEnd w:id="34738"/>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May 10, 2019, the Company closed on its underwritten registered public offering of </w:t>
      </w:r>
      <w:r>
        <w:rPr>
          <w:rFonts w:ascii="Times New Roman" w:hAnsi="Times New Roman" w:eastAsia="Times New Roman" w:cs="Times New Roman"/>
          <w:sz w:val="20"/>
        </w:rPr>
        <w:t xml:space="preserve">14,285,714</w:t>
      </w:r>
      <w:r>
        <w:rPr>
          <w:rFonts w:ascii="Times New Roman" w:hAnsi="Times New Roman" w:eastAsia="Times New Roman" w:cs="Times New Roman"/>
          <w:sz w:val="20"/>
        </w:rPr>
        <w:t xml:space="preserve"> shares of common stock at a public offering price of </w:t>
      </w:r>
      <w:r>
        <w:rPr>
          <w:rFonts w:ascii="Times New Roman" w:hAnsi="Times New Roman" w:eastAsia="Times New Roman" w:cs="Times New Roman"/>
          <w:sz w:val="20"/>
        </w:rPr>
        <w:t xml:space="preserve">$0.70</w:t>
      </w:r>
      <w:r>
        <w:rPr>
          <w:rFonts w:ascii="Times New Roman" w:hAnsi="Times New Roman" w:eastAsia="Times New Roman" w:cs="Times New Roman"/>
          <w:sz w:val="20"/>
        </w:rPr>
        <w:t xml:space="preserve"> per share, for total gross proceeds of approximately </w:t>
      </w:r>
      <w:r>
        <w:rPr>
          <w:rFonts w:ascii="Times New Roman" w:hAnsi="Times New Roman" w:eastAsia="Times New Roman" w:cs="Times New Roman"/>
          <w:sz w:val="20"/>
        </w:rPr>
        <w:t xml:space="preserve">$10.0</w:t>
      </w:r>
      <w:r>
        <w:rPr>
          <w:rFonts w:ascii="Times New Roman" w:hAnsi="Times New Roman" w:eastAsia="Times New Roman" w:cs="Times New Roman"/>
          <w:sz w:val="20"/>
        </w:rPr>
        <w:t xml:space="preserve"> million. The net proceeds, after the underwriting discount but before estimated expenses of the offering payable by the Company, were approximately </w:t>
      </w:r>
      <w:r>
        <w:rPr>
          <w:rFonts w:ascii="Times New Roman" w:hAnsi="Times New Roman" w:eastAsia="Times New Roman" w:cs="Times New Roman"/>
          <w:sz w:val="20"/>
        </w:rPr>
        <w:t xml:space="preserve">$9.4</w:t>
      </w:r>
      <w:r>
        <w:rPr>
          <w:rFonts w:ascii="Times New Roman" w:hAnsi="Times New Roman" w:eastAsia="Times New Roman" w:cs="Times New Roman"/>
          <w:sz w:val="20"/>
        </w:rPr>
        <w:t xml:space="preserve"> million.  Mr. Edward Murphy, the Company's Chief Executive Officer and a Company director, and Mr. Troy J. Vanke, the Company's Chief Financial Officer, participated in the public offering and purchased </w:t>
      </w:r>
      <w:r>
        <w:rPr>
          <w:rFonts w:ascii="Times New Roman" w:hAnsi="Times New Roman" w:eastAsia="Times New Roman" w:cs="Times New Roman"/>
          <w:sz w:val="20"/>
        </w:rPr>
        <w:t xml:space="preserve">21,428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42,857</w:t>
      </w:r>
      <w:r>
        <w:rPr>
          <w:rFonts w:ascii="Times New Roman" w:hAnsi="Times New Roman" w:eastAsia="Times New Roman" w:cs="Times New Roman"/>
          <w:sz w:val="20"/>
        </w:rPr>
        <w:t xml:space="preserve"> shares of stock,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21"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2 – MANAGEMENT’S DISCUSSION AND ANALYSIS OF FINANCIAL CONDITION AND RESULTS OF OPERATIONS</w:t>
      </w:r>
      <w:bookmarkStart w:id="59871" w:name="Item_2____Management_s_Discussion_and_An"/>
      <w:bookmarkEnd w:id="59871"/>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4"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Cautionary Note Regarding Forward-Looking Information</w:t>
      </w:r>
      <w:bookmarkStart w:id="27863" w:name="Cautionary_Note_Regarding_Forward_Lookin"/>
      <w:bookmarkEnd w:id="27863"/>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	</w:t>
      </w:r>
      <w:r>
        <w:rPr>
          <w:rFonts w:ascii="Times New Roman" w:hAnsi="Times New Roman" w:eastAsia="Times New Roman" w:cs="Times New Roman"/>
          <w:sz w:val="20"/>
        </w:rPr>
        <w:t xml:space="preserve">This Quarterly Report on Form 10-Q (this “Quarterly Report”) contains “forward-looking statements” intended to qualify for the safe harbor from liability established by the Private Securities Litigation Reform Act of 1995. The statements, which are not historical facts contained in this report, including those contained in Management’s Discussion and Analysis of Financial Condition and Results of Operations, and the notes to our unaudited consolidated financial statements, particularly those that utilize terminology such as “may,” “will,” “would,” “could,” “should,” “expects,” “anticipates,” “estimates,” “believes,” “intends,” "likely," "projects," “plans,” "pursue," "strategy" or "future," or the negative of these words or other words or expressions of similar meaning, are forward-looking statements. Such statements are based on currently available operating, financial and competitive information, and are subject to inherent risks, uncertainties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could cause these differences include, but are not limited to, the following:</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raise additional funding;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issue shares to settle future acquisition costs payable;</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customer cancellations;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maintain and grow our business;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variability of operating results;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2"/>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establish effective disclosure controls and procedures and internal control over financial reporting;</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2"/>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satisfy the requirements for continued listing of our common stock on the Nasdaq Capital Market;</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maintain and enhance our brand;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development and introduction of new products and services;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successful integration of acquired companies, technologies and assets into our portfolio of software and services;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marketing and other business development initiatives;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competition in the industry;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general government regulation;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economic conditions;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dependence on key personnel;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ability to attract, hire and retain personnel who possess the technical skills and experience necessary to meet the service requirements of our customers;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protect our intellectual property;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potential liability with respect to actions taken by our existing and past employees;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risks associated with international sales;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1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and the other risks and uncertainties described in the Risk Factors section of this Quarterly Report.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All forward-looking statements in this document are based on our current expectations, intentions and beliefs using information currently available to us as of the date of this Quarterly 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Company Overview</w:t>
      </w:r>
      <w:bookmarkStart w:id="51369" w:name="Company_Overview"/>
      <w:bookmarkEnd w:id="51369"/>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creates and operates online marketplaces that connect marketers with content creators. Our technology brings the marketers and creators together, enabling their transactions to be completed at scale through the management of custom content workflow, creator search and targeting, bidding, analytics and payment processing.</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Marketers, including brands, agencies, and publishers, engage us to gain access to our industry expertise, technology, analytics, and network of creators. The majority of the marketers engage us to perform these services on their behalf, but they also have the ability to use our marketplaces on a self-service basis. Our technology is used for two primary purposes: the engagement of creators for influencer marketing campaigns, or the engagement of creators to create stand-alone custom content for the marketers' own use and distribution. Marketers receive influential consumer content and engaging, shareable stories that drive awareness.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primary technology platforms, </w:t>
      </w:r>
      <w:r>
        <w:rPr>
          <w:rFonts w:ascii="Times New Roman" w:hAnsi="Times New Roman" w:eastAsia="Times New Roman" w:cs="Times New Roman"/>
          <w:sz w:val="20"/>
          <w:i w:val="true"/>
        </w:rPr>
        <w:t xml:space="preserve">The IZEA Exchange </w:t>
      </w:r>
      <w:r>
        <w:rPr>
          <w:rFonts w:ascii="Times New Roman" w:hAnsi="Times New Roman" w:eastAsia="Times New Roman" w:cs="Times New Roman"/>
          <w:sz w:val="20"/>
        </w:rPr>
        <w:t xml:space="preserve">(“</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enable transactions to be completed at scale through the management of custom content workflow, creator search and targeting, bidding, analytics, and payment processing.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are designed to provide a unified ecosystem that enables the creation and publication of multiple types of custom content through a creator's personal websites, blogs, or social media channels including Twitter, Facebook, Instagram, and YouTube, among others. In addition to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we operate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technology platform, which we acquired in January 2015 and the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platform, which we acquired in July 2016.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was originally designed as a self-service content marketplace to replace editorial newsrooms located in the news agencies with a “virtual newsroom” of creators to produce their content needs and to handle their content workflow. After the acquisition, we began to utilize the creators in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to produce professional custom content for brands, in addition to the self-service functionality used by newspapers. The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platform is an in-house workflow tool that enables us to produce highly scalable, multi-part production of content for both e-commerce entities, as well as brand customers.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5" w:type="default"/>
        </w:sectPr>
      </w:pPr>
    </w:p>
    <w:p>
      <w:pPr>
        <w:ind w:right="200"/>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Key Components of Results of Operations</w:t>
      </w:r>
      <w:bookmarkStart w:id="42771" w:name="Key_Components_of_Results_of_Operations"/>
      <w:bookmarkEnd w:id="42771"/>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measure revenue associated with our business under two reportable business segments; Managed Services and SaaS Services. Overall consolidated results of operations are evaluated based on Revenue, Cost of Revenue, Sales and Marketing expenses, General and Administrative expenses, Depreciation and Amortization, and Other Income (Expense), net.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generate revenue from five primary sources: (1) revenue from our managed services when a marketer (typically a brand, agency or partner) pays us to provide custom content, influencer marketing, amplification or other consulting services (“Managed Services”); (2) revenue from fees charged to self-service customers on their marketplace spend within our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(“Marketplace Spend Fees”); (3) revenue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(“License Fees”); (4) revenue from transactions generated by the self-service use of our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(“Legacy Workflow Fees”); and (5) revenue derived from other fees such as inactivity fees, early cash-out fees, and plan fees charged to users of our platforms (“Other”).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As discussed in more detail within “Critical Accounting Policies and Use of Estimates” and in “Note 1. Company and Summary of Significant Accounting Policies,” of this Quarterly Report, revenue from Marketplace Spend Fees and Legacy Workflow Fees is reported on a net basis and revenue from all other sources, including Managed Services, License Fees and Other are reported on a gross basis. We further categorize these sources into two primary operating segments, Managed Services and SaaS Services, which includes revenue from Marketplace Spend Fees, License Fees and Legacy Workflow Fees.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before="1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ind w:right="280"/>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cost of revenue consists of direct costs paid to our third-party creators who provide the custom content, influencer marketing or amplification services for our Managed Service customers where we report revenue on a gross basis. It also includes internal costs related to our campaign fulfillment and SaaS support departments.  These costs include salaries, bonuses, commissions, stock­-based compensation, employee benefit costs, and miscellaneous departmental costs related to the personnel who are primarily responsible for providing support to our customers and ultimately fulfillment of our obligations under our contracts with customers. We capitalize costs that were incurred with software that is developed or acquired for our revenue supporting platforms and amortize these costs over the estimated useful lives of those platforms. This amortization is separately stated under depreciation and amortization.</w:t>
      </w:r>
    </w:p>
    <w:p>
      <w:pPr>
        <w:jc w:val="left"/>
        <w:spacing w:before="11"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sales and marketing expenses consist primarily of salaries, bonuses, commissions, stock­-based compensation, employee benefit costs, travel and miscellaneous departmental costs for our sales and sales support personnel, as well as marketing expenses such as brand marketing, public relation events, trade shows and marketing materials, and travel expenses.</w:t>
      </w:r>
    </w:p>
    <w:p>
      <w:pPr>
        <w:jc w:val="left"/>
        <w:spacing w:before="11"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r>
        <w:rPr>
          <w:rFonts w:ascii="Times New Roman" w:hAnsi="Times New Roman" w:eastAsia="Times New Roman" w:cs="Times New Roman"/>
          <w:sz w:val="20"/>
          <w:b w:val="true"/>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general and administrative expense consists primarily of salaries, bonuses, commissions, stock­-based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 related costs, and other corporate­ related expenses. General and administrative expense also includes our technology and development costs consisting primarily of our payroll costs for our internal engineers and contractors responsible for developing, maintaining and improving our technology, along with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General and administrative expense also include current period gains and losses on costs previously accrued related to our acquisitions.</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consists primarily of amortization on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those assets.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Income (Expense)</w:t>
      </w:r>
    </w:p>
    <w:p>
      <w:pPr>
        <w:jc w:val="left"/>
        <w:spacing w:before="1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right="32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Interest Expense. </w:t>
      </w:r>
      <w:r>
        <w:rPr>
          <w:rFonts w:ascii="Times New Roman" w:hAnsi="Times New Roman" w:eastAsia="Times New Roman" w:cs="Times New Roman"/>
          <w:sz w:val="20"/>
        </w:rPr>
        <w:t xml:space="preserve">Interest expense is mainly related to the imputed interest on our acquisition costs payable and interest when we use our line of credit facility.</w:t>
      </w:r>
    </w:p>
    <w:p>
      <w:pPr>
        <w:jc w:val="left"/>
        <w:spacing w:before="11"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w:t>
      </w:r>
    </w:p>
    <w:p>
      <w:pPr>
        <w:jc w:val="left"/>
        <w:spacing w:before="11"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Other Income (Expense). </w:t>
      </w:r>
      <w:r>
        <w:rPr>
          <w:rFonts w:ascii="Times New Roman" w:hAnsi="Times New Roman" w:eastAsia="Times New Roman" w:cs="Times New Roman"/>
          <w:sz w:val="20"/>
        </w:rPr>
        <w:t xml:space="preserve">Other income consists primarily of interest income for interest earned on our cash and cash equivalent balances and foreign currency exchange gains and losses on foreign currency transactions, primarily related to the Canadian Dollar.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2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Results of Operations for the </w:t>
      </w:r>
      <w:r>
        <w:rPr>
          <w:rFonts w:ascii="Times New Roman" w:hAnsi="Times New Roman" w:eastAsia="Times New Roman" w:cs="Times New Roman"/>
          <w:sz w:val="20"/>
          <w:b w:val="true"/>
        </w:rPr>
        <w:t xml:space="preserve">Three Months Ended</w:t>
      </w:r>
      <w:r>
        <w:rPr>
          <w:rFonts w:ascii="Times New Roman" w:hAnsi="Times New Roman" w:eastAsia="Times New Roman" w:cs="Times New Roman"/>
          <w:sz w:val="20"/>
          <w:b w:val="true"/>
        </w:rPr>
        <w:t xml:space="preserve"> </w:t>
      </w:r>
      <w:r>
        <w:rPr>
          <w:rFonts w:ascii="Times New Roman" w:hAnsi="Times New Roman" w:eastAsia="Times New Roman" w:cs="Times New Roman"/>
          <w:sz w:val="20"/>
          <w:b w:val="true"/>
        </w:rPr>
        <w:t xml:space="preserve">March 31, 2019</w:t>
      </w:r>
      <w:r>
        <w:rPr>
          <w:rFonts w:ascii="Times New Roman" w:hAnsi="Times New Roman" w:eastAsia="Times New Roman" w:cs="Times New Roman"/>
          <w:sz w:val="20"/>
          <w:b w:val="true"/>
        </w:rPr>
        <w:t xml:space="preserve"> and </w:t>
      </w:r>
      <w:r>
        <w:rPr>
          <w:rFonts w:ascii="Times New Roman" w:hAnsi="Times New Roman" w:eastAsia="Times New Roman" w:cs="Times New Roman"/>
          <w:sz w:val="20"/>
          <w:b w:val="true"/>
        </w:rPr>
        <w:t xml:space="preserve">2018</w:t>
      </w:r>
      <w:bookmarkStart w:id="47625" w:name="Comparison_of_Three_Months_Ended"/>
      <w:bookmarkEnd w:id="47625"/>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sets forth a summary of our consolidated statements of operations and the change between the periods:</w:t>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justify"/>
      </w:tblPr>
      <w:tblGrid>
        <w:gridCol w:w="4880"/>
        <w:gridCol w:w="110"/>
        <w:gridCol w:w="1213"/>
        <w:gridCol w:w="77"/>
        <w:gridCol w:w="80"/>
        <w:gridCol w:w="110"/>
        <w:gridCol w:w="1213"/>
        <w:gridCol w:w="77"/>
        <w:gridCol w:w="80"/>
        <w:gridCol w:w="110"/>
        <w:gridCol w:w="1213"/>
        <w:gridCol w:w="77"/>
        <w:gridCol w:w="756"/>
        <w:gridCol w:w="244"/>
      </w:tblGrid>
      <w:tr>
        <w:trPr>
          <w:trHeight w:hRule="exact" w:val="500"/>
        </w:trPr>
        <w:tc>
          <w:tcPr>
            <w:tcW w:type="dxa" w:w="48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88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7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280"/>
        </w:trPr>
        <w:tc>
          <w:tcPr>
            <w:tcW w:type="dxa" w:w="488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897,315</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80"/>
        </w:trPr>
        <w:tc>
          <w:tcPr>
            <w:tcW w:type="dxa" w:w="48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7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4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7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300"/>
        </w:trPr>
        <w:tc>
          <w:tcPr>
            <w:tcW w:type="dxa" w:w="48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2,099,291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2,099,291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2,163,142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2,163,142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(63,851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(63,851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1,357,667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1,357,667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1,755,526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1,755,526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(397,859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(397,859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2,612,054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2,612,054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1,615,222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1,615,222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996,832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996,832</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436,224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436,224</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265,455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265,455</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170,769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170,769</w:t>
            </w:r>
          </w:p>
        </w:tc>
        <w:tc>
          <w:tcPr>
            <w:tcW w:type="dxa" w:w="77"/>
            <w:tcMar>
              <w:left w:type="dxa" w:w="0"/>
              <w:right w:type="dxa" w:w="0"/>
            </w:tcMar>
            <w:tcBorders>
              <w:bottom w:val="single" w:sz="8"/>
            </w:tcBorders>
          </w:tcPr>
          <w:p/>
        </w:tc>
        <w:tc>
          <w:tcPr>
            <w:tcW w:type="dxa" w:w="7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6,505,236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6,505,236</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5,799,345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5,799,345</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705,891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705,891</w:t>
            </w:r>
          </w:p>
        </w:tc>
        <w:tc>
          <w:tcPr>
            <w:tcW w:type="dxa" w:w="77"/>
            <w:tcMar>
              <w:left w:type="dxa" w:w="0"/>
              <w:right w:type="dxa" w:w="0"/>
            </w:tcMar>
            <w:tcBorders>
              <w:bottom w:val="single" w:sz="8"/>
            </w:tcBorders>
          </w:tcPr>
          <w:p/>
        </w:tc>
        <w:tc>
          <w:tcPr>
            <w:tcW w:type="dxa" w:w="7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(1,711,480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(1,711,480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(1,902,904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(1,902,904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191,424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191,424</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(expense):</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7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48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(128,464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(128,464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(21,311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(107,153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(107,153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9,364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9,364</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4,690</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4,674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4,674</w:t>
            </w:r>
          </w:p>
        </w:tc>
        <w:tc>
          <w:tcPr>
            <w:tcW w:type="dxa" w:w="77"/>
            <w:tcMar>
              <w:left w:type="dxa" w:w="0"/>
              <w:right w:type="dxa" w:w="0"/>
            </w:tcMar>
            <w:tcBorders>
              <w:bottom w:val="single" w:sz="8"/>
            </w:tcBorders>
          </w:tcPr>
          <w:p/>
        </w:tc>
        <w:tc>
          <w:tcPr>
            <w:tcW w:type="dxa" w:w="7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income (expense), net</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(119,100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(119,100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(142,216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(142,216</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23,116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23,116</w:t>
            </w:r>
          </w:p>
        </w:tc>
        <w:tc>
          <w:tcPr>
            <w:tcW w:type="dxa" w:w="77"/>
            <w:tcMar>
              <w:left w:type="dxa" w:w="0"/>
              <w:right w:type="dxa" w:w="0"/>
            </w:tcMar>
            <w:tcBorders>
              <w:bottom w:val="single" w:sz="8"/>
            </w:tcBorders>
          </w:tcPr>
          <w:p/>
        </w:tc>
        <w:tc>
          <w:tcPr>
            <w:tcW w:type="dxa" w:w="7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8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(1,830,580</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(2,045,120</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214,540</w:t>
            </w:r>
          </w:p>
        </w:tc>
        <w:tc>
          <w:tcPr>
            <w:tcW w:type="dxa" w:w="77"/>
            <w:tcMar>
              <w:left w:type="dxa" w:w="0"/>
              <w:right w:type="dxa" w:w="0"/>
            </w:tcMar>
            <w:tcBorders>
              <w:bottom w:val="double" w:sz="4"/>
            </w:tcBorders>
          </w:tcPr>
          <w:p/>
        </w:tc>
        <w:tc>
          <w:tcPr>
            <w:tcW w:type="dxa" w:w="756"/>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w:t>
            </w:r>
          </w:p>
        </w:tc>
        <w:tc>
          <w:tcPr>
            <w:tcW w:type="dxa" w:w="244"/>
            <w:tcMar>
              <w:left w:type="dxa" w:w="0"/>
              <w:right w:type="dxa" w:w="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illustrates our revenue by type, the percentage of total revenue by type, and the change between the periods:</w:t>
      </w:r>
    </w:p>
    <w:tbl>
      <w:tblPr>
        <w:tblW w:type="dxa" w:w="10240"/>
        <w:tblLayout w:type="fixed"/>
        <w:jc w:val="left"/>
      </w:tblPr>
      <w:tblGrid>
        <w:gridCol w:w="3480"/>
        <w:gridCol w:w="110"/>
        <w:gridCol w:w="1053"/>
        <w:gridCol w:w="77"/>
        <w:gridCol w:w="703"/>
        <w:gridCol w:w="177"/>
        <w:gridCol w:w="80"/>
        <w:gridCol w:w="110"/>
        <w:gridCol w:w="1053"/>
        <w:gridCol w:w="77"/>
        <w:gridCol w:w="723"/>
        <w:gridCol w:w="177"/>
        <w:gridCol w:w="80"/>
        <w:gridCol w:w="110"/>
        <w:gridCol w:w="1053"/>
        <w:gridCol w:w="77"/>
        <w:gridCol w:w="856"/>
        <w:gridCol w:w="244"/>
      </w:tblGrid>
      <w:tr>
        <w:trPr>
          <w:trHeight w:hRule="exact" w:val="500"/>
        </w:trPr>
        <w:tc>
          <w:tcPr>
            <w:tcW w:type="dxa" w:w="34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856"/>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34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8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300"/>
        </w:trPr>
        <w:tc>
          <w:tcPr>
            <w:tcW w:type="dxa" w:w="348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Managed Services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3,867,232</w:t>
            </w:r>
          </w:p>
        </w:tc>
        <w:tc>
          <w:tcPr>
            <w:tcW w:type="dxa" w:w="77"/>
            <w:tcMar>
              <w:left w:type="dxa" w:w="0"/>
              <w:right w:type="dxa" w:w="0"/>
            </w:tcMar>
            <w:tcBorders>
              <w:top w:val="single" w:sz="8" w:space="0"/>
            </w:tcBorders>
          </w:tcPr>
          <w:p/>
        </w:tc>
        <w:tc>
          <w:tcPr>
            <w:tcW w:type="dxa" w:w="70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5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3,796,665</w:t>
            </w:r>
          </w:p>
        </w:tc>
        <w:tc>
          <w:tcPr>
            <w:tcW w:type="dxa" w:w="77"/>
            <w:tcMar>
              <w:left w:type="dxa" w:w="0"/>
              <w:right w:type="dxa" w:w="0"/>
            </w:tcMar>
            <w:tcBorders>
              <w:top w:val="single" w:sz="8" w:space="0"/>
            </w:tcBorders>
          </w:tcPr>
          <w:p/>
        </w:tc>
        <w:tc>
          <w:tcPr>
            <w:tcW w:type="dxa" w:w="7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5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70,567</w:t>
            </w:r>
          </w:p>
        </w:tc>
        <w:tc>
          <w:tcPr>
            <w:tcW w:type="dxa" w:w="77"/>
            <w:tcMar>
              <w:left w:type="dxa" w:w="0"/>
              <w:right w:type="dxa" w:w="0"/>
            </w:tcMar>
            <w:tcBorders/>
          </w:tcP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34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703"/>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723"/>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56"/>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3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Fees</w:t>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47,330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47,330</w:t>
            </w:r>
          </w:p>
        </w:tc>
        <w:tc>
          <w:tcPr>
            <w:tcW w:type="dxa" w:w="77"/>
            <w:tcMar>
              <w:left w:type="dxa" w:w="0"/>
              <w:right w:type="dxa" w:w="0"/>
            </w:tcMar>
            <w:tcBorders/>
          </w:tcPr>
          <w:p/>
        </w:tc>
        <w:tc>
          <w:tcPr>
            <w:tcW w:type="dxa" w:w="7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60,705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60,705</w:t>
            </w:r>
          </w:p>
        </w:tc>
        <w:tc>
          <w:tcPr>
            <w:tcW w:type="dxa" w:w="77"/>
            <w:tcMar>
              <w:left w:type="dxa" w:w="0"/>
              <w:right w:type="dxa" w:w="0"/>
            </w:tcMar>
            <w:tcBorders/>
          </w:tcPr>
          <w:p/>
        </w:tc>
        <w:tc>
          <w:tcPr>
            <w:tcW w:type="dxa" w:w="7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(13,375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374,653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374,653</w:t>
            </w:r>
          </w:p>
        </w:tc>
        <w:tc>
          <w:tcPr>
            <w:tcW w:type="dxa" w:w="77"/>
            <w:tcMar>
              <w:left w:type="dxa" w:w="0"/>
              <w:right w:type="dxa" w:w="0"/>
            </w:tcMar>
            <w:tcBorders/>
          </w:tcPr>
          <w:p/>
        </w:tc>
        <w:tc>
          <w:tcPr>
            <w:tcW w:type="dxa" w:w="7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2,843</w:t>
            </w:r>
          </w:p>
        </w:tc>
        <w:tc>
          <w:tcPr>
            <w:tcW w:type="dxa" w:w="77"/>
            <w:tcMar>
              <w:left w:type="dxa" w:w="0"/>
              <w:right w:type="dxa" w:w="0"/>
            </w:tcMar>
            <w:tcBorders/>
          </w:tcPr>
          <w:p/>
        </w:tc>
        <w:tc>
          <w:tcPr>
            <w:tcW w:type="dxa" w:w="7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371,810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371,810</w:t>
            </w:r>
          </w:p>
        </w:tc>
        <w:tc>
          <w:tcPr>
            <w:tcW w:type="dxa" w:w="77"/>
            <w:tcMar>
              <w:left w:type="dxa" w:w="0"/>
              <w:right w:type="dxa" w:w="0"/>
            </w:tcMar>
            <w:tcBorders/>
          </w:tcP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13,078</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4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1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491,094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491,094</w:t>
            </w:r>
          </w:p>
        </w:tc>
        <w:tc>
          <w:tcPr>
            <w:tcW w:type="dxa" w:w="77"/>
            <w:tcMar>
              <w:left w:type="dxa" w:w="0"/>
              <w:right w:type="dxa" w:w="0"/>
            </w:tcMar>
            <w:tcBorders>
              <w:bottom w:val="single" w:sz="8"/>
            </w:tcBorders>
          </w:tcPr>
          <w:p/>
        </w:tc>
        <w:tc>
          <w:tcPr>
            <w:tcW w:type="dxa" w:w="7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13,264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13,264</w:t>
            </w:r>
          </w:p>
        </w:tc>
        <w:tc>
          <w:tcPr>
            <w:tcW w:type="dxa" w:w="77"/>
            <w:tcMar>
              <w:left w:type="dxa" w:w="0"/>
              <w:right w:type="dxa" w:w="0"/>
            </w:tcMar>
            <w:tcBorders>
              <w:bottom w:val="single" w:sz="8"/>
            </w:tcBorders>
          </w:tcPr>
          <w:p/>
        </w:tc>
        <w:tc>
          <w:tcPr>
            <w:tcW w:type="dxa" w:w="7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6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477,830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477,830</w:t>
            </w:r>
          </w:p>
        </w:tc>
        <w:tc>
          <w:tcPr>
            <w:tcW w:type="dxa" w:w="77"/>
            <w:tcMar>
              <w:left w:type="dxa" w:w="0"/>
              <w:right w:type="dxa" w:w="0"/>
            </w:tcMar>
            <w:tcBorders>
              <w:bottom w:val="single" w:sz="8"/>
            </w:tcBorders>
          </w:tcPr>
          <w:p/>
        </w:tc>
        <w:tc>
          <w:tcPr>
            <w:tcW w:type="dxa" w:w="8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3,602</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4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SaaS Services Revenue</w:t>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913,077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913,077</w:t>
            </w:r>
          </w:p>
        </w:tc>
        <w:tc>
          <w:tcPr>
            <w:tcW w:type="dxa" w:w="77"/>
            <w:tcMar>
              <w:left w:type="dxa" w:w="0"/>
              <w:right w:type="dxa" w:w="0"/>
            </w:tcMar>
            <w:tcBorders/>
          </w:tcPr>
          <w:p/>
        </w:tc>
        <w:tc>
          <w:tcPr>
            <w:tcW w:type="dxa" w:w="70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w:t>
            </w:r>
          </w:p>
        </w:tc>
        <w:tc>
          <w:tcPr>
            <w:tcW w:type="dxa" w:w="177"/>
            <w:tcMar>
              <w:left w:type="dxa" w:w="0"/>
              <w:right w:type="dxa" w:w="0"/>
            </w:tcMar>
            <w:tcBorders>
              <w:top w:val="single" w:sz="8" w:space="0"/>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76,812</w:t>
            </w:r>
          </w:p>
        </w:tc>
        <w:tc>
          <w:tcPr>
            <w:tcW w:type="dxa" w:w="77"/>
            <w:tcMar>
              <w:left w:type="dxa" w:w="0"/>
              <w:right w:type="dxa" w:w="0"/>
            </w:tcMar>
            <w:tcBorders/>
          </w:tcPr>
          <w:p/>
        </w:tc>
        <w:tc>
          <w:tcPr>
            <w:tcW w:type="dxa" w:w="7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177"/>
            <w:tcMar>
              <w:left w:type="dxa" w:w="0"/>
              <w:right w:type="dxa" w:w="0"/>
            </w:tcMar>
            <w:tcBorders>
              <w:top w:val="single" w:sz="8" w:space="0"/>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836,265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836,265</w:t>
            </w:r>
          </w:p>
        </w:tc>
        <w:tc>
          <w:tcPr>
            <w:tcW w:type="dxa" w:w="77"/>
            <w:tcMar>
              <w:left w:type="dxa" w:w="0"/>
              <w:right w:type="dxa" w:w="0"/>
            </w:tcMar>
            <w:tcBorders/>
          </w:tcP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1,089</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34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703"/>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723"/>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56"/>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tc>
      </w:tr>
      <w:tr>
        <w:trPr>
          <w:trHeight w:hRule="exact" w:val="300"/>
        </w:trPr>
        <w:tc>
          <w:tcPr>
            <w:tcW w:type="dxa" w:w="34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Other Revenue</w:t>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W w:type="dxa" w:w="77"/>
            <w:tcMar>
              <w:left w:type="dxa" w:w="0"/>
              <w:right w:type="dxa" w:w="0"/>
            </w:tcMar>
            <w:tcBorders/>
          </w:tcPr>
          <w:p/>
        </w:tc>
        <w:tc>
          <w:tcPr>
            <w:tcW w:type="dxa" w:w="7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W w:type="dxa" w:w="77"/>
            <w:tcMar>
              <w:left w:type="dxa" w:w="0"/>
              <w:right w:type="dxa" w:w="0"/>
            </w:tcMar>
            <w:tcBorders/>
          </w:tcPr>
          <w:p/>
        </w:tc>
        <w:tc>
          <w:tcPr>
            <w:tcW w:type="dxa" w:w="7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6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(9,517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(9,517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48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Total Revenue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op w:val="single" w:sz="8" w:space="0"/>
              <w:bottom w:val="double" w:sz="4"/>
            </w:tcBorders>
          </w:tcPr>
          <w:p/>
        </w:tc>
        <w:tc>
          <w:tcPr>
            <w:tcW w:type="dxa" w:w="70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op w:val="single" w:sz="8" w:space="0"/>
              <w:bottom w:val="double" w:sz="4"/>
            </w:tcBorders>
          </w:tcPr>
          <w:p/>
        </w:tc>
        <w:tc>
          <w:tcPr>
            <w:tcW w:type="dxa" w:w="7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5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897,315</w:t>
            </w:r>
          </w:p>
        </w:tc>
        <w:tc>
          <w:tcPr>
            <w:tcW w:type="dxa" w:w="77"/>
            <w:tcMar>
              <w:left w:type="dxa" w:w="0"/>
              <w:right w:type="dxa" w:w="0"/>
            </w:tcMar>
            <w:tcBorders>
              <w:top w:val="single" w:sz="8" w:space="0"/>
              <w:bottom w:val="double" w:sz="4"/>
            </w:tcBorders>
          </w:tcPr>
          <w:p/>
        </w:tc>
        <w:tc>
          <w:tcPr>
            <w:tcW w:type="dxa" w:w="8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Historically, we have invested the majority of our time and resources in our Managed Services business, which provides the majority of our revenue. Our acquisitions of Ebyline and ZenContent allowed us to expand our product offerings to provide custom content in addition to and in combination with our influencer marketing campaigns to expand our Managed Services. Our merger with TapInfluence provided a springboard for the SaaS Services segment and an immediate increase of market share in the marketplace spend and licensed fees on SaaS Services.	</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$897,315</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This is primarily due to the July 2018 acquisition of TapInfluence.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Managed Services</w:t>
      </w:r>
      <w:r>
        <w:rPr>
          <w:rFonts w:ascii="Times New Roman" w:hAnsi="Times New Roman" w:eastAsia="Times New Roman" w:cs="Times New Roman"/>
          <w:sz w:val="20"/>
        </w:rPr>
        <w:t xml:space="preserve"> revenue improved by 2% over the same period in 2018, despite a significant decrease in our front-line sales personnel.</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SaaS Services</w:t>
      </w:r>
      <w:r>
        <w:rPr>
          <w:rFonts w:ascii="Times New Roman" w:hAnsi="Times New Roman" w:eastAsia="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Ebyline </w:t>
      </w:r>
      <w:r>
        <w:rPr>
          <w:rFonts w:ascii="Times New Roman" w:hAnsi="Times New Roman" w:eastAsia="Times New Roman" w:cs="Times New Roman"/>
          <w:sz w:val="20"/>
        </w:rPr>
        <w:t xml:space="preserve">platforms, along with the license &amp; support fees to access the platform services.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left="720" w:firstLine="-360"/>
        <w:jc w:val="left"/>
        <w:spacing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4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Legacy Workflow</w:t>
      </w:r>
      <w:r>
        <w:rPr>
          <w:rFonts w:ascii="Times New Roman" w:hAnsi="Times New Roman" w:eastAsia="Times New Roman" w:cs="Times New Roman"/>
          <w:sz w:val="20"/>
        </w:rPr>
        <w:t xml:space="preserve"> revenue represents self-service transactions through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content workflow. This revenue is declining quarter over quarter due to the ongoing consolidation and cutbacks in the newspaper industry. Revenue from Legacy Workflow transactions decreased to </w:t>
      </w:r>
      <w:r>
        <w:rPr>
          <w:rFonts w:ascii="Times New Roman" w:hAnsi="Times New Roman" w:eastAsia="Times New Roman" w:cs="Times New Roman"/>
          <w:sz w:val="20"/>
        </w:rPr>
        <w:t xml:space="preserve">$47,330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$60,705</w:t>
      </w:r>
      <w:r>
        <w:rPr>
          <w:rFonts w:ascii="Times New Roman" w:hAnsi="Times New Roman" w:eastAsia="Times New Roman" w:cs="Times New Roman"/>
          <w:sz w:val="20"/>
        </w:rPr>
        <w:t xml:space="preserve"> for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With the addition of TapInfluence and its SaaS revenue model and our modifications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which now allows marketers to purchase custom content, in addition to sponsored posts, we have shifted our focus away from this platform and its content generated primarily for newspapers and traditional publishers, and expect Legacy Workflow revenue to continue to decline going forward.</w:t>
      </w:r>
    </w:p>
    <w:p>
      <w:pPr>
        <w:ind w:left="720" w:firstLine="-36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left="720" w:firstLine="-360"/>
        <w:jc w:val="left"/>
        <w:spacing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4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Marketplace Spend Fees</w:t>
      </w:r>
      <w:r>
        <w:rPr>
          <w:rFonts w:ascii="Times New Roman" w:hAnsi="Times New Roman" w:eastAsia="Times New Roman" w:cs="Times New Roman"/>
          <w:sz w:val="20"/>
        </w:rPr>
        <w:t xml:space="preserve"> revenue primarily results from marketers and partners using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beginning in July 2018,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on a SaaS basis to distribute content for marketing and influencer marketing campaigns. We increased our revenue from Marketplace Spend Fees by $</w:t>
      </w:r>
      <w:r>
        <w:rPr>
          <w:rFonts w:ascii="Times New Roman" w:hAnsi="Times New Roman" w:eastAsia="Times New Roman" w:cs="Times New Roman"/>
          <w:sz w:val="20"/>
        </w:rPr>
        <w:t xml:space="preserve">371,810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when compared with the same period of 2018, primarily as a result of our merger with TapInfluence.  Revenue from Marketplace Spend Fees represents our net margins received on this business.</w:t>
      </w:r>
    </w:p>
    <w:p>
      <w:pPr>
        <w:ind w:left="720" w:firstLine="-36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left="720" w:firstLine="-360"/>
        <w:jc w:val="left"/>
        <w:spacing w:line="288" w:lineRule="auto"/>
        <w:rPr>
          <w:rFonts w:ascii="Times New Roman" w:hAnsi="Times New Roman" w:eastAsia="Times New Roman" w:cs="Times New Roman"/>
          <w:sz w:val="20"/>
          <w:i w:val="true"/>
          <w:rFonts w:ascii="Times New Roman" w:hAnsi="Times New Roman" w:eastAsia="Times New Roman" w:cs="Times New Roman"/>
          <w:sz w:val="20"/>
          <w:i w:val="true"/>
        </w:rPr>
        <w:numPr>
          <w:ilvl w:val="0"/>
          <w:numId w:val="241"/>
        </w:numPr>
      </w:pPr>
      <w:r>
        <w:rPr>
          <w:rFonts w:ascii="Times New Roman" w:hAnsi="Times New Roman" w:eastAsia="Times New Roman" w:cs="Times New Roman"/>
          <w:sz w:val="20"/>
          <w:i w:val="true"/>
        </w:rPr>
        <w:t xml:space="preserve"/>
      </w:r>
      <w:r>
        <w:rPr>
          <w:rFonts w:ascii="Times New Roman" w:hAnsi="Times New Roman" w:eastAsia="Times New Roman" w:cs="Times New Roman"/>
          <w:sz w:val="20"/>
          <w:i w:val="true"/>
        </w:rPr>
        <w:t xml:space="preserve">License and Support Fees </w:t>
      </w:r>
      <w:r>
        <w:rPr>
          <w:rFonts w:ascii="Times New Roman" w:hAnsi="Times New Roman" w:eastAsia="Times New Roman" w:cs="Times New Roman"/>
          <w:sz w:val="20"/>
        </w:rPr>
        <w:t xml:space="preserve">revenue are generated primarily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 License Fees revenue increased significantly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491,094</w:t>
      </w:r>
      <w:r>
        <w:rPr>
          <w:rFonts w:ascii="Times New Roman" w:hAnsi="Times New Roman" w:eastAsia="Times New Roman" w:cs="Times New Roman"/>
          <w:sz w:val="20"/>
        </w:rPr>
        <w:t xml:space="preserve">, primarily as a result of the merger with TapInfluence, compared to $</w:t>
      </w:r>
      <w:r>
        <w:rPr>
          <w:rFonts w:ascii="Times New Roman" w:hAnsi="Times New Roman" w:eastAsia="Times New Roman" w:cs="Times New Roman"/>
          <w:sz w:val="20"/>
        </w:rPr>
        <w:t xml:space="preserve">13,264</w:t>
      </w:r>
      <w:r>
        <w:rPr>
          <w:rFonts w:ascii="Times New Roman" w:hAnsi="Times New Roman" w:eastAsia="Times New Roman" w:cs="Times New Roman"/>
          <w:sz w:val="20"/>
        </w:rPr>
        <w:t xml:space="preserve"> in the same period of the prior year.</w:t>
      </w:r>
    </w:p>
    <w:p>
      <w:pPr>
        <w:ind w:left="72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Other </w:t>
      </w:r>
      <w:r>
        <w:rPr>
          <w:rFonts w:ascii="Times New Roman" w:hAnsi="Times New Roman" w:eastAsia="Times New Roman" w:cs="Times New Roman"/>
          <w:sz w:val="20"/>
        </w:rPr>
        <w:t xml:space="preserve">revenue consists of other fees, such as inactivity fees, early cash-out fees, and plan fees charged to users of our platforms.  These fees did not have a significant effect on our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cost of revenue consists primarily of direct costs paid to our third-party creators who provide custom content and advertising and our internal personnel costs for those primarily responsible for fulfillment of our obligations under our Managed Services. Cost of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$63,851</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Cost of revenue as a percentage of revenue improved from </w:t>
      </w:r>
      <w:r>
        <w:rPr>
          <w:rFonts w:ascii="Times New Roman" w:hAnsi="Times New Roman" w:eastAsia="Times New Roman" w:cs="Times New Roman"/>
          <w:sz w:val="20"/>
        </w:rPr>
        <w:t xml:space="preserve">56%</w:t>
      </w:r>
      <w:r>
        <w:rPr>
          <w:rFonts w:ascii="Times New Roman" w:hAnsi="Times New Roman" w:eastAsia="Times New Roman" w:cs="Times New Roman"/>
          <w:sz w:val="20"/>
        </w:rPr>
        <w:t xml:space="preserve"> in 2018 to </w:t>
      </w:r>
      <w:r>
        <w:rPr>
          <w:rFonts w:ascii="Times New Roman" w:hAnsi="Times New Roman" w:eastAsia="Times New Roman" w:cs="Times New Roman"/>
          <w:sz w:val="20"/>
        </w:rPr>
        <w:t xml:space="preserve">44%</w:t>
      </w:r>
      <w:r>
        <w:rPr>
          <w:rFonts w:ascii="Times New Roman" w:hAnsi="Times New Roman" w:eastAsia="Times New Roman" w:cs="Times New Roman"/>
          <w:sz w:val="20"/>
        </w:rPr>
        <w:t xml:space="preserve"> in 2019, due to an increase of approximately </w:t>
      </w:r>
      <w:r>
        <w:rPr>
          <w:rFonts w:ascii="Times New Roman" w:hAnsi="Times New Roman" w:eastAsia="Times New Roman" w:cs="Times New Roman"/>
          <w:sz w:val="20"/>
        </w:rPr>
        <w:t xml:space="preserve">$836,000</w:t>
      </w:r>
      <w:r>
        <w:rPr>
          <w:rFonts w:ascii="Times New Roman" w:hAnsi="Times New Roman" w:eastAsia="Times New Roman" w:cs="Times New Roman"/>
          <w:sz w:val="20"/>
        </w:rPr>
        <w:t xml:space="preserve"> in our higher margin revenue from SaaS Services, which is recognized on a net basis.	</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Sales and marketing expenses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$397,859</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Our average number of sales, marketing and support personnel declined by almost 21% for the three months ended March 31, 2019 when compared with 2018 which, along with the decrease in variable compensation linked with sales performance, contributed to a reduction of approximately $434,000 in sales and marketing payroll and personnel related expenses.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r>
        <w:rPr>
          <w:rFonts w:ascii="Times New Roman" w:hAnsi="Times New Roman" w:eastAsia="Times New Roman" w:cs="Times New Roman"/>
          <w:sz w:val="20"/>
          <w:b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General and administrative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$996,832</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62%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General and administrative expense for the three months ended March 31, 2019 includes a loss on the settlement of acquisition costs payable of $191,439 associated with our January 2019 payment related to the acquisition of TapInfluence. General and administrative expense for the three months ended March 31, 2018 includes a gain of $304,163 on the adjustment of acquisition costs to fair value. Adjusting for these one-time items, general and administrative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$501,232, or approximately 26%,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These increases in general and administrative expenses are generally due to higher payroll and personnel related costs for our administrative and development functions of approximately $133,000, increased professional services and recruiting spend of approximately $132,000, and an increase in software licensing and hosting fees of approximately $94,000 for additional AWS hosting costs and costs to upgrade our financial reporting software.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capitalized software development costs of </w:t>
      </w:r>
      <w:r>
        <w:rPr>
          <w:rFonts w:ascii="Times New Roman" w:hAnsi="Times New Roman" w:eastAsia="Times New Roman" w:cs="Times New Roman"/>
          <w:sz w:val="20"/>
        </w:rPr>
        <w:t xml:space="preserve">$346,789</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which was </w:t>
      </w:r>
      <w:r>
        <w:rPr>
          <w:rFonts w:ascii="Times New Roman" w:hAnsi="Times New Roman" w:eastAsia="Times New Roman" w:cs="Times New Roman"/>
          <w:sz w:val="20"/>
        </w:rPr>
        <w:t xml:space="preserve">$227,437</w:t>
      </w:r>
      <w:r>
        <w:rPr>
          <w:rFonts w:ascii="Times New Roman" w:hAnsi="Times New Roman" w:eastAsia="Times New Roman" w:cs="Times New Roman"/>
          <w:sz w:val="20"/>
        </w:rPr>
        <w:t xml:space="preserve"> higher than in the prior year period.  This increase in software development costs was directly attributable to the development of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3.0, the upgraded platform released in April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$170,769</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64%</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on property and equipment was </w:t>
      </w:r>
      <w:r>
        <w:rPr>
          <w:rFonts w:ascii="Times New Roman" w:hAnsi="Times New Roman" w:eastAsia="Times New Roman" w:cs="Times New Roman"/>
          <w:sz w:val="20"/>
        </w:rPr>
        <w:t xml:space="preserve">$38,477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$56,038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Depreciation expense has declined primarily due to certain assets becoming fully depreciated.</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Amortization expense was </w:t>
      </w:r>
      <w:r>
        <w:rPr>
          <w:rFonts w:ascii="Times New Roman" w:hAnsi="Times New Roman" w:eastAsia="Times New Roman" w:cs="Times New Roman"/>
          <w:sz w:val="20"/>
        </w:rPr>
        <w:t xml:space="preserve">$397,748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$209,417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Amortization expense related to intangible assets acquired in the Ebyline, ZenContent, and TapInfluence acquisitions was </w:t>
      </w:r>
      <w:r>
        <w:rPr>
          <w:rFonts w:ascii="Times New Roman" w:hAnsi="Times New Roman" w:eastAsia="Times New Roman" w:cs="Times New Roman"/>
          <w:sz w:val="20"/>
        </w:rPr>
        <w:t xml:space="preserve">$322,907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$135,795</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 Amortization expense related to internal use software development costs was </w:t>
      </w:r>
      <w:r>
        <w:rPr>
          <w:rFonts w:ascii="Times New Roman" w:hAnsi="Times New Roman" w:eastAsia="Times New Roman" w:cs="Times New Roman"/>
          <w:sz w:val="20"/>
        </w:rPr>
        <w:t xml:space="preserve">$74,842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$73,622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Income (Expense)</w:t>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Interest expense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$107,153</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$128,464</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primarily due higher interest rates and higher average amounts outstanding on our credit facility in 2018.</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recorded income of </w:t>
      </w:r>
      <w:r>
        <w:rPr>
          <w:rFonts w:ascii="Times New Roman" w:hAnsi="Times New Roman" w:eastAsia="Times New Roman" w:cs="Times New Roman"/>
          <w:sz w:val="20"/>
        </w:rPr>
        <w:t xml:space="preserve">$125,595</w:t>
      </w:r>
      <w:r>
        <w:rPr>
          <w:rFonts w:ascii="Times New Roman" w:hAnsi="Times New Roman" w:eastAsia="Times New Roman" w:cs="Times New Roman"/>
          <w:sz w:val="20"/>
        </w:rPr>
        <w:t xml:space="preserve"> resulting from the change in the fair value of restricted stock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2018</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rPr>
        <w:t xml:space="preserve">$4,674</w:t>
      </w:r>
      <w:r>
        <w:rPr>
          <w:rFonts w:ascii="Times New Roman" w:hAnsi="Times New Roman" w:eastAsia="Times New Roman" w:cs="Times New Roman"/>
          <w:sz w:val="20"/>
        </w:rPr>
        <w:t xml:space="preserve"> increase in other income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when compared to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is primarily attributable to net currency exchange gains related to our Canadian transactions.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Net Loss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Net loss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$1,830,580</w:t>
      </w:r>
      <w:r>
        <w:rPr>
          <w:rFonts w:ascii="Times New Roman" w:hAnsi="Times New Roman" w:eastAsia="Times New Roman" w:cs="Times New Roman"/>
          <w:sz w:val="20"/>
        </w:rPr>
        <w:t xml:space="preserve">, a </w:t>
      </w:r>
      <w:r>
        <w:rPr>
          <w:rFonts w:ascii="Times New Roman" w:hAnsi="Times New Roman" w:eastAsia="Times New Roman" w:cs="Times New Roman"/>
          <w:sz w:val="20"/>
        </w:rPr>
        <w:t xml:space="preserve">$214,540</w:t>
      </w:r>
      <w:r>
        <w:rPr>
          <w:rFonts w:ascii="Times New Roman" w:hAnsi="Times New Roman" w:eastAsia="Times New Roman" w:cs="Times New Roman"/>
          <w:sz w:val="20"/>
        </w:rPr>
        <w:t xml:space="preserve"> decrease in the net loss of </w:t>
      </w:r>
      <w:r>
        <w:rPr>
          <w:rFonts w:ascii="Times New Roman" w:hAnsi="Times New Roman" w:eastAsia="Times New Roman" w:cs="Times New Roman"/>
          <w:sz w:val="20"/>
        </w:rPr>
        <w:t xml:space="preserve">$2,045,120</w:t>
      </w:r>
      <w:r>
        <w:rPr>
          <w:rFonts w:ascii="Times New Roman" w:hAnsi="Times New Roman" w:eastAsia="Times New Roman" w:cs="Times New Roman"/>
          <w:sz w:val="20"/>
        </w:rPr>
        <w:t xml:space="preserve"> for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decrease in net loss was impacted primarily by the factors discussed previously.</w:t>
      </w:r>
    </w:p>
    <w:p>
      <w:pPr>
        <w:sectPr>
          <w:pgNumType w:fmt="decimal" w:chapSep="period"/>
          <w:pgSz w:w="12240" w:h="15840"/>
          <w:pgMar w:top="860" w:left="1000" w:right="1000" w:bottom="860" w:footer="460" w:gutter="0" w:header="160"/>
          <w:headerReference r:id="rId1" w:type="default"/>
          <w:footerReference r:id="rId27"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Non-GAAP Financial Measures</w:t>
      </w:r>
      <w:bookmarkStart w:id="41254" w:name="Non_GAAP_Financial_Measures"/>
      <w:bookmarkEnd w:id="41254"/>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Below are financial measures of our gross billings and Adjusted EBITDA. These are “non-GAAP financial measures” as defined under the rules of the Securities and Exchange Commission (the “SEC”). We use these non-GAAP financial measures to assess the progress of our business and make decisions on where to allocate our resources. As our business evolves, we may make changes in future periods to the key financial metrics that we consider to measure our business.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Gross Billings by Segment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Company management evaluates its operations and makes strategic decisions based, in part, on gross billings from its two primary operating segments, Managed Services and SaaS Services. We define gross billings as the total dollar value of the amounts earned from our customers for the services we performed, or the amounts charged to our customers for their self-service purchase of goods and services on our platforms. Gross Billings are the amounts of our reported revenue plus the cost of payments we made to third-party creators providing the content or sponsorship services, which are netted against revenue for GAAP reporting purposes.</w:t>
      </w:r>
    </w:p>
    <w:p>
      <w:pPr>
        <w:ind w:left="1100" w:firstLine="-300"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Managed Services is the same as revenue reported in our consolidated statements of operations on a GAAP basis, as there is no requirement to net the costs of revenue against the revenue. Gross billings for Marketplace Spend Fees (which are included in SaaS Services) differ from revenue reported in our consolidated statements of operations on a GAAP basis, which is presented net of the amounts we pay to our third-party creators providing the content or sponsorship services. Gross billings for all other revenue types equals the revenue reported in our consolidated statements of operations.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consider gross billings to be an important indicator of our potential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allows us to evaluate our transaction totals on an equal basis in order for us to see our contribution margins by revenue stream so that we can better understand where we should be allocating our resources.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our gross billings by revenue type, the percentage of total gross billings by type, and the change between the periods:</w:t>
      </w:r>
    </w:p>
    <w:tbl>
      <w:tblPr>
        <w:tblW w:type="dxa" w:w="10240"/>
        <w:tblLayout w:type="fixed"/>
        <w:jc w:val="left"/>
      </w:tblPr>
      <w:tblGrid>
        <w:gridCol w:w="3680"/>
        <w:gridCol w:w="110"/>
        <w:gridCol w:w="1213"/>
        <w:gridCol w:w="77"/>
        <w:gridCol w:w="423"/>
        <w:gridCol w:w="177"/>
        <w:gridCol w:w="80"/>
        <w:gridCol w:w="110"/>
        <w:gridCol w:w="1213"/>
        <w:gridCol w:w="77"/>
        <w:gridCol w:w="423"/>
        <w:gridCol w:w="177"/>
        <w:gridCol w:w="80"/>
        <w:gridCol w:w="110"/>
        <w:gridCol w:w="1213"/>
        <w:gridCol w:w="77"/>
        <w:gridCol w:w="756"/>
        <w:gridCol w:w="244"/>
      </w:tblGrid>
      <w:tr>
        <w:trPr>
          <w:trHeight w:hRule="exact" w:val="500"/>
        </w:trPr>
        <w:tc>
          <w:tcPr>
            <w:tcW w:type="dxa" w:w="36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756"/>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36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top w:val="single" w:sz="8" w:space="0"/>
            </w:tcBorders>
            <w:vAlign w:val="top"/>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7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300"/>
        </w:trPr>
        <w:tc>
          <w:tcPr>
            <w:tcW w:type="dxa" w:w="368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Managed Services 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3,867,232</w:t>
            </w:r>
          </w:p>
        </w:tc>
        <w:tc>
          <w:tcPr>
            <w:tcW w:type="dxa" w:w="77"/>
            <w:tcMar>
              <w:left w:type="dxa" w:w="0"/>
              <w:right w:type="dxa" w:w="0"/>
            </w:tcMar>
            <w:tcBorders>
              <w:top w:val="single" w:sz="8" w:space="0"/>
            </w:tcBorders>
          </w:tcPr>
          <w:p/>
        </w:tc>
        <w:tc>
          <w:tcPr>
            <w:tcW w:type="dxa" w:w="4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3,796,665</w:t>
            </w:r>
          </w:p>
        </w:tc>
        <w:tc>
          <w:tcPr>
            <w:tcW w:type="dxa" w:w="77"/>
            <w:tcMar>
              <w:left w:type="dxa" w:w="0"/>
              <w:right w:type="dxa" w:w="0"/>
            </w:tcMar>
            <w:tcBorders>
              <w:top w:val="single" w:sz="8" w:space="0"/>
            </w:tcBorders>
          </w:tcPr>
          <w:p/>
        </w:tc>
        <w:tc>
          <w:tcPr>
            <w:tcW w:type="dxa" w:w="4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70,567</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36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423"/>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423"/>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756"/>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36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654,925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654,925</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871,812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871,812</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(216,887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(216,887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6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2,802,521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2,802,521</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5,655</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2,796,866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2,796,866</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49,458</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680"/>
            <w:tcMar>
              <w:left w:type="dxa" w:w="30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491,094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491,094</w:t>
            </w:r>
          </w:p>
        </w:tc>
        <w:tc>
          <w:tcPr>
            <w:tcW w:type="dxa" w:w="77"/>
            <w:tcMar>
              <w:left w:type="dxa" w:w="0"/>
              <w:right w:type="dxa" w:w="0"/>
            </w:tcMar>
            <w:tcBorders>
              <w:bottom w:val="single" w:sz="8"/>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13,264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13,264</w:t>
            </w:r>
          </w:p>
        </w:tc>
        <w:tc>
          <w:tcPr>
            <w:tcW w:type="dxa" w:w="77"/>
            <w:tcMar>
              <w:left w:type="dxa" w:w="0"/>
              <w:right w:type="dxa" w:w="0"/>
            </w:tcMar>
            <w:tcBorders>
              <w:bottom w:val="single" w:sz="8"/>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477,830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477,830</w:t>
            </w:r>
          </w:p>
        </w:tc>
        <w:tc>
          <w:tcPr>
            <w:tcW w:type="dxa" w:w="77"/>
            <w:tcMar>
              <w:left w:type="dxa" w:w="0"/>
              <w:right w:type="dxa" w:w="0"/>
            </w:tcMar>
            <w:tcBorders>
              <w:bottom w:val="single" w:sz="8"/>
            </w:tcBorders>
          </w:tcPr>
          <w:p/>
        </w:tc>
        <w:tc>
          <w:tcPr>
            <w:tcW w:type="dxa" w:w="7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3,602</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6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SaaS Services Gross Billings</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3,948,540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3,948,540</w:t>
            </w:r>
          </w:p>
        </w:tc>
        <w:tc>
          <w:tcPr>
            <w:tcW w:type="dxa" w:w="77"/>
            <w:tcMar>
              <w:left w:type="dxa" w:w="0"/>
              <w:right w:type="dxa" w:w="0"/>
            </w:tcMar>
            <w:tcBorders/>
          </w:tcPr>
          <w:p/>
        </w:tc>
        <w:tc>
          <w:tcPr>
            <w:tcW w:type="dxa" w:w="4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w:t>
            </w:r>
          </w:p>
        </w:tc>
        <w:tc>
          <w:tcPr>
            <w:tcW w:type="dxa" w:w="177"/>
            <w:tcMar>
              <w:left w:type="dxa" w:w="0"/>
              <w:right w:type="dxa" w:w="0"/>
            </w:tcMar>
            <w:tcBorders>
              <w:top w:val="single" w:sz="8" w:space="0"/>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890,731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890,731</w:t>
            </w:r>
          </w:p>
        </w:tc>
        <w:tc>
          <w:tcPr>
            <w:tcW w:type="dxa" w:w="77"/>
            <w:tcMar>
              <w:left w:type="dxa" w:w="0"/>
              <w:right w:type="dxa" w:w="0"/>
            </w:tcMar>
            <w:tcBorders/>
          </w:tcPr>
          <w:p/>
        </w:tc>
        <w:tc>
          <w:tcPr>
            <w:tcW w:type="dxa" w:w="4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c>
          <w:tcPr>
            <w:tcW w:type="dxa" w:w="177"/>
            <w:tcMar>
              <w:left w:type="dxa" w:w="0"/>
              <w:right w:type="dxa" w:w="0"/>
            </w:tcMar>
            <w:tcBorders>
              <w:top w:val="single" w:sz="8" w:space="0"/>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3,057,809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3,057,809</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368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423"/>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423"/>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756"/>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tc>
      </w:tr>
      <w:tr>
        <w:trPr>
          <w:trHeight w:hRule="exact" w:val="300"/>
        </w:trPr>
        <w:tc>
          <w:tcPr>
            <w:tcW w:type="dxa" w:w="36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Other Revenue</w:t>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13,447</w:t>
            </w:r>
          </w:p>
        </w:tc>
        <w:tc>
          <w:tcPr>
            <w:tcW w:type="dxa" w:w="77"/>
            <w:tcMar>
              <w:left w:type="dxa" w:w="0"/>
              <w:right w:type="dxa" w:w="0"/>
            </w:tcMar>
            <w:tcBorders>
              <w:bottom w:val="single" w:sz="8"/>
            </w:tcBorders>
          </w:tcPr>
          <w:p/>
        </w:tc>
        <w:tc>
          <w:tcPr>
            <w:tcW w:type="dxa" w:w="4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22,964</w:t>
            </w:r>
          </w:p>
        </w:tc>
        <w:tc>
          <w:tcPr>
            <w:tcW w:type="dxa" w:w="77"/>
            <w:tcMar>
              <w:left w:type="dxa" w:w="0"/>
              <w:right w:type="dxa" w:w="0"/>
            </w:tcMar>
            <w:tcBorders>
              <w:bottom w:val="single" w:sz="8"/>
            </w:tcBorders>
          </w:tcPr>
          <w:p/>
        </w:tc>
        <w:tc>
          <w:tcPr>
            <w:tcW w:type="dxa" w:w="4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(9,517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(9,517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368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Total 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7,829,219</w:t>
            </w:r>
          </w:p>
        </w:tc>
        <w:tc>
          <w:tcPr>
            <w:tcW w:type="dxa" w:w="77"/>
            <w:tcMar>
              <w:left w:type="dxa" w:w="0"/>
              <w:right w:type="dxa" w:w="0"/>
            </w:tcMar>
            <w:tcBorders>
              <w:top w:val="single" w:sz="8" w:space="0"/>
              <w:bottom w:val="double" w:sz="4"/>
            </w:tcBorders>
          </w:tcPr>
          <w:p/>
        </w:tc>
        <w:tc>
          <w:tcPr>
            <w:tcW w:type="dxa" w:w="4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4,710,360</w:t>
            </w:r>
          </w:p>
        </w:tc>
        <w:tc>
          <w:tcPr>
            <w:tcW w:type="dxa" w:w="77"/>
            <w:tcMar>
              <w:left w:type="dxa" w:w="0"/>
              <w:right w:type="dxa" w:w="0"/>
            </w:tcMar>
            <w:tcBorders>
              <w:top w:val="single" w:sz="8" w:space="0"/>
              <w:bottom w:val="double" w:sz="4"/>
            </w:tcBorders>
          </w:tcPr>
          <w:p/>
        </w:tc>
        <w:tc>
          <w:tcPr>
            <w:tcW w:type="dxa" w:w="4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3,118,859</w:t>
            </w:r>
          </w:p>
        </w:tc>
        <w:tc>
          <w:tcPr>
            <w:tcW w:type="dxa" w:w="77"/>
            <w:tcMar>
              <w:left w:type="dxa" w:w="0"/>
              <w:right w:type="dxa" w:w="0"/>
            </w:tcMar>
            <w:tcBorders>
              <w:top w:val="single" w:sz="8" w:space="0"/>
              <w:bottom w:val="double" w:sz="4"/>
            </w:tcBorders>
          </w:tcPr>
          <w:p/>
        </w:tc>
        <w:tc>
          <w:tcPr>
            <w:tcW w:type="dxa" w:w="7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our SaaS Services segment were </w:t>
      </w:r>
      <w:r>
        <w:rPr>
          <w:rFonts w:ascii="Times New Roman" w:hAnsi="Times New Roman" w:eastAsia="Times New Roman" w:cs="Times New Roman"/>
          <w:sz w:val="20"/>
        </w:rPr>
        <w:t xml:space="preserve">$3,948,540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 increase of </w:t>
      </w:r>
      <w:r>
        <w:rPr>
          <w:rFonts w:ascii="Times New Roman" w:hAnsi="Times New Roman" w:eastAsia="Times New Roman" w:cs="Times New Roman"/>
          <w:sz w:val="20"/>
        </w:rPr>
        <w:t xml:space="preserve">$3,057,809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 The increase was primarily due to the addition of TapInfluence in July 2018. We expect our merger with TapInfluence to have a continuing significant positive impact on our future gross billings in our SaaS Services segment as we build on the significant marketer base obtained from the merger, offset by the phasing out of our Legacy Workflow activity.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sets forth a reconciliation from the GAAP measurement of Revenue to our non-GAAP financial measure of gross billings stated above and the percentage change between the periods:</w:t>
      </w:r>
    </w:p>
    <w:tbl>
      <w:tblPr>
        <w:tblW w:type="dxa" w:w="10240"/>
        <w:tblLayout w:type="fixed"/>
        <w:jc w:val="center"/>
      </w:tblPr>
      <w:tblGrid>
        <w:gridCol w:w="4880"/>
        <w:gridCol w:w="110"/>
        <w:gridCol w:w="1213"/>
        <w:gridCol w:w="77"/>
        <w:gridCol w:w="80"/>
        <w:gridCol w:w="110"/>
        <w:gridCol w:w="1213"/>
        <w:gridCol w:w="77"/>
        <w:gridCol w:w="80"/>
        <w:gridCol w:w="110"/>
        <w:gridCol w:w="1213"/>
        <w:gridCol w:w="77"/>
        <w:gridCol w:w="823"/>
        <w:gridCol w:w="177"/>
      </w:tblGrid>
      <w:tr>
        <w:trPr>
          <w:trHeight w:hRule="exact" w:val="460"/>
        </w:trPr>
        <w:tc>
          <w:tcPr>
            <w:tcW w:type="dxa" w:w="48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823"/>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48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c>
          <w:tcPr>
            <w:tcW w:type="dxa" w:w="82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r>
      <w:tr>
        <w:trPr>
          <w:trHeight w:hRule="exact" w:val="300"/>
        </w:trPr>
        <w:tc>
          <w:tcPr>
            <w:tcW w:type="dxa" w:w="4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4,793,756</w:t>
            </w:r>
          </w:p>
        </w:tc>
        <w:tc>
          <w:tcPr>
            <w:tcW w:type="dxa" w:w="77"/>
            <w:tcMar>
              <w:left w:type="dxa" w:w="0"/>
              <w:right w:type="dxa" w:w="0"/>
            </w:tcMar>
            <w:tcBorders>
              <w:top w:val="single" w:sz="8" w:space="0"/>
            </w:tcBorders>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3,896,441</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897,315</w:t>
            </w:r>
          </w:p>
        </w:tc>
        <w:tc>
          <w:tcPr>
            <w:tcW w:type="dxa" w:w="77"/>
            <w:tcMar>
              <w:left w:type="dxa" w:w="0"/>
              <w:right w:type="dxa" w:w="0"/>
            </w:tcMar>
            <w:tcBorders>
              <w:top w:val="single" w:sz="8" w:space="0"/>
            </w:tcBorders>
          </w:tcPr>
          <w:p/>
        </w:tc>
        <w:tc>
          <w:tcPr>
            <w:tcW w:type="dxa" w:w="8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Plus payments made to third-party creators </w:t>
            </w:r>
            <w:r>
              <w:rPr>
                <w:rFonts w:ascii="Times New Roman" w:hAnsi="Times New Roman" w:eastAsia="Times New Roman" w:cs="Times New Roman"/>
                <w:sz w:val="20"/>
                <w:vertAlign w:val="superscript"/>
              </w:rPr>
              <w:t xml:space="preserve">(1)</w:t>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3,035,463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3,035,463</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813,919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813,919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3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2,221,544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2,221,544</w:t>
            </w:r>
          </w:p>
        </w:tc>
        <w:tc>
          <w:tcPr>
            <w:tcW w:type="dxa" w:w="77"/>
            <w:tcMar>
              <w:left w:type="dxa" w:w="0"/>
              <w:right w:type="dxa" w:w="0"/>
            </w:tcMar>
            <w:tcBorders/>
          </w:tcPr>
          <w:p/>
        </w:tc>
        <w:tc>
          <w:tcPr>
            <w:tcW w:type="dxa" w:w="8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273</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88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7,829,219</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4,710,360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2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3,118,859</w:t>
            </w:r>
          </w:p>
        </w:tc>
        <w:tc>
          <w:tcPr>
            <w:tcW w:type="dxa" w:w="77"/>
            <w:tcMar>
              <w:left w:type="dxa" w:w="0"/>
              <w:right w:type="dxa" w:w="0"/>
            </w:tcMar>
            <w:tcBorders>
              <w:top w:val="single" w:sz="8" w:space="0"/>
              <w:bottom w:val="double" w:sz="4"/>
            </w:tcBorders>
          </w:tcPr>
          <w:p/>
        </w:tc>
        <w:tc>
          <w:tcPr>
            <w:tcW w:type="dxa" w:w="8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18"/>
        </w:rPr>
        <w:t xml:space="preserve">(1) </w:t>
      </w:r>
      <w:r>
        <w:rPr>
          <w:rFonts w:ascii="Times New Roman" w:hAnsi="Times New Roman" w:eastAsia="Times New Roman" w:cs="Times New Roman"/>
          <w:sz w:val="20"/>
        </w:rPr>
        <w:t xml:space="preserve">Payments made to third-party creators for the Legacy Workflow and Marketplace Spend components of our revenue reported on a net basis for GAAP.</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Adjusted EBITDA</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define Adjusted EBITDA as earnings or loss before interest, taxes, depreciation and amortization, non-cash stock-based compensation, gain or loss on asset disposals or impairment, changes in acquisition cost estimates, and all other unusual or non-cash income and expense items such as gains or losses on settlement of liabilities and exchanges, and changes in the fair value of derivatives, if applicable.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use Adjusted EBITDA as a measure of operating performance, for planning purposes, to allocate resources to enhance the financial performance of our business, and in communications with our Board of Directors regarding our financial performance. We believe that Adjusted EBITDA also provides useful information to investors as it excludes transactions not related to our core cash operating business activities, and it provides consistency and facilitates period-to-period comparisons. We believe that excluding these transactions allows investors to meaningfully trend and analyze the performance of our core cash operations. All companies do not calculate Adjusted EBITDA in the same manner, and Adjusted EBITDA as presented by us may not be comparable to Adjusted EBITDA presented by other companies, which limits its usefulness as a comparative measure.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Moreover, Adjusted EBITDA has limitations as an analytical tool, and you should not consider it in isolation or as a substitute for an analysis of our results of operations as under GAAP. These limitations are that Adjusted EBITDA:</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stock-based compensation expense, which is a non-cash expense, but has been, and will continue to be for the foreseeable future, a significant recurring expense for our business and an important part of our compensation strategy;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stock issued for payment of services, which is a non-cash expense, but has been, and is expected to be for the foreseeable future, an important means for us to compensate our directors, vendors and other parties who provide us with services;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changes in acquisition cost estimates as a result of the allocation of acquisition costs payable to compensation expense or changes in the estimate of contingent acquisition costs payable, which may or may not ever be paid, but may be a significant recurring expense for our business if we continue to make business acquisitions;</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gains or losses on the settlement of acquisition costs payable or liabilities when the stock value, as agreed upon in the agreement, varies from the market price of our stock on the settlement date.  This is a non-cash expense, but will continue to be a recurring expense for our business on certain business contracts where the amounts can vary;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unusual or expected non-recurring items such as large litigation reserves;</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depreciation and intangible assets amortization expense, impairment charges and gains or losses on disposal of equipment, which is not always a current period cash expense, but the assets being depreciated and amortized may have to be replaced in the future; and</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does not include changes in fair value of derivatives, interest expense and other gains, losses, and expenses that we believe are not indicative of our ongoing core operating results, but these items may represent a reduction or increase in cash available to us.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Because of these limitations,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may incur expenses similar to those for which adjustments are made in calculating Adjusted EBITDA. Our presentation of these non-GAAP financial measures should also not be construed to infer that our future results will be unaffected by unusual or non-recurring items.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reconciliation from the GAAP measurement of net loss to our non-GAAP financial measure of Adjusted EBITDA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tbl>
      <w:tblPr>
        <w:tblW w:type="dxa" w:w="10240"/>
        <w:tblLayout w:type="fixed"/>
        <w:jc w:val="center"/>
      </w:tblPr>
      <w:tblGrid>
        <w:gridCol w:w="7360"/>
        <w:gridCol w:w="110"/>
        <w:gridCol w:w="1046"/>
        <w:gridCol w:w="244"/>
        <w:gridCol w:w="80"/>
        <w:gridCol w:w="110"/>
        <w:gridCol w:w="1046"/>
        <w:gridCol w:w="244"/>
      </w:tblGrid>
      <w:tr>
        <w:trPr>
          <w:trHeight w:hRule="exact" w:val="500"/>
        </w:trPr>
        <w:tc>
          <w:tcPr>
            <w:tcW w:type="dxa" w:w="73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March 31,</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7360"/>
            <w:tcMar>
              <w:left w:type="dxa" w:w="60"/>
              <w:right w:type="dxa" w:w="0"/>
            </w:tcMar>
            <w:hMerge w:val="restart"/>
            <w:tcBorders>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60"/>
              <w:right w:type="dxa" w:w="60"/>
            </w:tcMar>
            <w:tcBorders>
              <w:top w:val="single" w:sz="8" w:space="0"/>
              <w:bottom w:val="single" w:sz="16"/>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Mar>
              <w:left w:type="dxa" w:w="0"/>
              <w:right w:type="dxa" w:w="60"/>
            </w:tcMar>
            <w:tcBorders>
              <w:top w:val="single" w:sz="8" w:space="0"/>
              <w:bottom w:val="single" w:sz="16"/>
            </w:tcBorders>
            <w:hMerge w:val="continue"/>
          </w:tcPr>
          <w:p/>
        </w:tc>
        <w:tc>
          <w:tcPr>
            <w:tcW w:type="dxa" w:w="80"/>
            <w:tcMar>
              <w:left w:type="dxa" w:w="60"/>
              <w:right w:type="dxa" w:w="0"/>
            </w:tcMar>
            <w:tcBorders>
              <w:top w:val="single" w:sz="8" w:space="0"/>
              <w:bottom w:val="single" w:sz="16"/>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16"/>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16"/>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16"/>
            </w:tcBorders>
            <w:hMerge w:val="continue"/>
          </w:tcPr>
          <w:p/>
        </w:tc>
      </w:tr>
      <w:tr>
        <w:trPr>
          <w:trHeight w:hRule="exact" w:val="280"/>
        </w:trPr>
        <w:tc>
          <w:tcPr>
            <w:tcW w:type="dxa" w:w="7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top w:val="single" w:sz="16"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46"/>
            <w:tcMar>
              <w:left w:type="dxa" w:w="0"/>
              <w:right w:type="dxa" w:w="0"/>
            </w:tcMar>
            <w:tcBorders>
              <w:top w:val="single" w:sz="16"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(1,830,580</w:t>
            </w:r>
          </w:p>
        </w:tc>
        <w:tc>
          <w:tcPr>
            <w:tcW w:type="dxa" w:w="244"/>
            <w:tcMar>
              <w:left w:type="dxa" w:w="0"/>
              <w:right w:type="dxa" w:w="0"/>
            </w:tcMar>
            <w:tcBorders>
              <w:top w:val="single" w:sz="16"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top w:val="single" w:sz="16" w:space="0"/>
            </w:tcBorders>
            <w:vAlign w:val="bottom"/>
          </w:tcPr>
          <w:p>
            <w:pPr>
              <w:jc w:val="left"/>
              <w:keepNext/>
              <w:keepLines/>
              <w:spacing w:before="40" w:after="40" w:line="240" w:lineRule="auto"/>
              <w:rPr/>
            </w:pPr>
            <w:r>
              <w:rPr/>
            </w:r>
          </w:p>
        </w:tc>
        <w:tc>
          <w:tcPr>
            <w:tcW w:type="dxa" w:w="110"/>
            <w:tcMar>
              <w:left w:type="dxa" w:w="0"/>
              <w:right w:type="dxa" w:w="0"/>
            </w:tcMar>
            <w:tcBorders>
              <w:top w:val="single" w:sz="16"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46"/>
            <w:tcMar>
              <w:left w:type="dxa" w:w="0"/>
              <w:right w:type="dxa" w:w="0"/>
            </w:tcMar>
            <w:tcBorders>
              <w:top w:val="single" w:sz="16"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(2,045,120</w:t>
            </w:r>
          </w:p>
        </w:tc>
        <w:tc>
          <w:tcPr>
            <w:tcW w:type="dxa" w:w="244"/>
            <w:tcMar>
              <w:left w:type="dxa" w:w="0"/>
              <w:right w:type="dxa" w:w="0"/>
            </w:tcMar>
            <w:tcBorders>
              <w:top w:val="single" w:sz="16"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stock-based compensation</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160,877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160,877</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146,281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146,281</w:t>
            </w:r>
          </w:p>
        </w:tc>
        <w:tc>
          <w:tcPr>
            <w:tcW w:type="dxa" w:w="244"/>
            <w:tcMar>
              <w:left w:type="dxa" w:w="0"/>
              <w:right w:type="dxa" w:w="0"/>
            </w:tcMar>
            <w:tcBorders/>
          </w:tcPr>
          <w:p/>
        </w:tc>
      </w:tr>
      <w:tr>
        <w:trPr>
          <w:trHeight w:hRule="exact" w:val="28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 issued for payment of services</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37,498</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28,671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28,671</w:t>
            </w:r>
          </w:p>
        </w:tc>
        <w:tc>
          <w:tcPr>
            <w:tcW w:type="dxa" w:w="244"/>
            <w:tcMar>
              <w:left w:type="dxa" w:w="0"/>
              <w:right w:type="dxa" w:w="0"/>
            </w:tcMar>
            <w:tcBorders/>
          </w:tcPr>
          <w:p/>
        </w:tc>
      </w:tr>
      <w:tr>
        <w:trPr>
          <w:trHeight w:hRule="exact" w:val="28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loss on disposal of equipment</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(515</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853</w:t>
            </w:r>
          </w:p>
        </w:tc>
        <w:tc>
          <w:tcPr>
            <w:tcW w:type="dxa" w:w="244"/>
            <w:tcMar>
              <w:left w:type="dxa" w:w="0"/>
              <w:right w:type="dxa" w:w="0"/>
            </w:tcMar>
            <w:tcBorders/>
          </w:tcPr>
          <w:p/>
        </w:tc>
      </w:tr>
      <w:tr>
        <w:trPr>
          <w:trHeight w:hRule="exact" w:val="28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on settlement of acquisition costs payable</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191,439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191,439</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244"/>
            <w:tcMar>
              <w:left w:type="dxa" w:w="0"/>
              <w:right w:type="dxa" w:w="0"/>
            </w:tcMar>
            <w:tcBorders/>
          </w:tcPr>
          <w:p/>
        </w:tc>
      </w:tr>
      <w:tr>
        <w:trPr>
          <w:trHeight w:hRule="exact" w:val="50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Increase (decrease) in value of acquisition costs payable</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(393,094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(393,094</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436,224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436,224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265,455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265,455</w:t>
            </w:r>
          </w:p>
        </w:tc>
        <w:tc>
          <w:tcPr>
            <w:tcW w:type="dxa" w:w="244"/>
            <w:tcMar>
              <w:left w:type="dxa" w:w="0"/>
              <w:right w:type="dxa" w:w="0"/>
            </w:tcMar>
            <w:tcBorders/>
          </w:tcPr>
          <w:p/>
        </w:tc>
      </w:tr>
      <w:tr>
        <w:trPr>
          <w:trHeight w:hRule="exact" w:val="280"/>
        </w:trPr>
        <w:tc>
          <w:tcPr>
            <w:tcW w:type="dxa" w:w="73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128,464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128,464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21,311</w:t>
            </w:r>
          </w:p>
        </w:tc>
        <w:tc>
          <w:tcPr>
            <w:tcW w:type="dxa" w:w="244"/>
            <w:tcMar>
              <w:left w:type="dxa" w:w="0"/>
              <w:right w:type="dxa" w:w="0"/>
            </w:tcMar>
            <w:tcBorders/>
          </w:tcPr>
          <w:p/>
        </w:tc>
      </w:tr>
      <w:tr>
        <w:trPr>
          <w:trHeight w:hRule="exact" w:val="280"/>
        </w:trPr>
        <w:tc>
          <w:tcPr>
            <w:tcW w:type="dxa" w:w="736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w:t>
            </w:r>
          </w:p>
        </w:tc>
        <w:tc>
          <w:tcPr>
            <w:tcW w:type="dxa" w:w="11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244"/>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125,595</w:t>
            </w:r>
          </w:p>
        </w:tc>
        <w:tc>
          <w:tcPr>
            <w:tcW w:type="dxa" w:w="244"/>
            <w:tcMar>
              <w:left w:type="dxa" w:w="0"/>
              <w:right w:type="dxa" w:w="0"/>
            </w:tcMar>
            <w:tcBorders>
              <w:bottom w:val="single" w:sz="8"/>
            </w:tcBorders>
          </w:tcPr>
          <w:p/>
        </w:tc>
      </w:tr>
      <w:tr>
        <w:trPr>
          <w:trHeight w:hRule="exact" w:val="280"/>
        </w:trPr>
        <w:tc>
          <w:tcPr>
            <w:tcW w:type="dxa" w:w="736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Adjusted EBITDA</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4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(873,929</w:t>
            </w:r>
          </w:p>
        </w:tc>
        <w:tc>
          <w:tcPr>
            <w:tcW w:type="dxa" w:w="244"/>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4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(1,850,048</w:t>
            </w:r>
          </w:p>
        </w:tc>
        <w:tc>
          <w:tcPr>
            <w:tcW w:type="dxa" w:w="244"/>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ind w:firstLine="720"/>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8"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Liquidity and Capital Resources</w:t>
      </w:r>
      <w:bookmarkStart w:id="59699" w:name="Liquidity_and_Capital_Resources_"/>
      <w:bookmarkEnd w:id="59699"/>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We had cash and cash equivalents of </w:t>
      </w:r>
      <w:r>
        <w:rPr>
          <w:rFonts w:ascii="Times New Roman" w:hAnsi="Times New Roman" w:eastAsia="Times New Roman" w:cs="Times New Roman"/>
          <w:sz w:val="20"/>
        </w:rPr>
        <w:t xml:space="preserve">$2,315,186</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as compared to </w:t>
      </w:r>
      <w:r>
        <w:rPr>
          <w:rFonts w:ascii="Times New Roman" w:hAnsi="Times New Roman" w:eastAsia="Times New Roman" w:cs="Times New Roman"/>
          <w:sz w:val="20"/>
        </w:rPr>
        <w:t xml:space="preserve">$1,968,403</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 an increase of </w:t>
      </w:r>
      <w:r>
        <w:rPr>
          <w:rFonts w:ascii="Times New Roman" w:hAnsi="Times New Roman" w:eastAsia="Times New Roman" w:cs="Times New Roman"/>
          <w:sz w:val="20"/>
        </w:rPr>
        <w:t xml:space="preserve">$346,783</w:t>
      </w:r>
      <w:r>
        <w:rPr>
          <w:rFonts w:ascii="Times New Roman" w:hAnsi="Times New Roman" w:eastAsia="Times New Roman" w:cs="Times New Roman"/>
          <w:sz w:val="20"/>
        </w:rPr>
        <w:t xml:space="preserve"> primarily due to collections of accounts receivable during the quarter.  We have incurred significant net losses and negative cash flow from operations for most periods since our inception, which has resulted in a total accumulated deficit of </w:t>
      </w:r>
      <w:r>
        <w:rPr>
          <w:rFonts w:ascii="Times New Roman" w:hAnsi="Times New Roman" w:eastAsia="Times New Roman" w:cs="Times New Roman"/>
          <w:sz w:val="20"/>
        </w:rPr>
        <w:t xml:space="preserve">$54,925,229</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To date, we have financed our operations through internally generated revenue from operations, the sale of our equity securities and borrowings under our line of credit.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Cash provided by operating activities was </w:t>
      </w:r>
      <w:r>
        <w:rPr>
          <w:rFonts w:ascii="Times New Roman" w:hAnsi="Times New Roman" w:eastAsia="Times New Roman" w:cs="Times New Roman"/>
          <w:sz w:val="20"/>
        </w:rPr>
        <w:t xml:space="preserve">$885,199</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is the result of the net conversion of working capital into cash. Cash used for investing activities was </w:t>
      </w:r>
      <w:r>
        <w:rPr>
          <w:rFonts w:ascii="Times New Roman" w:hAnsi="Times New Roman" w:eastAsia="Times New Roman" w:cs="Times New Roman"/>
          <w:sz w:val="20"/>
        </w:rPr>
        <w:t xml:space="preserve">$346,185</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primarily due to the payment of </w:t>
      </w:r>
      <w:r>
        <w:rPr>
          <w:rFonts w:ascii="Times New Roman" w:hAnsi="Times New Roman" w:eastAsia="Times New Roman" w:cs="Times New Roman"/>
          <w:sz w:val="20"/>
        </w:rPr>
        <w:t xml:space="preserve">$346,789</w:t>
      </w:r>
      <w:r>
        <w:rPr>
          <w:rFonts w:ascii="Times New Roman" w:hAnsi="Times New Roman" w:eastAsia="Times New Roman" w:cs="Times New Roman"/>
          <w:sz w:val="20"/>
        </w:rPr>
        <w:t xml:space="preserve"> related to the development of our proprietary software and purchases of </w:t>
      </w:r>
      <w:r>
        <w:rPr>
          <w:rFonts w:ascii="Times New Roman" w:hAnsi="Times New Roman" w:eastAsia="Times New Roman" w:cs="Times New Roman"/>
          <w:sz w:val="20"/>
        </w:rPr>
        <w:t xml:space="preserve">$2,383</w:t>
      </w:r>
      <w:r>
        <w:rPr>
          <w:rFonts w:ascii="Times New Roman" w:hAnsi="Times New Roman" w:eastAsia="Times New Roman" w:cs="Times New Roman"/>
          <w:sz w:val="20"/>
        </w:rPr>
        <w:t xml:space="preserve"> for updated computer and office equipment. Cash used in financing activities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$192,231</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Acquisition Obligations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31, 2016, we entered into a Stock Purchase Agreement (the “ZenContent Stock Purchase Agreement”) with ZenContent, Inc. (“ZenContent”), pursuant to which we purchased all of the outstanding shares of capital stock of ZenContent. On July 30, 2019, we will be required to make the third and final annual installment payment of $333,334 in the form of either cash or additional shares of our common stock (determined at our option) as long as at least a minimum of 33% is paid in the form of cash. We are also required to pay $45,000 in cash or stock, at our option, on or before November 1, 2019 in settlement of the final contingent performance payment.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26, 2018, we completed our merger with TapInfluence. Pursuant to the merger agreement, we will pay former TapInfluence stockholders an additional $4,500,000, less any final working capital adjustments, in the form of cash, common stock or a combination thereof, at our option, in two installments - $1,000,000 six months after the closing date and $3,500,000 twelve months after the closing date of the merger. On January 26, 2019, we paid the first installment of $884,583 ($1,000,000 less the final working capital adjustment of $115,416) using 660,136 shares of our common stock valued at $1.34 per share, using a thirty (30) trading day volume-weighted average closing price as reported by the Nasdaq Capital Market prior to the issuance date. We recorded a $191,439 loss on the settlement of this acquisition cost payable as a result of the difference between the actual closing market price of the common stock of $1.63 on the settlement date and the 30-day average price of the common stock of $1.34 required by the Merger Agreement.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If we continue to issue stock rather using cash to settle the above obligations, this may result in the future issuance of substantial and currently indeterminable amount of shares, because the number of shares will be determined using the thirty (30) trading day volume-weighted average closing price of our common stock prior to the payment.</w:t>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Secured Credit Facility</w:t>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a secured credit facility agreement with Western Alliance Bank, the parent company of Bridge Bank, National Association. Pursuant to this agreement, we may submit requests for funding up to 80% of our eligible accounts receivable up to a maximum credit limit of </w:t>
      </w:r>
      <w:r>
        <w:rPr>
          <w:rFonts w:ascii="Times New Roman" w:hAnsi="Times New Roman" w:eastAsia="Times New Roman" w:cs="Times New Roman"/>
          <w:sz w:val="20"/>
        </w:rPr>
        <w:t xml:space="preserve">$5 million</w:t>
      </w:r>
      <w:r>
        <w:rPr>
          <w:rFonts w:ascii="Times New Roman" w:hAnsi="Times New Roman" w:eastAsia="Times New Roman" w:cs="Times New Roman"/>
          <w:sz w:val="20"/>
        </w:rPr>
        <w:t xml:space="preserve">. Effective August 30, 2018, as a result of IZEA's merger with TapInfluence, we entered into a Business Financing Modification Agreement and Consent with Western Alliance Bank to add TapInfluence as an additional borrower on the credit facility.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,we had </w:t>
      </w:r>
      <w:r>
        <w:rPr>
          <w:rFonts w:ascii="Times New Roman" w:hAnsi="Times New Roman" w:eastAsia="Times New Roman" w:cs="Times New Roman"/>
          <w:sz w:val="20"/>
        </w:rPr>
        <w:t xml:space="preserve">$1,336,247</w:t>
      </w:r>
      <w:r>
        <w:rPr>
          <w:rFonts w:ascii="Times New Roman" w:hAnsi="Times New Roman" w:eastAsia="Times New Roman" w:cs="Times New Roman"/>
          <w:sz w:val="20"/>
        </w:rPr>
        <w:t xml:space="preserve"> outstanding under this agreement. Assuming that all of our accounts receivable balance was eligible for funding, we had remaining available credit of </w:t>
      </w:r>
      <w:r>
        <w:rPr>
          <w:rFonts w:ascii="Times New Roman" w:hAnsi="Times New Roman" w:eastAsia="Times New Roman" w:cs="Times New Roman"/>
          <w:sz w:val="20"/>
        </w:rPr>
        <w:t xml:space="preserve">$3,516,682</w:t>
      </w:r>
      <w:r>
        <w:rPr>
          <w:rFonts w:ascii="Times New Roman" w:hAnsi="Times New Roman" w:eastAsia="Times New Roman" w:cs="Times New Roman"/>
          <w:sz w:val="20"/>
        </w:rPr>
        <w:t xml:space="preserve"> under the agreement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Financial Condition</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With the cash on hand at March 31, 2019, along with our available credit line with Western Alliance Bank, we expect to have sufficient cash reserves and financing sources available to cover expenses at least one year from the issuance of this Quarterly Report; however, management’s plans to continue as a going concern include raising additional capital through sales of equity securities as well as borrowing. Futhermore, we intend to rely on our ability to issue shares of our common stock to pay our future obligations relating to our acquisitions of ZenContent and TapInfluence as they become due in July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9" w:type="default"/>
        </w:sectPr>
      </w:pPr>
    </w:p>
    <w:p>
      <w:pPr>
        <w:jc w:val="both"/>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Off-Balance Sheet Arrangements</w:t>
      </w:r>
      <w:bookmarkStart w:id="9132" w:name="Off_Balance_Sheet_Arrangements"/>
      <w:bookmarkEnd w:id="9132"/>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we did not engage in any activities involving variable interest entities or off-balance sheet arrangements.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0"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Critical Accounting Policies and Use of Estimates</w:t>
      </w:r>
      <w:bookmarkStart w:id="45533" w:name="Critical_Accounting_Policies_and_Use_of_"/>
      <w:bookmarkEnd w:id="45533"/>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prepare our financial statements in conformity with accounting principles generally accepted in the United States ("GAAP"). Certain of our accounting policies require that we apply significant judgment in defining the appropriate assumptions for calculating financial estimates. By their nature, these judgments will be subject to an inherent degree of uncertainty. Our judgments are based upon the historical experience of the Company, terms of existing contracts, observance of trends in the industry, information provided by our customers and information available from other outside sources, as appropriate. For a summary of our significant accounting policies, please refer to Note 1 — Company and Summary of Significant Accounting Policies included in this Quarterly Report. We consider accounting estimates to be critical accounting policies when:</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estimates involve matters that are highly uncertain at the time the accounting estimate is made; and</w:t>
      </w:r>
    </w:p>
    <w:p>
      <w:pPr>
        <w:ind w:left="72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8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different estimates or changes to estimates could have a material impact on the reported financial position, changes in financial position, or results of operations.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When more than one accounting principle, or method of its application, is generally accepted, we select the principle or method that we consider to be the most appropriate when given the specific circumstances. Application of these accounting principles requires us to make estimates about the future resolution of existing uncertainties. Due to the inherent uncertainty involving estimates, actual results reported in the future may differ from our estimates. The following critical accounting policies are significantly affected by judgments, assumptions and estimates used in the preparation of the financial statements.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Accounts Receivable and Concentration of Credit Risk</w:t>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Accounts receivable are customer obligations due under normal trade terms. We consider an account to be delinquent when the customer has not paid its balance due by the associated due date. Uncollectibility of accounts receivable is not significant since most customers are bound by contract and are required to fund us for all the costs of an “opportunity,” defined as an order created by a marketer for a creator to develop or share content on behalf of a marketer. If a portion of the account balance is deemed uncollectible, we will either write-off the amount owed or provide a reserve based on our best estimate of the uncollectible portion of the account. Management estimates the collectibility of accounts by regularly evaluating individual customer receivables and considering a customer’s financial condition, credit history and current economic conditions. We have a reserve of </w:t>
      </w:r>
      <w:r>
        <w:rPr>
          <w:rFonts w:ascii="Times New Roman" w:hAnsi="Times New Roman" w:eastAsia="Times New Roman" w:cs="Times New Roman"/>
          <w:sz w:val="20"/>
        </w:rPr>
        <w:t xml:space="preserve">$248,250</w:t>
      </w:r>
      <w:r>
        <w:rPr>
          <w:rFonts w:ascii="Times New Roman" w:hAnsi="Times New Roman" w:eastAsia="Times New Roman" w:cs="Times New Roman"/>
          <w:sz w:val="20"/>
        </w:rPr>
        <w:t xml:space="preserve"> for doubtful accounts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We believe that this estimate is reasonable, but there can be no assurance that the estimate will not change as a result of a change in economic conditions or business conditions within the industry, the individual customers or our Company. Any adjustments to this account are reflected in the consolidated statements of operations as a general and administrative expense. Bad debt expense was less than 1% of revenue for each of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2018</w:t>
      </w:r>
      <w:r>
        <w:rPr>
          <w:rFonts w:ascii="Times New Roman" w:hAnsi="Times New Roman" w:eastAsia="Times New Roman" w:cs="Times New Roman"/>
          <w:sz w:val="20"/>
        </w:rPr>
        <w:t xml:space="preser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Concentrations of credit risk with respect to accounts receivable were typically limited, because a large number of geographically diverse customers make up our customer base, thus spreading the trade credit risk. However, with our acquisition of TapInfluence, we have increased credit exposure on certain customers who carry significant credit balances related to their Marketplace Spend. We control credit risk through credit approvals, credit limits and monitoring procedures. We perform credit evaluations of our customers, but generally do not require collateral to support accounts receivable. We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23%</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customers that together accounted for </w:t>
      </w:r>
      <w:r>
        <w:rPr>
          <w:rFonts w:ascii="Times New Roman" w:hAnsi="Times New Roman" w:eastAsia="Times New Roman" w:cs="Times New Roman"/>
          <w:sz w:val="20"/>
        </w:rPr>
        <w:t xml:space="preserve">36%</w:t>
      </w:r>
      <w:r>
        <w:rPr>
          <w:rFonts w:ascii="Times New Roman" w:hAnsi="Times New Roman" w:eastAsia="Times New Roman" w:cs="Times New Roman"/>
          <w:sz w:val="20"/>
        </w:rPr>
        <w:t xml:space="preserve"> at </w:t>
      </w:r>
      <w:r>
        <w:rPr>
          <w:rFonts w:ascii="Times New Roman" w:hAnsi="Times New Roman" w:eastAsia="Times New Roman" w:cs="Times New Roman"/>
          <w:sz w:val="20"/>
        </w:rPr>
        <w:t xml:space="preserve">December 31, 2018</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Software Development Costs and Acquired Intangible Software</w:t>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accordance with Accounting Standards Codification (“ASC”) 350-40,</w:t>
      </w:r>
      <w:r>
        <w:rPr>
          <w:rFonts w:ascii="Times New Roman" w:hAnsi="Times New Roman" w:eastAsia="Times New Roman" w:cs="Times New Roman"/>
          <w:sz w:val="20"/>
          <w:i w:val="true"/>
        </w:rPr>
        <w:t xml:space="preserve"> Internal Use Software,</w:t>
      </w:r>
      <w:r>
        <w:rPr>
          <w:rFonts w:ascii="Times New Roman" w:hAnsi="Times New Roman" w:eastAsia="Times New Roman" w:cs="Times New Roman"/>
          <w:sz w:val="20"/>
        </w:rPr>
        <w:t xml:space="preserve"> we capitalize certain internal use software development costs associated with creating and enhancing internally developed software related to our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We have capitalized </w:t>
      </w:r>
      <w:r>
        <w:rPr>
          <w:rFonts w:ascii="Times New Roman" w:hAnsi="Times New Roman" w:eastAsia="Times New Roman" w:cs="Times New Roman"/>
          <w:sz w:val="20"/>
        </w:rPr>
        <w:t xml:space="preserve">$2,663,304</w:t>
      </w:r>
      <w:r>
        <w:rPr>
          <w:rFonts w:ascii="Times New Roman" w:hAnsi="Times New Roman" w:eastAsia="Times New Roman" w:cs="Times New Roman"/>
          <w:sz w:val="20"/>
        </w:rPr>
        <w:t xml:space="preserve"> to software development costs in the consolidated balance sheet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We also acquired additional proprietary software platforms valued at </w:t>
      </w:r>
      <w:r>
        <w:rPr>
          <w:rFonts w:ascii="Times New Roman" w:hAnsi="Times New Roman" w:eastAsia="Times New Roman" w:cs="Times New Roman"/>
          <w:sz w:val="20"/>
        </w:rPr>
        <w:t xml:space="preserve">$1,130,000</w:t>
      </w:r>
      <w:r>
        <w:rPr>
          <w:rFonts w:ascii="Times New Roman" w:hAnsi="Times New Roman" w:eastAsia="Times New Roman" w:cs="Times New Roman"/>
          <w:sz w:val="20"/>
        </w:rPr>
        <w:t xml:space="preserve"> during our acquisitions of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These costs are reflected as intangible assets in the consolidated balance sheet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We do not transfer ownership of our software to third parties. These software development and acquired technology costs are amortized on a straight-line basis over the estimated useful life of five years upon initial release of the software or additional features.</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Goodwill and Business Combinations</w:t>
      </w:r>
    </w:p>
    <w:p>
      <w:pPr>
        <w:jc w:val="both"/>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Goodwill represents the excess of the purchase consideration of an acquired business over the fair value of the underlying net tangible and intangible assets. We have goodwill in connection with our acquisition of Ebyline, ZenContent, and TapInfluence. Goodwill is not amortized, but instead it is tested for impairment at least annually. In the event that management determines that the value of goodwill has become impaired, we will record a charge for the amount of impairment during the fiscal quarter in which the determination is made.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perform our annual impairment tests of goodwill as of October 1 of each year, or more frequently, if certain indicators are present.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We have determined that prior to and after the acquisition of Ebyline and ZenContent, we had one reporting unit. Subsequent to the merger with TapInfluence, we have determined that we have two reporting units.</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 Recognition</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generate revenue from five primary sources: (1) revenue from our managed services when a marketer (typically a brand, agency or partner) pays us to provide custom content, influencer marketing, amplification or other consulting services (“Managed Services”); (2) revenue from fees charged to self-service customers on their marketplace spend within our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(“Marketplace Spend Fees”); (3) revenue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(“License Fees”); (4) revenue from transactions generated by the self-service use of our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for professional custom (“Legacy Workflow Fees”); and (5) revenue derived from other fees such as inactivity fees, early cash-out fees, and plan fees charged to users of our platforms (“Other”).</w:t>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Company recognizes revenue in accordance with Accounting Standards Codification Topic 606, </w:t>
      </w:r>
      <w:r>
        <w:rPr>
          <w:rFonts w:ascii="Times New Roman" w:hAnsi="Times New Roman" w:eastAsia="Times New Roman" w:cs="Times New Roman"/>
          <w:sz w:val="20"/>
          <w:i w:val="true"/>
        </w:rPr>
        <w:t xml:space="preserve">Revenue from Contracts with Customers </w:t>
      </w:r>
      <w:r>
        <w:rPr>
          <w:rFonts w:ascii="Times New Roman" w:hAnsi="Times New Roman" w:eastAsia="Times New Roman" w:cs="Times New Roman"/>
          <w:sz w:val="20"/>
        </w:rPr>
        <w:t xml:space="preserve">(ASC 606). Under ASC 606, revenue is recognized based on a five-step model which are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We apply the five-step model to contracts when it is probable that it will collect the consideration it is entitled to in exchange for the goods or services it transfers to the customer. At contract inception, once the contract is determined to be within the scope of ASC 606, we assess the goods or services promised within each contract and determines those that are distinct performance obligations. We also determine whether we act as an agent or a principal for each identified performance obligation. The determination of whether we act as the principal or the agent is highly subjective and requires us to evaluate a number of indicators individually and as a whole in order to make its determination</w:t>
      </w:r>
      <w:r>
        <w:rPr>
          <w:rFonts w:ascii="Times New Roman" w:hAnsi="Times New Roman" w:eastAsia="Times New Roman" w:cs="Times New Roman"/>
          <w:sz w:val="22"/>
        </w:rPr>
        <w:t xml:space="preserve">. </w:t>
      </w:r>
      <w:r>
        <w:rPr>
          <w:rFonts w:ascii="Times New Roman" w:hAnsi="Times New Roman" w:eastAsia="Times New Roman" w:cs="Times New Roman"/>
          <w:sz w:val="20"/>
        </w:rPr>
        <w:t xml:space="preserve">For transactions in which we act as a principal, revenue is reported on a gross basis as the amount paid by the marketer for the purchase of content or sponsorship, promotion and other related services and we record the amounts we pay to third-party creators as cost of revenue. For transactions in which we act as an agent, revenue is reported on a net basis as the amount we charged to the self-service marketer using our platforms, less the amounts paid to the third-party creators providing the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maintain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us to manage their advertising campaigns or custom content requests may prepay for services or request credit terms. Payment terms are typically 30 days from the invoice date. The agreement typically provides for a cancellation fee if the agreement is canceled by the customer prior to completion of services. Billings in advance of completed services are recorded as a contract liability until earned. We assess collectibility based on a number of factors, including the creditworthiness of the customer and payment and transaction history. The allocation of the transaction price to the performance obligations in the contract is based on a cost-plus methodology.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Managed Services Revenue, we enter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We may provide one type or a combination of all types of these performance obligations on a statement of work for a lump sum fee. We allocate revenue to each performance obligation in the contract at inception based on its relative standalone selling price. These performance obligations are to be provided over a stated period that may range from one day to one year. Revenue is accounted for when the performance obligation has been satisfied depending on the type of service provided. We view our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we have no alternative for the custom content and we have an enforceable right to payment for performance completed to date under the contracts. We consider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our evaluations, revenue from Managed Services is reported on a gross basis, because we have the primary obligation to fulfill the performance obligations and we create, review and control the services. We take on the risk of payment to any third-party creators and we establish the contract price directly with our customers based on the services requested in the statement of work.</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Marketplace Spend and Legacy Workflow Revenue, the self-service customer instructs creators found through our platforms to provide and/or distribute custom content for an agreed upon transaction price. Our platforms control the contracting, description of services, acceptance of and payment for the requested content. This service is used primarily by news agencies or marketers to control the outsourcing of their content and advertising needs. We charge the self-service customer the transaction price plus a fee based on the contract. Revenue is recognized when the transaction is completed by the creator and accepted by the marketer. Based on our evaluations, Marketplace Spend Fee revenue is reported on a net basis since we are acting as an agent solely arranging for the third-party creator or influencer to provide the services directly to the self-service customer through the platform, and is typically recognized upon publishing or purchase of the marketplace spend by the creator and verification of the publishing by the marketer.</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License Fee revenue is generated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Other Fee revenue is generated when fees are charged to customers primarily related to monthly plan fees, inactivity fees, and early cash-out fees. Plan fees are recognized within the month they relate to, and inactivity and early cash-out fees are recognized at a point in time when the account is deemed inactive or a cash-out below certain minimum thresholds is requested.</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Changes in how we control and manage our platforms, our contractual terms, our business practices, or other changes in accounting standards or interpretations, may change the reporting of our revenue.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Stock-Based Compensation</w:t>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keepLines/>
        <w:spacing w:after="20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Stock-based compensation is measured at the grant date, based on the fair value of the award, and is recognized as an expense over the employee’s requisite service period.  We estimate the fair value of each stock option as of the date of grant using the Black-Scholes pricing model.  Options typically vest ratably over four years with one-fourth of options vesting one year from the date of grant and the remaining options vesting monthly, in equal increments over the remaining three-year period and generally have five or ten-year contract lives.  We use the closing stock price of our common stock on the date of the grant as the associated fair value of our common stock.  We estimate the volatility of our common stock at the date of grant based on the volatility of comparable peer companies that are publicly traded and have had a longer trading history than us. We determine the expected life based on historical experience with similar awards, giving consideration to the contractual terms, vesting schedules and post-vesting forfeitures. We use the risk-free interest rate on the implied yield currently available on U.S. Treasury issues with an equivalent remaining term approximately equal to the expected life of the award. We have never paid any cash dividends on our common stock and do not anticipate paying any cash dividends in the foreseeable future. We estimate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shows the number of stock options granted under our 2011 Equity Incentive Plans and the assumptions used to determine the fair value of those options during the year ended December 31, 2018 and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w:t>
      </w:r>
    </w:p>
    <w:tbl>
      <w:tblPr>
        <w:tblW w:type="dxa" w:w="10240"/>
        <w:tblLayout w:type="fixed"/>
        <w:jc w:val="left"/>
      </w:tblPr>
      <w:tblGrid>
        <w:gridCol w:w="1960"/>
        <w:gridCol w:w="80"/>
        <w:gridCol w:w="1223"/>
        <w:gridCol w:w="77"/>
        <w:gridCol w:w="80"/>
        <w:gridCol w:w="1300"/>
        <w:gridCol w:w="80"/>
        <w:gridCol w:w="1300"/>
        <w:gridCol w:w="80"/>
        <w:gridCol w:w="1300"/>
        <w:gridCol w:w="80"/>
        <w:gridCol w:w="1300"/>
        <w:gridCol w:w="80"/>
        <w:gridCol w:w="1300"/>
      </w:tblGrid>
      <w:tr>
        <w:trPr>
          <w:trHeight w:hRule="exact" w:val="900"/>
        </w:trPr>
        <w:tc>
          <w:tcPr>
            <w:tcW w:type="dxa" w:w="1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Period ended</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Options Granted</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Exercise Price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Expected Term</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Volatility</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Risk-Free Interest Rate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r>
      <w:tr>
        <w:trPr>
          <w:trHeight w:hRule="exact" w:val="280"/>
        </w:trPr>
        <w:tc>
          <w:tcPr>
            <w:tcW w:type="dxa" w:w="1960"/>
            <w:tcMar>
              <w:left w:type="dxa" w:w="180"/>
              <w:right w:type="dxa" w:w="60"/>
            </w:tcMar>
            <w:tcBorders>
              <w:top w:val="single" w:sz="8" w:space="0"/>
            </w:tcBorders>
            <w:vAlign w:val="top"/>
          </w:tcPr>
          <w:p>
            <w:pPr>
              <w:jc w:val="both"/>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2018</w:t>
            </w:r>
          </w:p>
        </w:tc>
        <w:tc>
          <w:tcPr>
            <w:tcW w:type="dxa" w:w="80"/>
            <w:tcMar>
              <w:left w:type="dxa" w:w="0"/>
              <w:right w:type="dxa" w:w="0"/>
            </w:tcMar>
            <w:tcBorders/>
            <w:vAlign w:val="top"/>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156,084</w:t>
            </w:r>
          </w:p>
        </w:tc>
        <w:tc>
          <w:tcPr>
            <w:tcW w:type="dxa" w:w="77"/>
            <w:tcMar>
              <w:left w:type="dxa" w:w="0"/>
              <w:right w:type="dxa" w:w="0"/>
            </w:tcMar>
            <w:tcBorders>
              <w:top w:val="single" w:sz="8" w:space="0"/>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108.49%</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2.71%</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$0.96</w:t>
            </w:r>
          </w:p>
        </w:tc>
      </w:tr>
      <w:tr>
        <w:trPr>
          <w:trHeight w:hRule="exact" w:val="280"/>
        </w:trPr>
        <w:tc>
          <w:tcPr>
            <w:tcW w:type="dxa" w:w="1960"/>
            <w:tcMar>
              <w:left w:type="dxa" w:w="180"/>
              <w:right w:type="dxa" w:w="60"/>
            </w:tcMar>
            <w:tcBorders/>
            <w:vAlign w:val="top"/>
          </w:tcPr>
          <w:p>
            <w:pPr>
              <w:jc w:val="both"/>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March 31, 2019</w:t>
            </w:r>
          </w:p>
        </w:tc>
        <w:tc>
          <w:tcPr>
            <w:tcW w:type="dxa" w:w="80"/>
            <w:tcMar>
              <w:left w:type="dxa" w:w="0"/>
              <w:right w:type="dxa" w:w="0"/>
            </w:tcMar>
            <w:tcBorders/>
            <w:vAlign w:val="top"/>
          </w:tcPr>
          <w:p>
            <w:pPr>
              <w:jc w:val="left"/>
              <w:keepLines/>
              <w:spacing w:before="40" w:after="40" w:line="240" w:lineRule="auto"/>
              <w:rPr/>
            </w:pPr>
            <w:r>
              <w:rPr/>
            </w:r>
          </w:p>
        </w:tc>
        <w:tc>
          <w:tcPr>
            <w:tcW w:type="dxa" w:w="122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30,542</w:t>
            </w:r>
          </w:p>
        </w:tc>
        <w:tc>
          <w:tcPr>
            <w:tcW w:type="dxa" w:w="77"/>
            <w:tcMar>
              <w:left w:type="dxa" w:w="0"/>
              <w:right w:type="dxa" w:w="0"/>
            </w:tcMar>
            <w:tcBorders/>
          </w:tcP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$1.46</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 years</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63.37%</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2.52%</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$0.91</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There were outstanding options to purchase </w:t>
      </w:r>
      <w:r>
        <w:rPr>
          <w:rFonts w:ascii="Times New Roman" w:hAnsi="Times New Roman" w:eastAsia="Times New Roman" w:cs="Times New Roman"/>
          <w:sz w:val="20"/>
        </w:rPr>
        <w:t xml:space="preserve">1,032,095</w:t>
      </w:r>
      <w:r>
        <w:rPr>
          <w:rFonts w:ascii="Times New Roman" w:hAnsi="Times New Roman" w:eastAsia="Times New Roman" w:cs="Times New Roman"/>
          <w:sz w:val="20"/>
        </w:rPr>
        <w:t xml:space="preserve"> shares with a weighted average exercise price of </w:t>
      </w:r>
      <w:r>
        <w:rPr>
          <w:rFonts w:ascii="Times New Roman" w:hAnsi="Times New Roman" w:eastAsia="Times New Roman" w:cs="Times New Roman"/>
          <w:sz w:val="20"/>
        </w:rPr>
        <w:t xml:space="preserve">$5.19</w:t>
      </w:r>
      <w:r>
        <w:rPr>
          <w:rFonts w:ascii="Times New Roman" w:hAnsi="Times New Roman" w:eastAsia="Times New Roman" w:cs="Times New Roman"/>
          <w:sz w:val="20"/>
        </w:rPr>
        <w:t xml:space="preserve"> per share, of which options to purchase </w:t>
      </w:r>
      <w:r>
        <w:rPr>
          <w:rFonts w:ascii="Times New Roman" w:hAnsi="Times New Roman" w:eastAsia="Times New Roman" w:cs="Times New Roman"/>
          <w:sz w:val="20"/>
        </w:rPr>
        <w:t xml:space="preserve">744,479</w:t>
      </w:r>
      <w:r>
        <w:rPr>
          <w:rFonts w:ascii="Times New Roman" w:hAnsi="Times New Roman" w:eastAsia="Times New Roman" w:cs="Times New Roman"/>
          <w:sz w:val="20"/>
        </w:rPr>
        <w:t xml:space="preserve"> shares were exercisable with a weighted average exercise price of </w:t>
      </w:r>
      <w:r>
        <w:rPr>
          <w:rFonts w:ascii="Times New Roman" w:hAnsi="Times New Roman" w:eastAsia="Times New Roman" w:cs="Times New Roman"/>
          <w:sz w:val="20"/>
        </w:rPr>
        <w:t xml:space="preserve">$5.89</w:t>
      </w:r>
      <w:r>
        <w:rPr>
          <w:rFonts w:ascii="Times New Roman" w:hAnsi="Times New Roman" w:eastAsia="Times New Roman" w:cs="Times New Roman"/>
          <w:sz w:val="20"/>
        </w:rPr>
        <w:t xml:space="preserve"> per share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The intrinsic value on outstanding options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$3,309</w:t>
      </w:r>
      <w:r>
        <w:rPr>
          <w:rFonts w:ascii="Times New Roman" w:hAnsi="Times New Roman" w:eastAsia="Times New Roman" w:cs="Times New Roman"/>
          <w:sz w:val="20"/>
        </w:rPr>
        <w:t xml:space="preserve">. The intrinsic value on exercisable options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$227</w:t>
      </w:r>
      <w:r>
        <w:rPr>
          <w:rFonts w:ascii="Times New Roman" w:hAnsi="Times New Roman" w:eastAsia="Times New Roman" w:cs="Times New Roman"/>
          <w:sz w:val="20"/>
        </w:rPr>
        <w:t xml:space="preser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we had outstanding unvested restricted stock units of </w:t>
      </w:r>
      <w:r>
        <w:rPr>
          <w:rFonts w:ascii="Times New Roman" w:hAnsi="Times New Roman" w:eastAsia="Times New Roman" w:cs="Times New Roman"/>
          <w:sz w:val="20"/>
        </w:rPr>
        <w:t xml:space="preserve">142,835</w:t>
      </w:r>
      <w:r>
        <w:rPr>
          <w:rFonts w:ascii="Times New Roman" w:hAnsi="Times New Roman" w:eastAsia="Times New Roman" w:cs="Times New Roman"/>
          <w:sz w:val="20"/>
        </w:rPr>
        <w:t xml:space="preserve"> shares with an intrinsic value of </w:t>
      </w:r>
      <w:r>
        <w:rPr>
          <w:rFonts w:ascii="Times New Roman" w:hAnsi="Times New Roman" w:eastAsia="Times New Roman" w:cs="Times New Roman"/>
          <w:sz w:val="20"/>
        </w:rPr>
        <w:t xml:space="preserve">$164,260</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1"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Recent Accounting Pronouncements</w:t>
      </w:r>
      <w:bookmarkStart w:id="16159" w:name="Recent_Accounting_Pronouncements"/>
      <w:bookmarkEnd w:id="16159"/>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See “Note 1. Company and Summary of Significant Accounting Policies,” under Item 1 of this Quarterly Report for information on additional recent pronouncements.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3 – QUANTITATIVE AND QUALITATIVE DISCLOSURES ABOUT MARKET RISK</w:t>
      </w:r>
      <w:bookmarkStart w:id="48565" w:name="Item_3__Quantitive_and_Qualitatve_Disclo"/>
      <w:bookmarkEnd w:id="48565"/>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 to smaller reporting companies.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4 – CONTROLS AND PROCEDURES</w:t>
      </w:r>
      <w:bookmarkStart w:id="18143" w:name="Item_4__Controls_and_Procedures"/>
      <w:bookmarkEnd w:id="18143"/>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Evaluation of Disclosure Controls and Procedures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connection with the preparation of this Quarterly Report on Form 10-Q for the quarter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an evaluation was performed under the supervision and with the participation of our management including our principal executive officer and principal financial officer to determine the effectiveness of the design and operation of our disclosure controls and procedures (as defined in Rules 13a-15(e) and 15d-15(e) under the Exchange Act) as of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Our disclosure controls and procedures are designed to ensure that information required to be disclosed in the reports we file or submit under the Exchange Act is recorded, processed, summarized, and reported within the time periods specified in the rules and forms of the SEC, and that such information is accumulated and communicated to our management, including our principal executive officer and principal financial officer, to allow timely decisions regarding required disclosures. Given that the remediation of material weakness outlined below has not been completed and tested, our principal executive and principal financial officers concluded that our disclosure controls and procedures were not effective as of March 31, 2019.</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14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material weakness is a deficiency, or a combination of deficiencies, in internal control over financial reporting such that there is a reasonable possibility that a material misstatement of the company’s annual or interim financial statements will not be prevented or detected on a timely basis.</w:t>
      </w:r>
    </w:p>
    <w:p>
      <w:pPr>
        <w:ind w:right="14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connection with the 2017 year-end financial statement close and preparation of the corresponding 2017 Annual Report during early 2018, management determined that there were errors in our financial statements issued prior to 2017 related to our presentation of revenue related to the self-service Content Workflow portion of our revenue and our classification of cost of revenue related to our Managed Services. This conclusion resulted in the restatement of certain 2015 and 2016 Consolidated Financial Statements in our 2017 Annual Report on Form 10-K. At that time, we determined that we have a material weakness in the evaluation of the application of generally accepted accounting principles for our contractual arrangements with customers, more specifically the method of revenue recognition and the identification and classification of the costs of our services.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Because the remediation plans associated with this material weakness are still in process of being verified and tested, management concluded that we did not maintain effective internal control over financial reporting as of March 31, 2019.</w:t>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Remediation of Material Weakness</w:t>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To remediate the material weakness described above, we have identified appropriate additional controls including the engagement of independent third-party technical accounting experts to assist management with the adoption of new accounting and reporting requirements, the review and evaluation of significant contracts, and the related financial reporting. We are continuing to evaluate our processes and controls after giving effect to the additional controls. Further processes and controls may be added. We believe that these measures will remediate the material weakness identified and strengthen our internal control over financial reporting.</w:t>
      </w:r>
    </w:p>
    <w:p>
      <w:pPr>
        <w:jc w:val="left"/>
        <w:spacing w:before="7"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Changes in Internal Control over Financial Reporting</w:t>
      </w:r>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As a smaller reporting company, our Chief Financial Officer plays a critical role in our control environment, both at the entity level and at the transactional level. During the quarter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our former Chief Financial Officer left the Company and we hired a new Chief Financial Officer. Other than this change in our finance leadership, there were no changes in our internal control over financial reporting (as defined in Exchange Act Rules 13a-15(f) and 15d-15(f)) that occurred during the quarter ended </w:t>
      </w:r>
      <w:r>
        <w:rPr>
          <w:rFonts w:ascii="Times New Roman" w:hAnsi="Times New Roman" w:eastAsia="Times New Roman" w:cs="Times New Roman"/>
          <w:sz w:val="20"/>
        </w:rPr>
        <w:t xml:space="preserve">March 31, 2019</w:t>
      </w:r>
      <w:r>
        <w:rPr>
          <w:rFonts w:ascii="Times New Roman" w:hAnsi="Times New Roman" w:eastAsia="Times New Roman" w:cs="Times New Roman"/>
          <w:sz w:val="20"/>
        </w:rPr>
        <w:t xml:space="preserve"> that have materially affected, or are reasonably likely to materially affect, our internal control over financial reporting.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2"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PART II – OTHER INFORMATION</w:t>
      </w:r>
      <w:bookmarkStart w:id="37793" w:name="PART_II___Other_Information"/>
      <w:bookmarkEnd w:id="37793"/>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fmt="decimal" w:chapSep="period"/>
          <w:pgSz w:w="12240" w:h="15840"/>
          <w:pgMar w:top="860" w:left="1000" w:right="1000" w:bottom="860" w:footer="460" w:gutter="0" w:header="160"/>
          <w:headerReference r:id="rId1" w:type="default"/>
          <w:footerReference r:id="rId33"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 – LEGAL PROCEEDINGS</w:t>
      </w:r>
      <w:bookmarkStart w:id="29685" w:name="Item_1____Legal_Proceedings"/>
      <w:bookmarkEnd w:id="29685"/>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us and certain of our executive officers on behalf of certain purchasers of our common stock. The plaintiffs seek to recover damages for investors under federal securities laws. We believe that the plaintiffs’ allegations are without merit and we intend to continue to vigorously defend against the claims. However, based upon currently available information and review with outside counsel, the Company has estimated and accrued a potential loss of $500,000 representing its deductible on the associated insurance coverage.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April 15, 2019, a stipulation of settlement was filed in the U.S. District Court for the Central District of California that contained settlement terms as agreed upon by us and the other parties to the Perez class action lawsuit described above. The settlement terms as agreed upon by the parties include that, within 15 business days of execution of the stipulation of settlement, IZEA's insurer will deposit $250,000 into the settlement fund. Within 20 business days of entry of the Court's order of preliminary approval, our insurer will make a payment of $550,000 and we will pay the remainder of the Company's previously accrued insurance deductible ($400,000) into escrow to be used as settlement funds, inclusive of lead plaintiff awards and lead counsel fees. The settlement is subject to approval by the U.S. District Court, and the plaintiff has filed a motion for preliminary approval of the settlement which the court entered on May 8, 2019. Upon final approval by the Court, the settlement will require that the Perez lawsuit be dismissed with prejudice. In the event that the Court does not approve the settlement, we intend to vigorously defend against the claims.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 2018, a shareholder derivative lawsuit, </w:t>
      </w:r>
      <w:r>
        <w:rPr>
          <w:rFonts w:ascii="Times New Roman" w:hAnsi="Times New Roman" w:eastAsia="Times New Roman" w:cs="Times New Roman"/>
          <w:sz w:val="20"/>
          <w:i w:val="true"/>
        </w:rPr>
        <w:t xml:space="preserve">Korene Stuart v. Edward H. Murphy et al.</w:t>
      </w:r>
      <w:r>
        <w:rPr>
          <w:rFonts w:ascii="Times New Roman" w:hAnsi="Times New Roman" w:eastAsia="Times New Roman" w:cs="Times New Roman"/>
          <w:sz w:val="20"/>
        </w:rPr>
        <w:t xml:space="preserve">,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the Company for purported breaches of the individual defendants’ fiduciary duties as directors and/or officers of IZEA, unjust enrichment, abuse of control, gross mismanagement, and waste of corporate assets in violation of state common law.</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the Company for purported breaches of the individual defendants’ fiduciary duties as directors and/or officers of IZEA, and gross mismanagement, and under federal securities laws.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March 6, 2019, a stipulation of settlement was filed in the United States District Court for the Central District of California that contained settlement terms as agreed upon by the parties to the Stuart and Emond shareholder derivative lawsuits described above. The settlement terms as agreed upon by the parties include that IZEA will direct its insurers to make a payment of $300,000 as a fee and service award to the plaintiffs and their counsel in the Emond and Stuart lawsuits and further that IZEA will enact certain corporate governance reforms. The settlement is subject to approval by the United States District Court for the Central District of California, and the plaintiff has filed a motion for preliminary approval of the settlement which is scheduled to be heard by the Court on May 13, 2019. Upon final approval by the Court, the settlement will require that both the Emond and Stuart lawsuits be dismissed with prejudice. In the event that the Court does not approve the settlement, we intend to vigorously defend against the claims.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From time to time, we may become involved in various other lawsuits and legal proceedings that arise in the ordinary course of our business. Litigation is, however, subject to inherent uncertainties, and an adverse result in these or other matters may arise from time to time that may harm our business. We are currently not aware of any other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1A – RISK FACTORS</w:t>
      </w:r>
      <w:bookmarkStart w:id="40710" w:name="Item_1A__Risk_Factors"/>
      <w:bookmarkEnd w:id="40710"/>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addition to the information set forth in this report, you should carefully consider the factors discussed under Item 1A of Part I to our Annual Report on Form 10-K for the year ended December 31, 2018 regarding the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Risks Related to our Business and Industry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have been named as a defendant in a securities class action lawsuit and other shareholder derivative lawsuits relating to an error in the presentation of revenues and classification of expenses in certain financial statements issued in prior years. This litigation, and any other similar or related claims or investigations, could result in substantial damages and cost and may divert management’s time and attention from our business.</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us and certain of our executive officers on behalf of certain purchasers of our common stock. The plaintiffs seek to recover damages for investors under federal securities laws. We believe that the plaintiffs’ allegations are without merit and we intend to continue to vigorously defend against the claims. Based upon currently available information and review with outside counsel, the Company has estimated and accrued a potential loss of $500,000 representing its deductible on associated insurance coverage.</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April 15, 2019, a stipulation of settlement was filed in the U.S. District Court for the Central District of California that contained settlement terms as agreed upon by us and the other parties to the Perez class action lawsuit described above. The settlement terms as agreed upon by the parties include that, within 15 business days of execution of the stipulation of settlement, IZEA's insurer will deposit $250,000 into the settlement fund. Within 20 business days of entry of the Court's order of preliminary approval, our insurer will make a payment of $550,000 and we will pay the remainder of the Company's previously accrued insurance deductible ($400,000) into escrow to be used as settlement funds, inclusive of lead plaintiff awards and lead counsel fees. The settlement is subject to approval by the U.S. District Court, and the plaintiff has filed a motion for preliminary approval of the settlement which the court entered on May 8, 2019. Upon final approval by the Court, the settlement will require that the Perez lawsuit be dismissed with prejudice. In the event that the Court does not approve the settlement, we intend to vigorously defend against the claims.</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 2018, a shareholder derivative lawsuit, </w:t>
      </w:r>
      <w:r>
        <w:rPr>
          <w:rFonts w:ascii="Times New Roman" w:hAnsi="Times New Roman" w:eastAsia="Times New Roman" w:cs="Times New Roman"/>
          <w:sz w:val="20"/>
          <w:i w:val="true"/>
        </w:rPr>
        <w:t xml:space="preserve">Korene Stuart v. Edward H. Murphy et al</w:t>
      </w:r>
      <w:r>
        <w:rPr>
          <w:rFonts w:ascii="Times New Roman" w:hAnsi="Times New Roman" w:eastAsia="Times New Roman" w:cs="Times New Roman"/>
          <w:sz w:val="20"/>
        </w:rPr>
        <w:t xml:space="preserve">.,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the Company for purported breaches of the individual defendants’ fiduciary duties as directors and/or officers of IZEA, unjust enrichment, abuse of control, gross mismanagement, and waste of corporate assets in violation of state common law.</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the Company for purported breaches of the individual defendants’ fiduciary duties as directors and/or officers of IZEA, and gross mismanagement, and under federal securities laws.</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March 6, 2019, a stipulation of settlement was filed in the United States District Court for the Central District of California that contained settlement terms as agreed upon by the parties to the Stuart and Emond shareholder derivative lawsuits described above. The settlement terms as agreed upon by the parties include that IZEA will direct its insurers to make a payment of $300,000 as a fee and service award to the plaintiffs and their counsel in the Emond and Stuart lawsuits and further that IZEA will enact certain corporate governance reforms. The settlement is subject to approval by the United States District Court for the Central District of California, and the plaintiff has filed a motion for preliminary approval of the settlement which is scheduled to be heard by the court on May 13, 2019. Upon final approval by the Court, the settlement will require that both the Emond and Stuart lawsuits be dismissed with prejudice. In the event that the Court does not approve the settlement, the Company intends to vigorously defend against the claims.</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These lawsuits, and any other similar or related claims or investigations, could result in the diversion of management’s time and attention away from business operations, which could harm our business and also harm our relationships with existing customers, vendors and business partners. The lawsuits may also materially damage our reputation and the value of our brand. Our legal expenses incurred in defending the lawsuits, and any other similar or related matters, could be significant, and a ruling against us, or any settlement, could have a material adverse effect on us.</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There can be no assurance that any litigation to which we are, or in the future may become, a party will be resolved in our favor. These lawsuits and any other lawsuits that we may become party to are subject to inherent uncertainties, and the costs to us of defending litigation matters will depend upon many unknown factors. Any claim that is successfully decided against us may require us to pay substantial damages, including punitive damages, and other related fees. We may also determine that a settlement of one or more of the actions is in the best interest of the company and its shareholders.</w:t>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540" w:right="3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Regardless of whether lawsuits are resolved in our favor or if we are the plaintiff or the defendant in the litigation, any lawsuits to which we are or may become a party will likely be expensive and time consuming to defend or resolve.</w:t>
      </w:r>
    </w:p>
    <w:p>
      <w:pPr>
        <w:ind w:firstLine="540" w:right="30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are continuing to develop our IZEAx platform and are in the process of transitioning certain features and customers from our legacy Ebyline, ZenContent and TapInfluence platforms. Our updated IZEAx platform may not achieve sufficient market acceptance to be commercially viable for open marketplace or SaaS services.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are continuing to develop our primary platform,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we intend to focus the majority of our engineering resources on the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platform for the foreseeable future. In April 2019, we released version 3.0 of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which allows marketers to make offers that require a single creator to complete multiple tasks or deliverables. The new version also allows users to source multiple creators to produce a combined deliverable for the end-marketer. Throughout the remainder of 2019, we plan to continue to add additional features to support SaaS white-label partners and integrate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 offerings for custom content services within our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 We are spending a significant amount of time and resources on the development of this platform, and we cannot provide any assurances of its short or long-term commercial success or growth. There is no assurance that the amount of money being allocated for the platform will be sufficient to complete it, or that such completion will result in significant revenues or profit for us.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is naturally declining as we are dedicating resources to the continuation and development of our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 We are working towards merging the two platforms and there is a risk that the merging of our Ebyline customers into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will result in a further decrease in revenue related to the self-service Content Workflow business if the customers do not understand the changes or do not believe that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 can provide them with a similar or improved service from what they received in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there is a risk that existing creators registered under our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will either not migrate or will not participate and accept offers after their migration into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If our marketers and creators do not perceive this platform to be of high value and quality, we may not be able to retain them or acquire new marketers and creators. Additionally, if existing or future competitors develop or offer products or services that provide significant performance, price, creative or other advantages over this platform, demand for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may decrease and our business, prospects, results of operations and financial condition could be negatively affected.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keepNext/>
        <w:keepLines/>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4"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2 – UNREGISTERED SALES OF EQUITY SECURITIES AND USE OF PROCEEDS</w:t>
      </w:r>
      <w:bookmarkStart w:id="48941" w:name="Item_2___Unregisterd_Sales_of_Equity_Sec"/>
      <w:bookmarkEnd w:id="48941"/>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January 26, 2019, pursuant to our merger agreement with TapInfluence, we issued 660,136 shares of our common stock valued at $884,583, or $1.34 per share, using a 30-trading day volume-weighted average closing price as reported by The Nasdaq Capital Market prior to the issuance date.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foregoing issuance of shares were made in reliance upon the exemption from registration provided by Section 4(a)(2) of the Securities Act of 1933, as amended.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5"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3 – DEFAULTS UPON SENIOR SECURITIES</w:t>
      </w:r>
      <w:bookmarkStart w:id="60292" w:name="Item_3___Defaults_Upon_Senior_Securities"/>
      <w:bookmarkEnd w:id="60292"/>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None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4 – MINE SAFETY DISCLOSURES</w:t>
      </w:r>
      <w:bookmarkStart w:id="562" w:name="Item_4____Mine_Safety_Disclosures"/>
      <w:bookmarkEnd w:id="562"/>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keepNext/>
        <w:keepLines/>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5 - OTHER INFORMATION</w:t>
      </w:r>
      <w:bookmarkStart w:id="3828" w:name="Item_5__Other_Information"/>
      <w:bookmarkEnd w:id="3828"/>
    </w:p>
    <w:p>
      <w:pPr>
        <w:jc w:val="left"/>
        <w:keepNex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w:t>
      </w:r>
    </w:p>
    <w:p>
      <w:pPr>
        <w:jc w:val="left"/>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6 – EXHIBITS</w:t>
      </w:r>
      <w:bookmarkStart w:id="1282" w:name="Item_6___Exhibits"/>
      <w:bookmarkEnd w:id="1282"/>
    </w:p>
    <w:p>
      <w:pPr>
        <w:jc w:val="left"/>
        <w:spacing w:after="1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tbl>
      <w:tblPr>
        <w:tblW w:type="dxa" w:w="10040"/>
        <w:tblLayout w:type="fixed"/>
        <w:jc w:val="justify"/>
      </w:tblPr>
      <w:tblGrid>
        <w:gridCol w:w="600"/>
        <w:gridCol w:w="520"/>
        <w:gridCol w:w="8920"/>
      </w:tblGrid>
      <w:tr>
        <w:trPr>
          <w:trHeight w:hRule="exact" w:val="500"/>
        </w:trPr>
        <w:tc>
          <w:tcPr>
            <w:tcW w:type="dxa" w:w="112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Exhibit Number</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8920"/>
            <w:tcMar>
              <w:left w:type="dxa" w:w="60"/>
              <w:right w:type="dxa" w:w="60"/>
            </w:tcMar>
            <w:hMerge w:val="restart"/>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Description</w:t>
            </w:r>
          </w:p>
        </w:tc>
      </w:tr>
      <w:tr>
        <w:trPr>
          <w:trHeight w:hRule="exact" w:val="700"/>
        </w:trPr>
        <w:tc>
          <w:tcPr>
            <w:tcW w:type="dxa" w:w="600"/>
            <w:tcMar>
              <w:left w:type="dxa" w:w="60"/>
              <w:right w:type="dxa" w:w="40"/>
            </w:tcMar>
            <w:tcBorders>
              <w:top w:val="single" w:sz="8" w:space="0"/>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w:t>
            </w:r>
          </w:p>
        </w:tc>
        <w:tc>
          <w:tcPr>
            <w:tcW w:type="dxa" w:w="520"/>
            <w:tcMar>
              <w:left w:type="dxa" w:w="60"/>
              <w:right w:type="dxa" w:w="0"/>
            </w:tcMar>
            <w:tcBorders>
              <w:top w:val="single" w:sz="8" w:space="0"/>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
              <w:r>
                <w:rPr>
                  <w:rFonts w:ascii="Times New Roman" w:hAnsi="Times New Roman" w:eastAsia="Times New Roman" w:cs="Times New Roman"/>
                  <w:sz w:val="20"/>
                  <w:color w:val="0000ff"/>
                  <w:u w:val="single" w:color="0000ff"/>
                </w:rPr>
                <w:t xml:space="preserve">Amended and Restated Articles of Incorporation of IZEA, Inc., filed with the Nevada Secretary of State on November 28, 2011 (Incorporated by reference to Exhibit 3.1 to the Company's Current Report on Form 8-K filed with the SEC on November 23, 2011).</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2">
              <w:r>
                <w:rPr>
                  <w:rFonts w:ascii="Times New Roman" w:hAnsi="Times New Roman" w:eastAsia="Times New Roman" w:cs="Times New Roman"/>
                  <w:sz w:val="20"/>
                  <w:color w:val="0000ff"/>
                  <w:u w:val="single" w:color="0000ff"/>
                </w:rPr>
                <w:t xml:space="preserve">Certificate of Change of IZEA, Inc., filed with the Nevada Secretary of State on July 30, 2012 (Incorporated by reference to Exhibit 3.1 to the Company’s Current Report on Form 8-K filed with the SEC on August 1, 2012).</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3">
              <w:r>
                <w:rPr>
                  <w:rFonts w:ascii="Times New Roman" w:hAnsi="Times New Roman" w:eastAsia="Times New Roman" w:cs="Times New Roman"/>
                  <w:sz w:val="20"/>
                  <w:color w:val="0000ff"/>
                  <w:u w:val="single" w:color="0000ff"/>
                </w:rPr>
                <w:t xml:space="preserve">Certificate of Amendment to Articles of Incorporation filed with the Secretary of State of the State of Nevada on April 17, 2014 (Incorporated by reference to Exhibit 3.1 to the Company’s Current Report on Form 8-K filed with the SEC on April 18, 2014).</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4">
              <w:r>
                <w:rPr>
                  <w:rFonts w:ascii="Times New Roman" w:hAnsi="Times New Roman" w:eastAsia="Times New Roman" w:cs="Times New Roman"/>
                  <w:sz w:val="20"/>
                  <w:color w:val="0000ff"/>
                  <w:u w:val="single" w:color="0000ff"/>
                </w:rPr>
                <w:t xml:space="preserve">Certificate of Withdrawal of Certificate of Designation filed with the Secretary of State of the State of Nevada effective January 23, 2015 (Incorporated by reference to Exhibit 3.1 to the Company’s Current Report on Form 8-K filed with the SEC on January 29, 2015).</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5">
              <w:r>
                <w:rPr>
                  <w:rFonts w:ascii="Times New Roman" w:hAnsi="Times New Roman" w:eastAsia="Times New Roman" w:cs="Times New Roman"/>
                  <w:sz w:val="20"/>
                  <w:color w:val="0000ff"/>
                  <w:u w:val="single" w:color="0000ff"/>
                </w:rPr>
                <w:t xml:space="preserve">Certificate of Amendment filed with the Secretary of State of the State of Nevada effective January 11, 2016 (Incorporated by reference to Exhibit 3.1 to the Company’s Current Report on Form 8-K filed with the SEC on January 12, 2016).</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6">
              <w:r>
                <w:rPr>
                  <w:rFonts w:ascii="Times New Roman" w:hAnsi="Times New Roman" w:eastAsia="Times New Roman" w:cs="Times New Roman"/>
                  <w:sz w:val="20"/>
                  <w:color w:val="0000ff"/>
                  <w:u w:val="single" w:color="0000ff"/>
                </w:rPr>
                <w:t xml:space="preserve">Amended and Restated Bylaws of IZEA, Inc. (Incorporated by reference to Exhibit 3.2 to the Current Report on Form 8-K filed with the SEC on November 23, 2011).</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7">
              <w:r>
                <w:rPr>
                  <w:rFonts w:ascii="Times New Roman" w:hAnsi="Times New Roman" w:eastAsia="Times New Roman" w:cs="Times New Roman"/>
                  <w:sz w:val="20"/>
                  <w:color w:val="0000ff"/>
                  <w:u w:val="single" w:color="0000ff"/>
                </w:rPr>
                <w:t xml:space="preserve">Certificate of Designation (Incorporated by reference to Exhibit 3.1 to the Company’s Current Report on Form 8-K filed with the SEC on May 27, 2011).</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8">
              <w:r>
                <w:rPr>
                  <w:rFonts w:ascii="Times New Roman" w:hAnsi="Times New Roman" w:eastAsia="Times New Roman" w:cs="Times New Roman"/>
                  <w:sz w:val="20"/>
                  <w:color w:val="0000ff"/>
                  <w:u w:val="single" w:color="0000ff"/>
                </w:rPr>
                <w:t xml:space="preserve">Articles of Merger of IZEA Innovations, Inc. filed with the Secretary of State of the State of Nevada effective April 5, 2016 (Incorporated by reference to Exhibit 3.11 to the Company's Quarterly Report on Form 10-Q filed with the SEC on May 11, 2016).</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9">
              <w:r>
                <w:rPr>
                  <w:rFonts w:ascii="Times New Roman" w:hAnsi="Times New Roman" w:eastAsia="Times New Roman" w:cs="Times New Roman"/>
                  <w:sz w:val="20"/>
                  <w:color w:val="0000ff"/>
                  <w:u w:val="single" w:color="0000ff"/>
                </w:rPr>
                <w:t xml:space="preserve">Articles of Merger of IZEA Worldwide, Inc. filed with the Secretary of State of the State of Nevada effective August 20, 2018 (Incorporated by reference to Exhibit 3.1 to the Company's Current Report on Form 8-K filed with the SEC on August 23, 2018).</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0">
              <w:r>
                <w:rPr>
                  <w:rFonts w:ascii="Times New Roman" w:hAnsi="Times New Roman" w:eastAsia="Times New Roman" w:cs="Times New Roman"/>
                  <w:sz w:val="20"/>
                  <w:color w:val="0000ff"/>
                  <w:u w:val="single" w:color="0000ff"/>
                </w:rPr>
                <w:t xml:space="preserve">Employment Agreement between IZEA Worldwide, Inc. and Troy J. Vanke effective February 18, 2019 (Incorporated by reference to Exhibit 10.1 to the Company's Current Report on Form 8-K filed with the SEC on February 7, 2019).</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1">
              <w:r>
                <w:rPr>
                  <w:rFonts w:ascii="Times New Roman" w:hAnsi="Times New Roman" w:eastAsia="Times New Roman" w:cs="Times New Roman"/>
                  <w:sz w:val="20"/>
                  <w:color w:val="0000ff"/>
                  <w:u w:val="single" w:color="0000ff"/>
                </w:rPr>
                <w:t xml:space="preserve">Employment Agreement between IZEA Worldwide, Inc. and Edward H. Murphy effective April 21, 2019 (Incorporated by reference to Exhibit 10.1 to the Company's Current Report on Form 8-K filed with the SEC on April 24, 2019).</w:t>
              </w:r>
            </w:hyperlink>
          </w:p>
        </w:tc>
      </w:tr>
      <w:tr>
        <w:trPr>
          <w:trHeight w:hRule="exact" w:val="3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2">
              <w:r>
                <w:rPr>
                  <w:rFonts w:ascii="Times New Roman" w:hAnsi="Times New Roman" w:eastAsia="Times New Roman" w:cs="Times New Roman"/>
                  <w:sz w:val="20"/>
                  <w:color w:val="0000ff"/>
                  <w:u w:val="single" w:color="0000ff"/>
                </w:rPr>
                <w:t xml:space="preserve">Certification of Principal Executive Officer pursuant to Section 302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3">
              <w:r>
                <w:rPr>
                  <w:rFonts w:ascii="Times New Roman" w:hAnsi="Times New Roman" w:eastAsia="Times New Roman" w:cs="Times New Roman"/>
                  <w:sz w:val="20"/>
                  <w:color w:val="0000ff"/>
                  <w:u w:val="single" w:color="0000ff"/>
                </w:rPr>
                <w:t xml:space="preserve">Certification of Principal Financial and Accounting Officer pursuant to Section 302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(b)</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4">
              <w:r>
                <w:rPr>
                  <w:rFonts w:ascii="Times New Roman" w:hAnsi="Times New Roman" w:eastAsia="Times New Roman" w:cs="Times New Roman"/>
                  <w:sz w:val="20"/>
                  <w:color w:val="0000ff"/>
                  <w:u w:val="single" w:color="0000ff"/>
                </w:rPr>
                <w:t xml:space="preserve">Certification of Principal Executive Officer pursuant to 18 U.S.C. Section 1350, as adopted pursuant to Section 906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(b)</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5">
              <w:r>
                <w:rPr>
                  <w:rFonts w:ascii="Times New Roman" w:hAnsi="Times New Roman" w:eastAsia="Times New Roman" w:cs="Times New Roman"/>
                  <w:sz w:val="20"/>
                  <w:color w:val="0000ff"/>
                  <w:u w:val="single" w:color="0000ff"/>
                </w:rPr>
                <w:t xml:space="preserve">Certification of Principal Financial and Accounting Officer pursuant to 18 U.S.C. Section 1350, as adopted pursuant to Section 906 of the Sarbanes-Oxley Act of 2002.</w:t>
              </w:r>
            </w:hyperlink>
          </w:p>
        </w:tc>
      </w:tr>
      <w:tr>
        <w:trPr>
          <w:trHeight w:hRule="exact" w:val="1120"/>
        </w:trPr>
        <w:tc>
          <w:tcPr>
            <w:tcW w:type="dxa" w:w="600"/>
            <w:tcMar>
              <w:left w:type="dxa" w:w="60"/>
              <w:right w:type="dxa" w:w="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w:t>
            </w:r>
          </w:p>
        </w:tc>
        <w:tc>
          <w:tcPr>
            <w:tcW w:type="dxa" w:w="52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w:t>
            </w:r>
          </w:p>
        </w:tc>
        <w:tc>
          <w:tcPr>
            <w:tcW w:type="dxa" w:w="89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 following materials from IZEA Worldwide, Inc.'s Quarterly Report for the quarter ended March 31, 2019 are formatted in XBRL (eXtensible Business Reporting Language): (i) the Unaudited Consolidated Balance Sheets, (ii) the Unaudited Consolidated Statements of Operations, (iii) the Unaudited Consolidated Statement of Stockholders' Equity, (iv) the Unaudited Consolidated Statements of Cash Flow, and (iv) Notes to the Unaudited Consolidated Financial Statements.</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Filed or furnished herewith.</w:t>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Denotes management contract or compensatory plan or arrangement.</w:t>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	In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	In accordance with Rule 406T of Regulation S-T, the XBRL related information in Exhibit 101 to this Annual Report on Form 10-K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6"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SIGNATURES</w:t>
      </w:r>
      <w:bookmarkStart w:id="28366" w:name="Signatures"/>
      <w:bookmarkEnd w:id="28366"/>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Pursuant to the requirements of Section 13 or 15(d) of the Securities Exchange Act of 1934, the Registrant has duly caused this Quarterly Report to be signed on its behalf by the undersigned, thereunto duly authorized.</w:t>
      </w:r>
    </w:p>
    <w:tbl>
      <w:tblPr>
        <w:tblW w:type="dxa" w:w="10240"/>
        <w:tblLayout w:type="fixed"/>
        <w:jc w:val="justify"/>
      </w:tblPr>
      <w:tblGrid>
        <w:gridCol w:w="3120"/>
        <w:gridCol w:w="500"/>
        <w:gridCol w:w="6620"/>
      </w:tblGrid>
      <w:tr>
        <w:trPr>
          <w:trHeight w:hRule="exact" w:val="480"/>
        </w:trPr>
        <w:tc>
          <w:tcPr>
            <w:tcW w:type="dxa" w:w="3120"/>
            <w:tcMar>
              <w:left w:type="dxa" w:w="60"/>
              <w:right w:type="dxa" w:w="0"/>
            </w:tcMar>
            <w:tcBorders/>
            <w:vAlign w:val="top"/>
          </w:tcPr>
          <w:p>
            <w:pPr>
              <w:jc w:val="left"/>
              <w:keepNext/>
              <w:keepLines/>
              <w:spacing w:before="40" w:after="40" w:line="240" w:lineRule="auto"/>
              <w:rPr/>
            </w:pPr>
            <w:r>
              <w:rPr/>
            </w:r>
          </w:p>
        </w:tc>
        <w:tc>
          <w:tcPr>
            <w:tcW w:type="dxa" w:w="712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IZEA Worldwide, Inc.</w:t>
              <w:br w:type="textWrapping"/>
              <w:t xml:space="preserve">a Nevada corporation</w:t>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360"/>
        </w:trPr>
        <w:tc>
          <w:tcPr>
            <w:tcW w:type="dxa" w:w="3120"/>
            <w:tcMar>
              <w:left w:type="dxa" w:w="60"/>
              <w:right w:type="dxa" w:w="0"/>
            </w:tcMar>
            <w:hMerge w:val="restart"/>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0"/>
            </w:tcMar>
            <w:tcBorders/>
            <w:vAlign w:val="top"/>
          </w:tcPr>
          <w:p>
            <w:pPr>
              <w:jc w:val="left"/>
              <w:keepNext/>
              <w:keepLines/>
              <w:spacing w:before="40" w:after="40" w:line="240" w:lineRule="auto"/>
              <w:rPr/>
            </w:pPr>
            <w:r>
              <w:rPr/>
            </w:r>
          </w:p>
        </w:tc>
      </w:tr>
      <w:tr>
        <w:trPr>
          <w:trHeight w:hRule="exact" w:val="280"/>
        </w:trPr>
        <w:tc>
          <w:tcPr>
            <w:tcW w:type="dxa" w:w="31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May 14, 2019</w:t>
            </w:r>
          </w:p>
        </w:tc>
        <w:tc>
          <w:tcPr>
            <w:tcW w:type="dxa" w:w="500"/>
            <w:tcMar>
              <w:left w:type="dxa" w:w="60"/>
              <w:right w:type="dxa" w:w="40"/>
            </w:tcMar>
            <w:tcBorders/>
            <w:vAlign w:val="center"/>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By:</w:t>
            </w:r>
          </w:p>
        </w:tc>
        <w:tc>
          <w:tcPr>
            <w:tcW w:type="dxa" w:w="662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 Edward H. Murphy</w:t>
            </w:r>
          </w:p>
        </w:tc>
      </w:tr>
      <w:tr>
        <w:trPr>
          <w:trHeight w:hRule="exact" w:val="700"/>
        </w:trPr>
        <w:tc>
          <w:tcPr>
            <w:tcW w:type="dxa" w:w="3120"/>
            <w:tcMar>
              <w:left w:type="dxa" w:w="60"/>
              <w:right w:type="dxa" w:w="0"/>
            </w:tcMar>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40"/>
            </w:tcMar>
            <w:tcBorders/>
            <w:vAlign w:val="bottom"/>
            <w:vAlign w:val="bottom"/>
            <w:vAlign w:val="bottom"/>
          </w:tcPr>
          <w:p>
            <w:pPr>
              <w:jc w:val="left"/>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Edward H. Murphy</w:t>
            </w:r>
          </w:p>
          <w:p>
            <w:pPr>
              <w:jc w:val="lef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Chairman, President and Chief Executive Officer</w:t>
            </w:r>
          </w:p>
          <w:p>
            <w:pPr>
              <w:jc w:val="left"/>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(Principal Executive Officer)</w:t>
            </w:r>
          </w:p>
        </w:tc>
      </w:tr>
      <w:tr>
        <w:trPr>
          <w:trHeight w:hRule="exact" w:val="360"/>
        </w:trPr>
        <w:tc>
          <w:tcPr>
            <w:tcW w:type="dxa" w:w="3120"/>
            <w:tcMar>
              <w:left w:type="dxa" w:w="60"/>
              <w:right w:type="dxa" w:w="0"/>
            </w:tcMar>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3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May 14, 2019</w:t>
            </w:r>
          </w:p>
        </w:tc>
        <w:tc>
          <w:tcPr>
            <w:tcW w:type="dxa" w:w="500"/>
            <w:tcMar>
              <w:left w:type="dxa" w:w="60"/>
              <w:right w:type="dxa" w:w="40"/>
            </w:tcMar>
            <w:tcBorders/>
            <w:vAlign w:val="center"/>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By:</w:t>
            </w:r>
          </w:p>
        </w:tc>
        <w:tc>
          <w:tcPr>
            <w:tcW w:type="dxa" w:w="662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 Troy J. Vanke</w:t>
            </w:r>
          </w:p>
        </w:tc>
      </w:tr>
      <w:tr>
        <w:trPr>
          <w:trHeight w:hRule="exact" w:val="700"/>
        </w:trPr>
        <w:tc>
          <w:tcPr>
            <w:tcW w:type="dxa" w:w="3120"/>
            <w:tcMar>
              <w:left w:type="dxa" w:w="60"/>
              <w:right w:type="dxa" w:w="0"/>
            </w:tcMar>
            <w:tcBorders/>
            <w:vAlign w:val="top"/>
          </w:tcPr>
          <w:p>
            <w:pPr>
              <w:jc w:val="left"/>
              <w:keepLines/>
              <w:spacing w:before="40" w:after="40" w:line="240" w:lineRule="auto"/>
              <w:rPr/>
            </w:pPr>
            <w:r>
              <w:rPr/>
            </w:r>
          </w:p>
        </w:tc>
        <w:tc>
          <w:tcPr>
            <w:tcW w:type="dxa" w:w="500"/>
            <w:tcMar>
              <w:left w:type="dxa" w:w="60"/>
              <w:right w:type="dxa" w:w="0"/>
            </w:tcMar>
            <w:tcBorders/>
            <w:vAlign w:val="top"/>
          </w:tcPr>
          <w:p>
            <w:pPr>
              <w:jc w:val="left"/>
              <w:keepLines/>
              <w:spacing w:before="40" w:after="40" w:line="240" w:lineRule="auto"/>
              <w:rPr/>
            </w:pPr>
            <w:r>
              <w:rPr/>
            </w:r>
          </w:p>
        </w:tc>
        <w:tc>
          <w:tcPr>
            <w:tcW w:type="dxa" w:w="6620"/>
            <w:tcMar>
              <w:left w:type="dxa" w:w="60"/>
              <w:right w:type="dxa" w:w="40"/>
            </w:tcMar>
            <w:tcBorders/>
            <w:vAlign w:val="bottom"/>
            <w:vAlign w:val="bottom"/>
            <w:vAlign w:val="bottom"/>
          </w:tcPr>
          <w:p>
            <w:pPr>
              <w:jc w:val="lef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Troy J. Vanke</w:t>
            </w:r>
          </w:p>
          <w:p>
            <w:pPr>
              <w:jc w:val="lef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Chief Financial Officer</w:t>
            </w:r>
          </w:p>
          <w:p>
            <w:pPr>
              <w:jc w:val="lef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(Principal Financial and Accounting Officer)</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41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sectPr>
      <w:pgNumType w:fmt="decimal" w:chapSep="period"/>
      <w:pgSz w:w="12240" w:h="15840"/>
      <w:pgMar w:top="860" w:left="1000" w:right="1000" w:bottom="860" w:footer="460" w:gutter="0" w:header="160"/>
      <w:headerReference r:id="rId1" w:type="default"/>
      <w:footerReference r:id="rId37" w:type="default"/>
    </w:sectPr>
  </w:body>
</w:document>
</file>

<file path=word/footer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file>

<file path=word/footer1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ind/>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header1.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 w:lineRule="auto"/>
      <w:rPr>
        <w:rFonts w:ascii="Times New Roman" w:hAnsi="Times New Roman" w:eastAsia="Times New Roman" w:cs="Times New Roman"/>
        <w:sz w:val="16"/>
      </w:rPr>
    </w:pPr>
    <w:hyperlink w:anchor="Table_of_Contents">
      <w:r>
        <w:rPr>
          <w:rFonts w:ascii="Times New Roman" w:hAnsi="Times New Roman" w:eastAsia="Times New Roman" w:cs="Times New Roman"/>
          <w:sz w:val="16"/>
          <w:color w:val="0000ff"/>
          <w:u w:val="single" w:color="0000ff"/>
        </w:rPr>
        <w:t xml:space="preserve">Table of Contents</w:t>
      </w:r>
    </w:hyperlink>
  </w:p>
</w:hdr>
</file>

<file path=word/header2.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 w:lineRule="auto"/>
      <w:rPr>
        <w:rFonts w:ascii="Times New Roman" w:hAnsi="Times New Roman" w:eastAsia="Times New Roman" w:cs="Times New Roman"/>
        <w:sz w:val="16"/>
      </w:rPr>
    </w:pPr>
    <w:hyperlink w:anchor="Table_of_Contents">
      <w:r>
        <w:rPr>
          <w:rFonts w:ascii="Times New Roman" w:hAnsi="Times New Roman" w:eastAsia="Times New Roman" w:cs="Times New Roman"/>
          <w:sz w:val="16"/>
          <w:color w:val="0000ff"/>
          <w:u w:val="single" w:color="0000ff"/>
        </w:rPr>
        <w:t xml:space="preserve">Table of Contents</w:t>
      </w:r>
    </w:hyperlink>
  </w:p>
</w:hdr>
</file>

<file path=word/header3.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hdr>
</file>

<file path=word/header4.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hdr>
</file>

<file path=word/header5.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file>

<file path=word/header6.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hdr>
</file>

<file path=word/numbering.xml><?xml version="1.0" encoding="utf-8"?>
<w:numbering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abstractNum w:abstractNumId="181">
    <w:multiLevelType w:val="hybridMultilevel"/>
    <w:lvl w:ilvl="0">
      <w:numFmt w:val="bullet"/>
      <w:lvlJc w:val="justify"/>
      <w:lvlText w:val="• "/>
      <w:start w:val="1"/>
      <w:pPr>
        <w:ind w:hanging="360"/>
      </w:pPr>
      <w:rPr/>
    </w:lvl>
    <w:lvl w:ilvl="1">
      <w:numFmt w:val="decimalEnclosedCircle"/>
      <w:lvlJc w:val="justify"/>
      <w:lvlText w:val="◦ "/>
      <w:start w:val="1"/>
      <w:pPr>
        <w:ind w:hanging="360"/>
      </w:pPr>
      <w:rPr/>
    </w:lvl>
  </w:abstractNum>
  <w:abstractNum w:abstractNumId="211">
    <w:multiLevelType w:val="hybridMultilevel"/>
    <w:lvl w:ilvl="0">
      <w:numFmt w:val="bullet"/>
      <w:lvlJc w:val="left"/>
      <w:lvlText w:val="• "/>
      <w:start w:val="1"/>
      <w:pPr>
        <w:ind w:hanging="360"/>
      </w:pPr>
      <w:rPr/>
    </w:lvl>
  </w:abstractNum>
  <w:abstractNum w:abstractNumId="212">
    <w:multiLevelType w:val="hybridMultilevel"/>
    <w:lvl w:ilvl="0">
      <w:numFmt w:val="bullet"/>
      <w:lvlJc w:val="left"/>
      <w:lvlText w:val="• "/>
      <w:start w:val="1"/>
      <w:pPr>
        <w:ind w:hanging="360"/>
      </w:pPr>
      <w:rPr/>
    </w:lvl>
  </w:abstractNum>
  <w:abstractNum w:abstractNumId="241">
    <w:multiLevelType w:val="hybridMultilevel"/>
    <w:lvl w:ilvl="0">
      <w:numFmt w:val="bullet"/>
      <w:lvlJc w:val="left"/>
      <w:lvlText w:val="• "/>
      <w:start w:val="1"/>
      <w:pPr>
        <w:ind w:hanging="360"/>
      </w:pPr>
      <w:rPr/>
    </w:lvl>
  </w:abstractNum>
  <w:abstractNum w:abstractNumId="251">
    <w:multiLevelType w:val="hybridMultilevel"/>
    <w:lvl w:ilvl="0">
      <w:numFmt w:val="bullet"/>
      <w:lvlJc w:val="left"/>
      <w:lvlText w:val="• "/>
      <w:start w:val="1"/>
      <w:pPr>
        <w:ind w:hanging="360"/>
      </w:pPr>
      <w:rPr/>
    </w:lvl>
  </w:abstractNum>
  <w:abstractNum w:abstractNumId="281">
    <w:multiLevelType w:val="hybridMultilevel"/>
    <w:lvl w:ilvl="0">
      <w:numFmt w:val="bullet"/>
      <w:lvlJc w:val="left"/>
      <w:lvlText w:val="• "/>
      <w:start w:val="1"/>
      <w:pPr>
        <w:ind w:hanging="360"/>
      </w:pPr>
      <w:rPr/>
    </w:lvl>
  </w:abstractNum>
  <w:abstractNum w:abstractNumId="91">
    <w:multiLevelType w:val="hybridMultilevel"/>
    <w:lvl w:ilvl="0">
      <w:numFmt w:val="bullet"/>
      <w:lvlJc w:val="left"/>
      <w:lvlText w:val="• "/>
      <w:start w:val="1"/>
      <w:pPr>
        <w:ind w:hanging="360"/>
      </w:pPr>
      <w:rPr/>
    </w:lvl>
  </w:abstractNum>
  <w:num w:numId="181">
    <w:abstractNumId w:val="181"/>
  </w:num>
  <w:num w:numId="211">
    <w:abstractNumId w:val="211"/>
  </w:num>
  <w:num w:numId="212">
    <w:abstractNumId w:val="212"/>
  </w:num>
  <w:num w:numId="241">
    <w:abstractNumId w:val="241"/>
  </w:num>
  <w:num w:numId="251">
    <w:abstractNumId w:val="251"/>
  </w:num>
  <w:num w:numId="281">
    <w:abstractNumId w:val="281"/>
  </w:num>
  <w:num w:numId="91">
    <w:abstractNumId w:val="91"/>
  </w:num>
</w:numbering>
</file>

<file path=word/settings.xml><?xml version="1.0" encoding="utf-8"?>
<w:setting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ecimalSymbol w:val=","/>
  <w:zoom w:val="100"/>
  <w:defaultTabStop w:val="720"/>
  <w:characterSpacingControl w:val="doNotCompress"/>
  <w:compat>
    <w:compatSetting w:name="compatibilityMode" w:uri="http://schemas.microsoft.com/office/word" w:val="12"/>
    <w:wpJustification/>
    <w:suppressTopSpacingWP/>
    <w:compatSetting w:name="overrideTableStyleFontSizeAndJustification" w:uri="http://schemas.microsoft.com/office/word" w:val="1"/>
    <w:compatSetting w:name="enableOpenTypeFeatures" w:uri="http://schemas.microsoft.com/office/word" w:val="1"/>
    <w:noLeading/>
    <w:noColumnbalance/>
    <w:compatSetting w:name="doNotFlipMirrorIndents" w:uri="http://schemas.microsoft.com/office/word" w:val="1"/>
  </w:compat>
</w:settings>
</file>

<file path=word/styles.xml><?xml version="1.0" encoding="utf-8"?>
<w:style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ocDefaults>
    <w:rPrDefault>
      <w:rPr>
        <w:rFonts w:ascii="Times New Roman" w:hAnsi="Times New Roman" w:eastAsia="Times New Roman" w:cs="Times New Roman"/>
        <w:kern w:val="16"/>
      </w:rPr>
    </w:rPrDefault>
    <w:pPrDefault>
      <w:pPr>
        <w:spacing w:before="0" w:after="0" w:line="240" w:lineRule="auto"/>
        <w:widowControl w:val="true"/>
      </w:pPr>
    </w:pPrDefault>
  </w:docDefaults>
</w:styles>
</file>

<file path=word/_rels/document.xml.rels><?xml version='1.0' encoding='utf-8' standalone='yes'?>
<Relationships xmlns="http://schemas.openxmlformats.org/package/2006/relationships"><Relationship TargetMode="Internal" Type="http://schemas.openxmlformats.org/officeDocument/2006/relationships/header" Id="rId13" Target="header4.xml"/><Relationship TargetMode="Internal" Type="http://schemas.openxmlformats.org/officeDocument/2006/relationships/footer" Id="rId6" Target="footer4.xml"/><Relationship TargetMode="Internal" Type="http://schemas.openxmlformats.org/officeDocument/2006/relationships/footer" Id="rId26" Target="footer20.xml"/><Relationship TargetMode="Internal" Type="http://schemas.openxmlformats.org/officeDocument/2006/relationships/footer" Id="rId34" Target="footer28.xml"/><Relationship TargetMode="Internal" Type="http://schemas.openxmlformats.org/officeDocument/2006/relationships/styles" Id="d7a584df6" Target="styles.xml"/><Relationship TargetMode="Internal" Type="http://schemas.openxmlformats.org/officeDocument/2006/relationships/header" Id="rId15" Target="header5.xml"/><Relationship TargetMode="Internal" Type="http://schemas.openxmlformats.org/officeDocument/2006/relationships/footer" Id="rId29" Target="footer23.xml"/><Relationship TargetMode="Internal" Type="http://schemas.openxmlformats.org/officeDocument/2006/relationships/footer" Id="rId24" Target="footer18.xml"/><Relationship TargetMode="External" Type="http://schemas.openxmlformats.org/officeDocument/2006/relationships/hyperlink" Id="hyp_6" Target="http://www.sec.gov/Archives/edgar/data/1495231/000152153611000468/q1100271_ex3-2.htm"/><Relationship TargetMode="Internal" Type="http://schemas.openxmlformats.org/officeDocument/2006/relationships/footer" Id="rId18" Target="footer13.xml"/><Relationship TargetMode="Internal" Type="http://schemas.openxmlformats.org/officeDocument/2006/relationships/footer" Id="rId30" Target="footer24.xml"/><Relationship TargetMode="Internal" Type="http://schemas.openxmlformats.org/officeDocument/2006/relationships/footer" Id="rId27" Target="footer21.xml"/><Relationship TargetMode="External" Type="http://schemas.openxmlformats.org/officeDocument/2006/relationships/hyperlink" Id="hyp_12" Target="izea190331ex311.htm"/><Relationship TargetMode="Internal" Type="http://schemas.openxmlformats.org/officeDocument/2006/relationships/footer" Id="rId25" Target="footer19.xml"/><Relationship TargetMode="Internal" Type="http://schemas.openxmlformats.org/officeDocument/2006/relationships/numbering" Id="dc4158451" Target="numbering.xml"/><Relationship TargetMode="Internal" Type="http://schemas.openxmlformats.org/officeDocument/2006/relationships/footer" Id="rId19" Target="footer14.xml"/><Relationship TargetMode="Internal" Type="http://schemas.openxmlformats.org/officeDocument/2006/relationships/footer" Id="rId16" Target="footer11.xml"/><Relationship TargetMode="Internal" Type="http://schemas.openxmlformats.org/officeDocument/2006/relationships/footer" Id="rId4" Target="footer3.xml"/><Relationship TargetMode="External" Type="http://schemas.openxmlformats.org/officeDocument/2006/relationships/hyperlink" Id="hyp_11" Target="http://www.sec.gov/Archives/edgar/data/1495231/000149523119000043/exhibit101-murphyemploymen.htm"/><Relationship TargetMode="Internal" Type="http://schemas.openxmlformats.org/officeDocument/2006/relationships/footer" Id="rId31" Target="footer25.xml"/><Relationship TargetMode="External" Type="http://schemas.openxmlformats.org/officeDocument/2006/relationships/hyperlink" Id="hyp_14" Target="izea190331ex321.htm"/><Relationship TargetMode="Internal" Type="http://schemas.openxmlformats.org/officeDocument/2006/relationships/footer" Id="rId36" Target="footer30.xml"/><Relationship TargetMode="Internal" Type="http://schemas.openxmlformats.org/officeDocument/2006/relationships/footer" Id="rId23" Target="footer17.xml"/><Relationship TargetMode="Internal" Type="http://schemas.openxmlformats.org/officeDocument/2006/relationships/footer" Id="rId8" Target="footer6.xml"/><Relationship TargetMode="Internal" Type="http://schemas.openxmlformats.org/officeDocument/2006/relationships/header" Id="rId21" Target="header6.xml"/><Relationship TargetMode="External" Type="http://schemas.openxmlformats.org/officeDocument/2006/relationships/hyperlink" Id="hyp_8" Target="http://www.sec.gov/Archives/edgar/data/1495231/000149523116000083/exhibit311nvmerger20160405.htm"/><Relationship TargetMode="Internal" Type="http://schemas.openxmlformats.org/officeDocument/2006/relationships/footer" Id="rId32" Target="footer26.xml"/><Relationship TargetMode="Internal" Type="http://schemas.openxmlformats.org/officeDocument/2006/relationships/footer" Id="rId20" Target="footer15.xml"/><Relationship TargetMode="Internal" Type="http://schemas.openxmlformats.org/officeDocument/2006/relationships/footer" Id="rId35" Target="footer29.xml"/><Relationship TargetMode="External" Type="http://schemas.openxmlformats.org/officeDocument/2006/relationships/hyperlink" Id="hyp_5" Target="http://www.sec.gov/Archives/edgar/data/1495231/000149523116000071/ex31certificateofamendment.htm"/><Relationship TargetMode="Internal" Type="http://schemas.openxmlformats.org/officeDocument/2006/relationships/settings" Id="da7c74aa0" Target="settings.xml"/><Relationship TargetMode="Internal" Type="http://schemas.openxmlformats.org/officeDocument/2006/relationships/header" Id="rId5" Target="header2.xml"/><Relationship TargetMode="Internal" Type="http://schemas.openxmlformats.org/officeDocument/2006/relationships/footer" Id="rId12" Target="footer9.xml"/><Relationship TargetMode="Internal" Type="http://schemas.openxmlformats.org/officeDocument/2006/relationships/footer" Id="rId17" Target="footer12.xml"/><Relationship TargetMode="Internal" Type="http://schemas.openxmlformats.org/officeDocument/2006/relationships/footer" Id="rId7" Target="footer5.xml"/><Relationship TargetMode="Internal" Type="http://schemas.openxmlformats.org/officeDocument/2006/relationships/footer" Id="rId28" Target="footer22.xml"/><Relationship TargetMode="Internal" Type="http://schemas.openxmlformats.org/officeDocument/2006/relationships/header" Id="rId10" Target="header3.xml"/><Relationship TargetMode="External" Type="http://schemas.openxmlformats.org/officeDocument/2006/relationships/hyperlink" Id="hyp_9" Target="http://www.sec.gov/Archives/edgar/data/1495231/000149523118000091/exhibit31izeaworldwidein.htm"/><Relationship TargetMode="External" Type="http://schemas.openxmlformats.org/officeDocument/2006/relationships/hyperlink" Id="hyp_10" Target="http://www.sec.gov/Archives/edgar/data/1495231/000149523119000019/exhibit101vankeemploymentc.htm"/><Relationship TargetMode="Internal" Type="http://schemas.openxmlformats.org/officeDocument/2006/relationships/footer" Id="rId14" Target="footer10.xml"/><Relationship TargetMode="Internal" Type="http://schemas.openxmlformats.org/officeDocument/2006/relationships/footer" Id="rId11" Target="footer8.xml"/><Relationship TargetMode="Internal" Type="http://schemas.openxmlformats.org/officeDocument/2006/relationships/footer" Id="rId3" Target="footer2.xml"/><Relationship TargetMode="Internal" Type="http://schemas.openxmlformats.org/officeDocument/2006/relationships/footer" Id="rId9" Target="footer7.xml"/><Relationship TargetMode="External" Type="http://schemas.openxmlformats.org/officeDocument/2006/relationships/hyperlink" Id="hyp_2" Target="http://www.sec.gov/Archives/edgar/data/1495231/000149523112000019/exhibit31certificateofchan.htm"/><Relationship TargetMode="Internal" Type="http://schemas.openxmlformats.org/officeDocument/2006/relationships/header" Id="rId1" Target="header1.xml"/><Relationship TargetMode="External" Type="http://schemas.openxmlformats.org/officeDocument/2006/relationships/hyperlink" Id="hyp_3" Target="http://www.sec.gov/Archives/edgar/data/1495231/000149523114000020/ex3-1articlesamendment2014.htm"/><Relationship TargetMode="Internal" Type="http://schemas.openxmlformats.org/officeDocument/2006/relationships/footer" Id="rId33" Target="footer27.xml"/><Relationship TargetMode="Internal" Type="http://schemas.openxmlformats.org/officeDocument/2006/relationships/footer" Id="rId2" Target="footer1.xml"/><Relationship TargetMode="Internal" Type="http://schemas.openxmlformats.org/officeDocument/2006/relationships/footer" Id="rId22" Target="footer16.xml"/><Relationship TargetMode="Internal" Type="http://schemas.openxmlformats.org/officeDocument/2006/relationships/footer" Id="rId37" Target="footer31.xml"/><Relationship TargetMode="External" Type="http://schemas.openxmlformats.org/officeDocument/2006/relationships/hyperlink" Id="hyp_15" Target="izea190331ex322.htm"/><Relationship TargetMode="External" Type="http://schemas.openxmlformats.org/officeDocument/2006/relationships/hyperlink" Id="hyp_13" Target="izea190331ex312.htm"/><Relationship TargetMode="External" Type="http://schemas.openxmlformats.org/officeDocument/2006/relationships/hyperlink" Id="hyp_7" Target="http://www.sec.gov/Archives/edgar/data/1495231/000146929911000365/izeaex31.htm"/><Relationship TargetMode="External" Type="http://schemas.openxmlformats.org/officeDocument/2006/relationships/hyperlink" Id="hyp_1" Target="http://www.sec.gov/Archives/edgar/data/1495231/000152153611000468/q1100271_ex3-1.htm"/><Relationship TargetMode="External" Type="http://schemas.openxmlformats.org/officeDocument/2006/relationships/hyperlink" Id="hyp_4" Target="http://www.sec.gov/Archives/edgar/data/1495231/000149523115000003/ex3-120150123nvcertificate.htm"/></Relationships>
</file>

<file path=word/_rels/footer1.xml.rels><?xml version='1.0' encoding='utf-8' standalone='yes'?>
<Relationships xmlns="http://schemas.openxmlformats.org/package/2006/relationships"/>
</file>

<file path=word/_rels/footer10.xml.rels><?xml version='1.0' encoding='utf-8' standalone='yes'?>
<Relationships xmlns="http://schemas.openxmlformats.org/package/2006/relationships"/>
</file>

<file path=word/_rels/footer11.xml.rels><?xml version='1.0' encoding='utf-8' standalone='yes'?>
<Relationships xmlns="http://schemas.openxmlformats.org/package/2006/relationships"/>
</file>

<file path=word/_rels/footer12.xml.rels><?xml version='1.0' encoding='utf-8' standalone='yes'?>
<Relationships xmlns="http://schemas.openxmlformats.org/package/2006/relationships"/>
</file>

<file path=word/_rels/footer13.xml.rels><?xml version='1.0' encoding='utf-8' standalone='yes'?>
<Relationships xmlns="http://schemas.openxmlformats.org/package/2006/relationships"/>
</file>

<file path=word/_rels/footer14.xml.rels><?xml version='1.0' encoding='utf-8' standalone='yes'?>
<Relationships xmlns="http://schemas.openxmlformats.org/package/2006/relationships"/>
</file>

<file path=word/_rels/footer15.xml.rels><?xml version='1.0' encoding='utf-8' standalone='yes'?>
<Relationships xmlns="http://schemas.openxmlformats.org/package/2006/relationships"/>
</file>

<file path=word/_rels/footer16.xml.rels><?xml version='1.0' encoding='utf-8' standalone='yes'?>
<Relationships xmlns="http://schemas.openxmlformats.org/package/2006/relationships"/>
</file>

<file path=word/_rels/footer17.xml.rels><?xml version='1.0' encoding='utf-8' standalone='yes'?>
<Relationships xmlns="http://schemas.openxmlformats.org/package/2006/relationships"/>
</file>

<file path=word/_rels/footer18.xml.rels><?xml version='1.0' encoding='utf-8' standalone='yes'?>
<Relationships xmlns="http://schemas.openxmlformats.org/package/2006/relationships"/>
</file>

<file path=word/_rels/footer19.xml.rels><?xml version='1.0' encoding='utf-8' standalone='yes'?>
<Relationships xmlns="http://schemas.openxmlformats.org/package/2006/relationships"/>
</file>

<file path=word/_rels/footer2.xml.rels><?xml version='1.0' encoding='utf-8' standalone='yes'?>
<Relationships xmlns="http://schemas.openxmlformats.org/package/2006/relationships"/>
</file>

<file path=word/_rels/footer20.xml.rels><?xml version='1.0' encoding='utf-8' standalone='yes'?>
<Relationships xmlns="http://schemas.openxmlformats.org/package/2006/relationships"/>
</file>

<file path=word/_rels/footer21.xml.rels><?xml version='1.0' encoding='utf-8' standalone='yes'?>
<Relationships xmlns="http://schemas.openxmlformats.org/package/2006/relationships"/>
</file>

<file path=word/_rels/footer22.xml.rels><?xml version='1.0' encoding='utf-8' standalone='yes'?>
<Relationships xmlns="http://schemas.openxmlformats.org/package/2006/relationships"/>
</file>

<file path=word/_rels/footer23.xml.rels><?xml version='1.0' encoding='utf-8' standalone='yes'?>
<Relationships xmlns="http://schemas.openxmlformats.org/package/2006/relationships"/>
</file>

<file path=word/_rels/footer24.xml.rels><?xml version='1.0' encoding='utf-8' standalone='yes'?>
<Relationships xmlns="http://schemas.openxmlformats.org/package/2006/relationships"/>
</file>

<file path=word/_rels/footer25.xml.rels><?xml version='1.0' encoding='utf-8' standalone='yes'?>
<Relationships xmlns="http://schemas.openxmlformats.org/package/2006/relationships"/>
</file>

<file path=word/_rels/footer26.xml.rels><?xml version='1.0' encoding='utf-8' standalone='yes'?>
<Relationships xmlns="http://schemas.openxmlformats.org/package/2006/relationships"/>
</file>

<file path=word/_rels/footer27.xml.rels><?xml version='1.0' encoding='utf-8' standalone='yes'?>
<Relationships xmlns="http://schemas.openxmlformats.org/package/2006/relationships"/>
</file>

<file path=word/_rels/footer28.xml.rels><?xml version='1.0' encoding='utf-8' standalone='yes'?>
<Relationships xmlns="http://schemas.openxmlformats.org/package/2006/relationships"/>
</file>

<file path=word/_rels/footer29.xml.rels><?xml version='1.0' encoding='utf-8' standalone='yes'?>
<Relationships xmlns="http://schemas.openxmlformats.org/package/2006/relationships"/>
</file>

<file path=word/_rels/footer3.xml.rels><?xml version='1.0' encoding='utf-8' standalone='yes'?>
<Relationships xmlns="http://schemas.openxmlformats.org/package/2006/relationships"/>
</file>

<file path=word/_rels/footer30.xml.rels><?xml version='1.0' encoding='utf-8' standalone='yes'?>
<Relationships xmlns="http://schemas.openxmlformats.org/package/2006/relationships"/>
</file>

<file path=word/_rels/footer31.xml.rels><?xml version='1.0' encoding='utf-8' standalone='yes'?>
<Relationships xmlns="http://schemas.openxmlformats.org/package/2006/relationships"/>
</file>

<file path=word/_rels/footer4.xml.rels><?xml version='1.0' encoding='utf-8' standalone='yes'?>
<Relationships xmlns="http://schemas.openxmlformats.org/package/2006/relationships"/>
</file>

<file path=word/_rels/footer5.xml.rels><?xml version='1.0' encoding='utf-8' standalone='yes'?>
<Relationships xmlns="http://schemas.openxmlformats.org/package/2006/relationships"/>
</file>

<file path=word/_rels/footer6.xml.rels><?xml version='1.0' encoding='utf-8' standalone='yes'?>
<Relationships xmlns="http://schemas.openxmlformats.org/package/2006/relationships"/>
</file>

<file path=word/_rels/footer7.xml.rels><?xml version='1.0' encoding='utf-8' standalone='yes'?>
<Relationships xmlns="http://schemas.openxmlformats.org/package/2006/relationships"/>
</file>

<file path=word/_rels/footer8.xml.rels><?xml version='1.0' encoding='utf-8' standalone='yes'?>
<Relationships xmlns="http://schemas.openxmlformats.org/package/2006/relationships"/>
</file>

<file path=word/_rels/footer9.xml.rels><?xml version='1.0' encoding='utf-8' standalone='yes'?>
<Relationships xmlns="http://schemas.openxmlformats.org/package/2006/relationships"/>
</file>

<file path=word/_rels/header1.xml.rels><?xml version='1.0' encoding='utf-8' standalone='yes'?>
<Relationships xmlns="http://schemas.openxmlformats.org/package/2006/relationships"/>
</file>

<file path=word/_rels/header2.xml.rels><?xml version='1.0' encoding='utf-8' standalone='yes'?>
<Relationships xmlns="http://schemas.openxmlformats.org/package/2006/relationships"/>
</file>

<file path=word/_rels/header3.xml.rels><?xml version='1.0' encoding='utf-8' standalone='yes'?>
<Relationships xmlns="http://schemas.openxmlformats.org/package/2006/relationships"/>
</file>

<file path=word/_rels/header4.xml.rels><?xml version='1.0' encoding='utf-8' standalone='yes'?>
<Relationships xmlns="http://schemas.openxmlformats.org/package/2006/relationships"/>
</file>

<file path=word/_rels/header5.xml.rels><?xml version='1.0' encoding='utf-8' standalone='yes'?>
<Relationships xmlns="http://schemas.openxmlformats.org/package/2006/relationships"/>
</file>

<file path=word/_rels/header6.xml.rels><?xml version='1.0' encoding='utf-8' standalone='yes'?>
<Relationships xmlns="http://schemas.openxmlformats.org/package/2006/relationships"/>
</file>

<file path=docProps/app.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mitype="http://purl.org/dc/dcmitype/" xmlns:dcterms="http://purl.org/dc/terms/" xmlns:dc="http://purl.org/dc/elements/1.1/" xmlns:xsi="http://www.w3.org/2001/XMLSchema-instance">
  <dc:title/>
  <dc:subject/>
  <dc:creator>workiva.com</dc:creator>
  <cp:keywords/>
  <dc:description/>
  <cp:revision>1</cp:revision>
  <cp:lastModifiedBy/>
  <dcterms:created xsi:type="dcterms:W3CDTF">2020-01-13T00:52:08Z</dcterms:created>
  <dcterms:modified xsi:type="dcterms:W3CDTF">2020-01-13T00:52:08Z</dcterms:modified>
</cp:coreProperties>
</file>