
<file path=[Content_Types].xml><?xml version="1.0" encoding="utf-8"?>
<Types xmlns="http://schemas.openxmlformats.org/package/2006/content-types">
  <Override ContentType="application/vnd.openxmlformats-officedocument.extended-properties+xml" PartName="/docProps/app.xml"/>
  <Override ContentType="application/vnd.openxmlformats-officedocument.wordprocessingml.footer+xml" PartName="/word/footer28.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12.xml"/>
  <Override ContentType="application/vnd.openxmlformats-officedocument.wordprocessingml.footer+xml" PartName="/word/footer18.xml"/>
  <Override ContentType="application/vnd.openxmlformats-officedocument.wordprocessingml.header+xml" PartName="/word/header2.xml"/>
  <Override ContentType="application/vnd.openxmlformats-officedocument.wordprocessingml.footer+xml" PartName="/word/footer9.xml"/>
  <Override ContentType="application/vnd.openxmlformats-officedocument.wordprocessingml.footer+xml" PartName="/word/footer30.xml"/>
  <Override ContentType="application/vnd.openxmlformats-officedocument.wordprocessingml.footer+xml" PartName="/word/footer22.xml"/>
  <Override ContentType="application/vnd.openxmlformats-officedocument.wordprocessingml.footer+xml" PartName="/word/footer17.xml"/>
  <Override ContentType="application/vnd.openxmlformats-officedocument.wordprocessingml.footer+xml" PartName="/word/footer14.xml"/>
  <Override ContentType="application/vnd.openxmlformats-package.core-properties+xml" PartName="/docProps/core.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5.xml"/>
  <Override ContentType="application/vnd.openxmlformats-officedocument.wordprocessingml.footer+xml" PartName="/word/footer27.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footer+xml" PartName="/word/footer8.xml"/>
  <Override ContentType="application/vnd.openxmlformats-officedocument.wordprocessingml.footer+xml" PartName="/word/footer29.xml"/>
  <Override ContentType="application/vnd.openxmlformats-officedocument.wordprocessingml.footer+xml" PartName="/word/footer26.xml"/>
  <Override ContentType="application/vnd.openxmlformats-officedocument.wordprocessingml.footer+xml" PartName="/word/footer4.xml"/>
  <Override ContentType="application/vnd.openxmlformats-officedocument.wordprocessingml.footer+xml" PartName="/word/footer23.xml"/>
  <Override ContentType="application/vnd.openxmlformats-officedocument.wordprocessingml.footer+xml" PartName="/word/footer20.xml"/>
  <Override ContentType="application/vnd.openxmlformats-officedocument.wordprocessingml.footer+xml" PartName="/word/footer13.xml"/>
  <Override ContentType="application/vnd.openxmlformats-officedocument.wordprocessingml.header+xml" PartName="/word/header6.xml"/>
  <Override ContentType="application/vnd.openxmlformats-officedocument.wordprocessingml.header+xml" PartName="/word/header3.xml"/>
  <Override ContentType="application/vnd.openxmlformats-officedocument.wordprocessingml.footer+xml" PartName="/word/footer24.xml"/>
  <Override ContentType="application/vnd.openxmlformats-officedocument.wordprocessingml.footer+xml" PartName="/word/footer19.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footer+xml" PartName="/word/footer25.xml"/>
  <Default ContentType="application/vnd.openxmlformats-package.relationships+xml" Extension="rels"/>
  <Override ContentType="application/vnd.openxmlformats-officedocument.wordprocessingml.footer+xml" PartName="/word/footer21.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header+xml" PartName="/word/header5.xml"/>
  <Override ContentType="application/vnd.openxmlformats-officedocument.wordprocessingml.footer+xml" PartName="/word/footer7.xml"/>
  <Override ContentType="application/vnd.openxmlformats-officedocument.wordprocessingml.footer+xml" PartName="/word/footer16.xml"/>
  <Override ContentType="application/vnd.openxmlformats-officedocument.wordprocessingml.footer+xml" PartName="/word/footer15.xml"/>
</Types>
</file>

<file path=_rels/.rels><?xml version='1.0' encoding='utf-8' standalone='yes'?>
<Relationships xmlns="http://schemas.openxmlformats.org/package/2006/relationships"><Relationship TargetMode="Internal" Type="http://schemas.openxmlformats.org/officeDocument/2006/extended-properties" Id="db3e0a477" Target="docProps/app.xml"/><Relationship TargetMode="Internal" Type="http://schemas.openxmlformats.org/officeDocument/2006/relationships/officeDocument" Id="d1f4dd7df" Target="word/document.xml"/><Relationship TargetMode="Internal" Type="http://schemas.openxmlformats.org/package/2006/relationships/metadata/core-properties" Id="d7085ba0c" Target="docProps/core.xml"/></Relationships>
</file>

<file path=word/document.xml><?xml version="1.0" encoding="utf-8"?>
<w:document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body>
    <w:tbl>
      <w:tblPr>
        <w:tblW w:type="dxa" w:w="10240"/>
        <w:tblLayout w:type="fixed"/>
        <w:jc w:val="center"/>
      </w:tblPr>
      <w:tblGrid>
        <w:gridCol w:w="10240"/>
      </w:tblGrid>
      <w:tr>
        <w:trPr>
          <w:trHeight w:hRule="exact" w:val="80"/>
        </w:trPr>
        <w:tc>
          <w:tcPr>
            <w:tcW w:type="dxa" w:w="10240"/>
            <w:tcMar>
              <w:left w:type="dxa" w:w="60"/>
              <w:right w:type="dxa" w:w="0"/>
            </w:tcMar>
            <w:tcBorders>
              <w:top w:val="single" w:sz="16" w:space="0"/>
              <w:bottom w:val="single" w:sz="8"/>
            </w:tcBorders>
            <w:vAlign w:val="bottom"/>
          </w:tcPr>
          <w:p>
            <w:pPr>
              <w:jc w:val="left"/>
              <w:keepLines/>
              <w:spacing w:line="240" w:lineRule="auto"/>
              <w:rPr/>
            </w:pPr>
            <w:r>
              <w:rPr/>
            </w:r>
            <w:bookmarkStart w:id="30773" w:name="Cover_Page"/>
            <w:bookmarkEnd w:id="30773"/>
          </w:p>
        </w:tc>
      </w:tr>
    </w:tbl>
    <w:p>
      <w:pPr>
        <w:jc w:val="center"/>
        <w:spacing w:before="60" w:line="288" w:lineRule="auto"/>
        <w:rPr>
          <w:rFonts w:ascii="Times New Roman" w:hAnsi="Times New Roman" w:eastAsia="Times New Roman" w:cs="Times New Roman"/>
          <w:sz w:val="22"/>
          <w:b w:val="true"/>
        </w:rPr>
      </w:pPr>
      <w:r>
        <w:rPr>
          <w:rFonts w:ascii="Times New Roman" w:hAnsi="Times New Roman" w:eastAsia="Times New Roman" w:cs="Times New Roman"/>
          <w:sz w:val="22"/>
          <w:b w:val="true"/>
        </w:rPr>
      </w:r>
    </w:p>
    <w:p>
      <w:pPr>
        <w:jc w:val="center"/>
        <w:spacing w:line="288" w:lineRule="auto"/>
        <w:rPr>
          <w:rFonts w:ascii="Times New Roman" w:hAnsi="Times New Roman" w:eastAsia="Times New Roman" w:cs="Times New Roman"/>
          <w:sz w:val="22"/>
          <w:b w:val="true"/>
        </w:rPr>
      </w:pPr>
      <w:r>
        <w:rPr>
          <w:rFonts w:ascii="Times New Roman" w:hAnsi="Times New Roman" w:eastAsia="Times New Roman" w:cs="Times New Roman"/>
          <w:sz w:val="22"/>
          <w:b w:val="true"/>
        </w:rPr>
        <w:t xml:space="preserve">UNITED STATES</w:t>
      </w:r>
    </w:p>
    <w:p>
      <w:pPr>
        <w:jc w:val="center"/>
        <w:spacing w:line="288" w:lineRule="auto"/>
        <w:rPr>
          <w:rFonts w:ascii="Times New Roman" w:hAnsi="Times New Roman" w:eastAsia="Times New Roman" w:cs="Times New Roman"/>
          <w:sz w:val="22"/>
          <w:b w:val="true"/>
        </w:rPr>
      </w:pPr>
      <w:r>
        <w:rPr>
          <w:rFonts w:ascii="Times New Roman" w:hAnsi="Times New Roman" w:eastAsia="Times New Roman" w:cs="Times New Roman"/>
          <w:sz w:val="22"/>
          <w:b w:val="true"/>
        </w:rPr>
        <w:t xml:space="preserve">SECURITIES AND EXCHANGE COMMISSION</w:t>
      </w:r>
    </w:p>
    <w:p>
      <w:pPr>
        <w:jc w:val="center"/>
        <w:spacing w:line="288" w:lineRule="auto"/>
        <w:rPr>
          <w:rFonts w:ascii="Times New Roman" w:hAnsi="Times New Roman" w:eastAsia="Times New Roman" w:cs="Times New Roman"/>
          <w:sz w:val="22"/>
          <w:b w:val="true"/>
        </w:rPr>
      </w:pPr>
      <w:r>
        <w:rPr>
          <w:rFonts w:ascii="Times New Roman" w:hAnsi="Times New Roman" w:eastAsia="Times New Roman" w:cs="Times New Roman"/>
          <w:sz w:val="22"/>
          <w:b w:val="true"/>
        </w:rPr>
        <w:t xml:space="preserve">Washington D.C. 20549</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28"/>
          <w:b w:val="true"/>
        </w:rPr>
      </w:pPr>
      <w:r>
        <w:rPr>
          <w:rFonts w:ascii="Times New Roman" w:hAnsi="Times New Roman" w:eastAsia="Times New Roman" w:cs="Times New Roman"/>
          <w:sz w:val="28"/>
          <w:b w:val="true"/>
        </w:rPr>
        <w:t xml:space="preserve">FORM 10-Q</w:t>
      </w:r>
    </w:p>
    <w:p>
      <w:pPr>
        <w:jc w:val="both"/>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 (Mark One)</w:t>
      </w:r>
    </w:p>
    <w:tbl>
      <w:tblPr>
        <w:tblW w:type="dxa" w:w="10240"/>
        <w:tblLayout w:type="fixed"/>
        <w:jc w:val="justify"/>
      </w:tblPr>
      <w:tblGrid>
        <w:gridCol w:w="440"/>
        <w:gridCol w:w="9800"/>
      </w:tblGrid>
      <w:tr>
        <w:trPr>
          <w:trHeight w:hRule="exact" w:val="300"/>
        </w:trPr>
        <w:tc>
          <w:tcPr>
            <w:tcW w:type="dxa" w:w="440"/>
            <w:tcMar>
              <w:left w:type="dxa" w:w="60"/>
              <w:right w:type="dxa" w:w="40"/>
            </w:tcMar>
            <w:tcBorders/>
            <w:vAlign w:val="top"/>
          </w:tcPr>
          <w:p>
            <w:pPr>
              <w:jc w:val="left"/>
              <w:keepLines/>
              <w:spacing w:before="40" w:after="40" w:line="240" w:lineRule="auto"/>
              <w:rPr>
                <w:rFonts w:ascii="Wingdings" w:hAnsi="Wingdings" w:eastAsia="Wingdings" w:cs="Wingdings"/>
                <w:sz w:val="20"/>
              </w:rPr>
            </w:pPr>
            <w:r>
              <w:rPr>
                <w:rFonts w:ascii="Wingdings" w:hAnsi="Wingdings" w:eastAsia="Wingdings" w:cs="Wingdings"/>
                <w:sz w:val="20"/>
                <w:color w:val="000000"/>
              </w:rPr>
              <w:t xml:space="preserve">x</w:t>
            </w:r>
          </w:p>
        </w:tc>
        <w:tc>
          <w:tcPr>
            <w:tcW w:type="dxa" w:w="9800"/>
            <w:tcMar>
              <w:left w:type="dxa" w:w="60"/>
              <w:right w:type="dxa" w:w="40"/>
            </w:tcMar>
            <w:tcBorders/>
            <w:vAlign w:val="top"/>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QUARTERLY REPORT PURSUANT TO SECTION 13 OR 15(d) OF THE SECURITIES EXCHANGE ACT OF 1934</w:t>
            </w: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For the quarterly period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r>
    </w:p>
    <w:p>
      <w:pPr>
        <w:jc w:val="center"/>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r>
    </w:p>
    <w:tbl>
      <w:tblPr>
        <w:tblW w:type="dxa" w:w="10240"/>
        <w:tblLayout w:type="fixed"/>
        <w:jc w:val="left"/>
      </w:tblPr>
      <w:tblGrid>
        <w:gridCol w:w="440"/>
        <w:gridCol w:w="9800"/>
      </w:tblGrid>
      <w:tr>
        <w:trPr>
          <w:trHeight w:hRule="exact" w:val="300"/>
        </w:trPr>
        <w:tc>
          <w:tcPr>
            <w:tcW w:type="dxa" w:w="440"/>
            <w:tcMar>
              <w:left w:type="dxa" w:w="60"/>
              <w:right w:type="dxa" w:w="40"/>
            </w:tcMar>
            <w:tcBorders/>
            <w:vAlign w:val="top"/>
          </w:tcPr>
          <w:p>
            <w:pPr>
              <w:jc w:val="left"/>
              <w:keepLines/>
              <w:spacing w:before="40" w:after="40" w:line="240" w:lineRule="auto"/>
              <w:rPr>
                <w:rFonts w:ascii="Wingdings" w:hAnsi="Wingdings" w:eastAsia="Wingdings" w:cs="Wingdings"/>
                <w:sz w:val="20"/>
              </w:rPr>
            </w:pPr>
            <w:r>
              <w:rPr>
                <w:rFonts w:ascii="Wingdings" w:hAnsi="Wingdings" w:eastAsia="Wingdings" w:cs="Wingdings"/>
                <w:sz w:val="20"/>
                <w:color w:val="000000"/>
              </w:rPr>
              <w:t xml:space="preserve">o</w:t>
            </w:r>
          </w:p>
        </w:tc>
        <w:tc>
          <w:tcPr>
            <w:tcW w:type="dxa" w:w="9800"/>
            <w:tcMar>
              <w:left w:type="dxa" w:w="60"/>
              <w:right w:type="dxa" w:w="40"/>
            </w:tcMar>
            <w:tcBorders/>
            <w:vAlign w:val="top"/>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TRANSITION REPORT PURSUANT TO SECTION 13 OR 15(d) OF THE SECURITIES EXCHANGE ACT OF 1934</w:t>
            </w: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60"/>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For the transition period from _________________ to _________________</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Commission File No.: 001-37703</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36"/>
          <w:b w:val="true"/>
        </w:rPr>
      </w:pPr>
      <w:r>
        <w:rPr>
          <w:rFonts w:ascii="Times New Roman" w:hAnsi="Times New Roman" w:eastAsia="Times New Roman" w:cs="Times New Roman"/>
          <w:sz w:val="36"/>
          <w:b w:val="true"/>
        </w:rPr>
        <w:t xml:space="preserve">IZEA WORLDWIDE, INC.</w:t>
      </w: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(Exact name of registrant as specified in its charter)</w:t>
      </w:r>
    </w:p>
    <w:p>
      <w:pPr>
        <w:jc w:val="both"/>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r>
    </w:p>
    <w:tbl>
      <w:tblPr>
        <w:tblW w:type="dxa" w:w="10240"/>
        <w:tblLayout w:type="fixed"/>
        <w:jc w:val="left"/>
      </w:tblPr>
      <w:tblGrid>
        <w:gridCol w:w="4900"/>
        <w:gridCol w:w="440"/>
        <w:gridCol w:w="4900"/>
      </w:tblGrid>
      <w:tr>
        <w:trPr>
          <w:trHeight w:hRule="exact" w:val="300"/>
        </w:trPr>
        <w:tc>
          <w:tcPr>
            <w:tcW w:type="dxa" w:w="49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Nevada</w:t>
            </w:r>
          </w:p>
        </w:tc>
        <w:tc>
          <w:tcPr>
            <w:tcW w:type="dxa" w:w="440"/>
            <w:tcMar>
              <w:left w:type="dxa" w:w="60"/>
              <w:right w:type="dxa" w:w="0"/>
            </w:tcMar>
            <w:tcBorders/>
            <w:vAlign w:val="bottom"/>
          </w:tcPr>
          <w:p>
            <w:pPr>
              <w:jc w:val="left"/>
              <w:keepNext/>
              <w:keepLines/>
              <w:spacing w:before="40" w:after="40" w:line="240" w:lineRule="auto"/>
              <w:rPr/>
            </w:pPr>
            <w:r>
              <w:rPr/>
            </w:r>
          </w:p>
        </w:tc>
        <w:tc>
          <w:tcPr>
            <w:tcW w:type="dxa" w:w="49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37-1530765</w:t>
            </w:r>
          </w:p>
        </w:tc>
      </w:tr>
      <w:tr>
        <w:trPr>
          <w:trHeight w:hRule="exact" w:val="500"/>
        </w:trPr>
        <w:tc>
          <w:tcPr>
            <w:tcW w:type="dxa" w:w="4900"/>
            <w:tcMar>
              <w:left w:type="dxa" w:w="60"/>
              <w:right w:type="dxa" w:w="60"/>
            </w:tcMar>
            <w:tcBorders/>
            <w:vAlign w:val="bottom"/>
            <w:vAlign w:val="bottom"/>
          </w:tcPr>
          <w:p>
            <w:pPr>
              <w:jc w:val="center"/>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(State or other jurisdiction of</w:t>
            </w:r>
          </w:p>
          <w:p>
            <w:pPr>
              <w:jc w:val="center"/>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incorporation or organization)</w:t>
            </w:r>
          </w:p>
        </w:tc>
        <w:tc>
          <w:tcPr>
            <w:tcW w:type="dxa" w:w="440"/>
            <w:tcMar>
              <w:left w:type="dxa" w:w="60"/>
              <w:right w:type="dxa" w:w="0"/>
            </w:tcMar>
            <w:tcBorders/>
            <w:vAlign w:val="bottom"/>
          </w:tcPr>
          <w:p>
            <w:pPr>
              <w:jc w:val="left"/>
              <w:keepLines/>
              <w:spacing w:before="40" w:after="40" w:line="240" w:lineRule="auto"/>
              <w:rPr/>
            </w:pPr>
            <w:r>
              <w:rPr/>
            </w:r>
          </w:p>
        </w:tc>
        <w:tc>
          <w:tcPr>
            <w:tcW w:type="dxa" w:w="4900"/>
            <w:tcMar>
              <w:left w:type="dxa" w:w="60"/>
              <w:right w:type="dxa" w:w="60"/>
            </w:tcMar>
            <w:tcBorders/>
            <w:vAlign w:val="bottom"/>
            <w:vAlign w:val="bottom"/>
          </w:tcPr>
          <w:p>
            <w:pPr>
              <w:jc w:val="center"/>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(I.R.S. Employer</w:t>
            </w:r>
          </w:p>
          <w:p>
            <w:pPr>
              <w:jc w:val="center"/>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Identification No.)</w:t>
            </w:r>
          </w:p>
        </w:tc>
      </w:tr>
    </w:tbl>
    <w:p>
      <w:pPr>
        <w:jc w:val="left"/>
        <w:spacing w:before="60" w:after="140" w:line="240" w:lineRule="auto"/>
        <w:rPr>
          <w:rFonts w:ascii="Times New Roman" w:hAnsi="Times New Roman" w:eastAsia="Times New Roman" w:cs="Times New Roman"/>
          <w:sz w:val="20"/>
        </w:rPr>
      </w:pPr>
      <w:r>
        <w:rPr>
          <w:rFonts w:ascii="Times New Roman" w:hAnsi="Times New Roman" w:eastAsia="Times New Roman" w:cs="Times New Roman"/>
          <w:sz w:val="20"/>
        </w:rPr>
      </w:r>
    </w:p>
    <w:tbl>
      <w:tblPr>
        <w:tblW w:type="dxa" w:w="10240"/>
        <w:tblLayout w:type="fixed"/>
        <w:jc w:val="center"/>
      </w:tblPr>
      <w:tblGrid>
        <w:gridCol w:w="4900"/>
        <w:gridCol w:w="440"/>
        <w:gridCol w:w="4900"/>
      </w:tblGrid>
      <w:tr>
        <w:trPr>
          <w:trHeight w:hRule="exact" w:val="500"/>
        </w:trPr>
        <w:tc>
          <w:tcPr>
            <w:tcW w:type="dxa" w:w="4900"/>
            <w:tcMar>
              <w:left w:type="dxa" w:w="60"/>
              <w:right w:type="dxa" w:w="60"/>
            </w:tcMar>
            <w:tcBorders>
              <w:bottom w:val="single" w:sz="8"/>
            </w:tcBorders>
            <w:vAlign w:val="bottom"/>
            <w:vAlign w:val="bottom"/>
          </w:tcPr>
          <w:p>
            <w:pPr>
              <w:jc w:val="center"/>
              <w:keepNext/>
              <w:keepLines/>
              <w:spacing w:before="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480 N. Orlando Avenue, Suite 200</w:t>
            </w:r>
          </w:p>
          <w:p>
            <w:pPr>
              <w:jc w:val="center"/>
              <w:keepNext/>
              <w:keepLines/>
              <w:spacing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Winter Park, FL</w:t>
            </w:r>
          </w:p>
        </w:tc>
        <w:tc>
          <w:tcPr>
            <w:tcW w:type="dxa" w:w="440"/>
            <w:tcMar>
              <w:left w:type="dxa" w:w="60"/>
              <w:right w:type="dxa" w:w="0"/>
            </w:tcMar>
            <w:tcBorders/>
            <w:vAlign w:val="bottom"/>
          </w:tcPr>
          <w:p>
            <w:pPr>
              <w:jc w:val="left"/>
              <w:keepNext/>
              <w:keepLines/>
              <w:spacing w:before="40" w:after="40" w:line="240" w:lineRule="auto"/>
              <w:rPr/>
            </w:pPr>
            <w:r>
              <w:rPr/>
            </w:r>
          </w:p>
        </w:tc>
        <w:tc>
          <w:tcPr>
            <w:tcW w:type="dxa" w:w="49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32789</w:t>
            </w:r>
          </w:p>
        </w:tc>
      </w:tr>
      <w:tr>
        <w:trPr>
          <w:trHeight w:hRule="exact" w:val="300"/>
        </w:trPr>
        <w:tc>
          <w:tcPr>
            <w:tcW w:type="dxa" w:w="4900"/>
            <w:tcMar>
              <w:left w:type="dxa" w:w="60"/>
              <w:right w:type="dxa" w:w="60"/>
            </w:tcMar>
            <w:tcBorders/>
            <w:vAlign w:val="top"/>
          </w:tcPr>
          <w:p>
            <w:pPr>
              <w:jc w:val="center"/>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(Address of principal executive offices)</w:t>
            </w:r>
          </w:p>
        </w:tc>
        <w:tc>
          <w:tcPr>
            <w:tcW w:type="dxa" w:w="440"/>
            <w:tcMar>
              <w:left w:type="dxa" w:w="60"/>
              <w:right w:type="dxa" w:w="0"/>
            </w:tcMar>
            <w:tcBorders/>
            <w:vAlign w:val="bottom"/>
          </w:tcPr>
          <w:p>
            <w:pPr>
              <w:jc w:val="left"/>
              <w:keepLines/>
              <w:spacing w:before="40" w:after="40" w:line="240" w:lineRule="auto"/>
              <w:rPr/>
            </w:pPr>
            <w:r>
              <w:rPr/>
            </w:r>
          </w:p>
        </w:tc>
        <w:tc>
          <w:tcPr>
            <w:tcW w:type="dxa" w:w="4900"/>
            <w:tcMar>
              <w:left w:type="dxa" w:w="60"/>
              <w:right w:type="dxa" w:w="60"/>
            </w:tcMar>
            <w:tcBorders/>
            <w:vAlign w:val="top"/>
          </w:tcPr>
          <w:p>
            <w:pPr>
              <w:jc w:val="center"/>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(Zip Code)</w:t>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Registrant’s telephone number, including area code:   </w:t>
      </w:r>
      <w:r>
        <w:rPr>
          <w:rFonts w:ascii="Times New Roman" w:hAnsi="Times New Roman" w:eastAsia="Times New Roman" w:cs="Times New Roman"/>
          <w:sz w:val="20"/>
          <w:b w:val="true"/>
        </w:rPr>
        <w:t xml:space="preserve">(407) 674-6911</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18"/>
        </w:rPr>
      </w:pPr>
      <w:r>
        <w:rPr>
          <w:rFonts w:ascii="Times New Roman" w:hAnsi="Times New Roman" w:eastAsia="Times New Roman" w:cs="Times New Roman"/>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hAnsi="Wingdings" w:eastAsia="Wingdings" w:cs="Wingdings"/>
          <w:sz w:val="18"/>
        </w:rPr>
        <w:t xml:space="preserve">x</w:t>
      </w:r>
      <w:r>
        <w:rPr>
          <w:rFonts w:ascii="Times New Roman" w:hAnsi="Times New Roman" w:eastAsia="Times New Roman" w:cs="Times New Roman"/>
          <w:sz w:val="18"/>
        </w:rPr>
        <w:t xml:space="preserve">  No   </w:t>
      </w:r>
      <w:r>
        <w:rPr>
          <w:rFonts w:ascii="Wingdings" w:hAnsi="Wingdings" w:eastAsia="Wingdings" w:cs="Wingdings"/>
          <w:sz w:val="18"/>
        </w:rPr>
        <w:t xml:space="preserve">o</w:t>
      </w:r>
    </w:p>
    <w:p>
      <w:pPr>
        <w:jc w:val="both"/>
        <w:spacing w:line="288" w:lineRule="auto"/>
        <w:rPr>
          <w:rFonts w:ascii="Times New Roman" w:hAnsi="Times New Roman" w:eastAsia="Times New Roman" w:cs="Times New Roman"/>
          <w:sz w:val="18"/>
        </w:rPr>
      </w:pPr>
      <w:r>
        <w:rPr>
          <w:rFonts w:ascii="Times New Roman" w:hAnsi="Times New Roman" w:eastAsia="Times New Roman" w:cs="Times New Roman"/>
          <w:sz w:val="18"/>
        </w:rPr>
      </w:r>
    </w:p>
    <w:p>
      <w:pPr>
        <w:jc w:val="left"/>
        <w:spacing w:line="288" w:lineRule="auto"/>
        <w:rPr>
          <w:rFonts w:ascii="Times New Roman" w:hAnsi="Times New Roman" w:eastAsia="Times New Roman" w:cs="Times New Roman"/>
          <w:sz w:val="18"/>
        </w:rPr>
      </w:pPr>
      <w:r>
        <w:rPr>
          <w:rFonts w:ascii="Times New Roman" w:hAnsi="Times New Roman" w:eastAsia="Times New Roman" w:cs="Times New Roman"/>
          <w:sz w:val="18"/>
        </w:rPr>
        <w:t xml:space="preserve">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Pr>
          <w:rFonts w:ascii="Wingdings" w:hAnsi="Wingdings" w:eastAsia="Wingdings" w:cs="Wingdings"/>
          <w:sz w:val="18"/>
        </w:rPr>
        <w:t xml:space="preserve">x</w:t>
      </w:r>
      <w:r>
        <w:rPr>
          <w:rFonts w:ascii="Times New Roman" w:hAnsi="Times New Roman" w:eastAsia="Times New Roman" w:cs="Times New Roman"/>
          <w:sz w:val="18"/>
        </w:rPr>
        <w:t xml:space="preserve">    No  </w:t>
      </w:r>
      <w:r>
        <w:rPr>
          <w:rFonts w:ascii="Wingdings" w:hAnsi="Wingdings" w:eastAsia="Wingdings" w:cs="Wingdings"/>
          <w:sz w:val="18"/>
        </w:rPr>
        <w:t xml:space="preserve">o</w:t>
      </w:r>
    </w:p>
    <w:p>
      <w:pPr>
        <w:jc w:val="both"/>
        <w:spacing w:line="288" w:lineRule="auto"/>
        <w:rPr>
          <w:rFonts w:ascii="Times New Roman" w:hAnsi="Times New Roman" w:eastAsia="Times New Roman" w:cs="Times New Roman"/>
          <w:sz w:val="18"/>
        </w:rPr>
      </w:pPr>
      <w:r>
        <w:rPr>
          <w:rFonts w:ascii="Times New Roman" w:hAnsi="Times New Roman" w:eastAsia="Times New Roman" w:cs="Times New Roman"/>
          <w:sz w:val="18"/>
        </w:rPr>
      </w:r>
    </w:p>
    <w:p>
      <w:pPr>
        <w:jc w:val="left"/>
        <w:spacing w:after="140" w:line="288" w:lineRule="auto"/>
        <w:rPr>
          <w:rFonts w:ascii="Times New Roman" w:hAnsi="Times New Roman" w:eastAsia="Times New Roman" w:cs="Times New Roman"/>
          <w:sz w:val="18"/>
        </w:rPr>
      </w:pPr>
      <w:r>
        <w:rPr>
          <w:rFonts w:ascii="Times New Roman" w:hAnsi="Times New Roman" w:eastAsia="Times New Roman" w:cs="Times New Roman"/>
          <w:sz w:val="18"/>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W w:type="dxa" w:w="10240"/>
        <w:tblLayout w:type="fixed"/>
        <w:jc w:val="left"/>
      </w:tblPr>
      <w:tblGrid>
        <w:gridCol w:w="2800"/>
        <w:gridCol w:w="4620"/>
        <w:gridCol w:w="2820"/>
      </w:tblGrid>
      <w:tr>
        <w:trPr>
          <w:trHeight w:hRule="exact" w:val="280"/>
        </w:trPr>
        <w:tc>
          <w:tcPr>
            <w:tcW w:type="dxa" w:w="28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Large accelerated filer  </w:t>
            </w:r>
            <w:r>
              <w:rPr>
                <w:rFonts w:ascii="Wingdings" w:hAnsi="Wingdings" w:eastAsia="Wingdings" w:cs="Wingdings"/>
                <w:sz w:val="18"/>
              </w:rPr>
              <w:t xml:space="preserve">o</w:t>
            </w:r>
          </w:p>
        </w:tc>
        <w:tc>
          <w:tcPr>
            <w:tcW w:type="dxa" w:w="462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Accelerated filer  </w:t>
            </w:r>
            <w:r>
              <w:rPr>
                <w:rFonts w:ascii="Wingdings" w:hAnsi="Wingdings" w:eastAsia="Wingdings" w:cs="Wingdings"/>
                <w:sz w:val="18"/>
              </w:rPr>
              <w:t xml:space="preserve">o</w:t>
            </w:r>
          </w:p>
        </w:tc>
        <w:tc>
          <w:tcPr>
            <w:tcW w:type="dxa" w:w="28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Smaller reporting company </w:t>
            </w:r>
            <w:r>
              <w:rPr>
                <w:rFonts w:ascii="Wingdings" w:hAnsi="Wingdings" w:eastAsia="Wingdings" w:cs="Wingdings"/>
                <w:sz w:val="18"/>
              </w:rPr>
              <w:t xml:space="preserve">x</w:t>
            </w:r>
          </w:p>
        </w:tc>
      </w:tr>
      <w:tr>
        <w:trPr>
          <w:trHeight w:hRule="exact" w:val="280"/>
        </w:trPr>
        <w:tc>
          <w:tcPr>
            <w:tcW w:type="dxa" w:w="280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Non-accelerated filer  </w:t>
            </w:r>
            <w:r>
              <w:rPr>
                <w:rFonts w:ascii="Wingdings" w:hAnsi="Wingdings" w:eastAsia="Wingdings" w:cs="Wingdings"/>
                <w:sz w:val="18"/>
              </w:rPr>
              <w:t xml:space="preserve">x</w:t>
            </w:r>
          </w:p>
        </w:tc>
        <w:tc>
          <w:tcPr>
            <w:tcW w:type="dxa" w:w="4620"/>
            <w:tcMar>
              <w:left w:type="dxa" w:w="60"/>
              <w:right w:type="dxa" w:w="0"/>
            </w:tcMar>
            <w:tcBorders/>
            <w:vAlign w:val="top"/>
          </w:tcPr>
          <w:p>
            <w:pPr>
              <w:jc w:val="left"/>
              <w:keepLines/>
              <w:spacing w:before="40" w:after="40" w:line="240" w:lineRule="auto"/>
              <w:rPr/>
            </w:pPr>
            <w:r>
              <w:rPr/>
            </w:r>
          </w:p>
        </w:tc>
        <w:tc>
          <w:tcPr>
            <w:tcW w:type="dxa" w:w="282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rPr>
              <w:t xml:space="preserve">Emerging growth company  </w:t>
            </w:r>
            <w:r>
              <w:rPr>
                <w:rFonts w:ascii="Wingdings" w:hAnsi="Wingdings" w:eastAsia="Wingdings" w:cs="Wingdings"/>
                <w:sz w:val="18"/>
              </w:rPr>
              <w:t xml:space="preserve">o</w:t>
            </w:r>
          </w:p>
        </w:tc>
      </w:tr>
    </w:tbl>
    <w:p>
      <w:pPr>
        <w:jc w:val="left"/>
        <w:spacing w:before="60" w:line="288" w:lineRule="auto"/>
        <w:rPr>
          <w:rFonts w:ascii="Times New Roman" w:hAnsi="Times New Roman" w:eastAsia="Times New Roman" w:cs="Times New Roman"/>
          <w:sz w:val="18"/>
        </w:rPr>
      </w:pPr>
      <w:r>
        <w:rPr>
          <w:rFonts w:ascii="Times New Roman" w:hAnsi="Times New Roman" w:eastAsia="Times New Roman" w:cs="Times New Roman"/>
          <w:sz w:val="18"/>
        </w:rPr>
      </w:r>
    </w:p>
    <w:p>
      <w:pPr>
        <w:jc w:val="left"/>
        <w:spacing w:line="288" w:lineRule="auto"/>
        <w:rPr>
          <w:rFonts w:ascii="Times New Roman" w:hAnsi="Times New Roman" w:eastAsia="Times New Roman" w:cs="Times New Roman"/>
          <w:sz w:val="18"/>
        </w:rPr>
      </w:pPr>
      <w:r>
        <w:rPr>
          <w:rFonts w:ascii="Times New Roman" w:hAnsi="Times New Roman" w:eastAsia="Times New Roman" w:cs="Times New Roman"/>
          <w:sz w:val="18"/>
        </w:rPr>
        <w:t xml:space="preserve">If an emerging growth company, indicate by check mark if the registrant has elected not to use the extended transition period for complying with any new or revised financial accounting standards pursuant to Section 13(a) of the Exchange Act. </w:t>
      </w:r>
      <w:r>
        <w:rPr>
          <w:rFonts w:ascii="Wingdings" w:hAnsi="Wingdings" w:eastAsia="Wingdings" w:cs="Wingdings"/>
          <w:sz w:val="18"/>
        </w:rPr>
        <w:t xml:space="preserve">o</w:t>
      </w:r>
    </w:p>
    <w:p>
      <w:pPr>
        <w:jc w:val="left"/>
        <w:spacing w:line="288" w:lineRule="auto"/>
        <w:rPr>
          <w:rFonts w:ascii="Wingdings" w:hAnsi="Wingdings" w:eastAsia="Wingdings" w:cs="Wingdings"/>
          <w:sz w:val="18"/>
        </w:rPr>
      </w:pPr>
      <w:r>
        <w:rPr>
          <w:rFonts w:ascii="Wingdings" w:hAnsi="Wingdings" w:eastAsia="Wingdings" w:cs="Wingdings"/>
          <w:sz w:val="18"/>
        </w:rPr>
      </w:r>
    </w:p>
    <w:p>
      <w:pPr>
        <w:jc w:val="left"/>
        <w:spacing w:line="288" w:lineRule="auto"/>
        <w:rPr>
          <w:rFonts w:ascii="Times New Roman" w:hAnsi="Times New Roman" w:eastAsia="Times New Roman" w:cs="Times New Roman"/>
          <w:sz w:val="18"/>
        </w:rPr>
      </w:pPr>
      <w:r>
        <w:rPr>
          <w:rFonts w:ascii="Times New Roman" w:hAnsi="Times New Roman" w:eastAsia="Times New Roman" w:cs="Times New Roman"/>
          <w:sz w:val="18"/>
        </w:rPr>
        <w:t xml:space="preserve">Indicate by check mark whether the registrant is a shell company (as defined in Rule 12b-2 of the Exchange Act).  Yes    </w:t>
      </w:r>
      <w:r>
        <w:rPr>
          <w:rFonts w:ascii="Wingdings" w:hAnsi="Wingdings" w:eastAsia="Wingdings" w:cs="Wingdings"/>
          <w:sz w:val="18"/>
        </w:rPr>
        <w:t xml:space="preserve">o</w:t>
      </w:r>
      <w:r>
        <w:rPr>
          <w:rFonts w:ascii="Times New Roman" w:hAnsi="Times New Roman" w:eastAsia="Times New Roman" w:cs="Times New Roman"/>
          <w:sz w:val="18"/>
        </w:rPr>
        <w:t xml:space="preserve">   No   </w:t>
      </w:r>
      <w:r>
        <w:rPr>
          <w:rFonts w:ascii="Wingdings" w:hAnsi="Wingdings" w:eastAsia="Wingdings" w:cs="Wingdings"/>
          <w:sz w:val="18"/>
        </w:rPr>
        <w:t xml:space="preserve">x</w:t>
      </w:r>
    </w:p>
    <w:p>
      <w:pPr>
        <w:jc w:val="left"/>
        <w:spacing w:line="288" w:lineRule="auto"/>
        <w:rPr>
          <w:rFonts w:ascii="Times New Roman" w:hAnsi="Times New Roman" w:eastAsia="Times New Roman" w:cs="Times New Roman"/>
          <w:sz w:val="18"/>
        </w:rPr>
      </w:pPr>
      <w:r>
        <w:rPr>
          <w:rFonts w:ascii="Times New Roman" w:hAnsi="Times New Roman" w:eastAsia="Times New Roman" w:cs="Times New Roman"/>
          <w:sz w:val="18"/>
        </w:rPr>
      </w:r>
    </w:p>
    <w:p>
      <w:pPr>
        <w:ind w:firstLine="720"/>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APPLICABLE ONLY TO CORPORATE REGISTRANTS</w:t>
      </w:r>
    </w:p>
    <w:p>
      <w:pPr>
        <w:jc w:val="both"/>
        <w:spacing w:line="288" w:lineRule="auto"/>
        <w:rPr>
          <w:rFonts w:ascii="Times New Roman" w:hAnsi="Times New Roman" w:eastAsia="Times New Roman" w:cs="Times New Roman"/>
          <w:sz w:val="18"/>
        </w:rPr>
      </w:pPr>
      <w:r>
        <w:rPr>
          <w:rFonts w:ascii="Times New Roman" w:hAnsi="Times New Roman" w:eastAsia="Times New Roman" w:cs="Times New Roman"/>
          <w:sz w:val="18"/>
        </w:rPr>
      </w:r>
    </w:p>
    <w:p>
      <w:pPr>
        <w:jc w:val="both"/>
        <w:spacing w:line="288" w:lineRule="auto"/>
        <w:rPr>
          <w:rFonts w:ascii="Times New Roman" w:hAnsi="Times New Roman" w:eastAsia="Times New Roman" w:cs="Times New Roman"/>
          <w:sz w:val="18"/>
        </w:rPr>
      </w:pPr>
      <w:r>
        <w:rPr>
          <w:rFonts w:ascii="Times New Roman" w:hAnsi="Times New Roman" w:eastAsia="Times New Roman" w:cs="Times New Roman"/>
          <w:sz w:val="18"/>
        </w:rPr>
        <w:t xml:space="preserve"> As of </w:t>
      </w:r>
      <w:r>
        <w:rPr>
          <w:rFonts w:ascii="Times New Roman" w:hAnsi="Times New Roman" w:eastAsia="Times New Roman" w:cs="Times New Roman"/>
          <w:sz w:val="18"/>
        </w:rPr>
        <w:t xml:space="preserve">November 12, 2018</w:t>
      </w:r>
      <w:r>
        <w:rPr>
          <w:rFonts w:ascii="Times New Roman" w:hAnsi="Times New Roman" w:eastAsia="Times New Roman" w:cs="Times New Roman"/>
          <w:sz w:val="18"/>
        </w:rPr>
        <w:t xml:space="preserve">, there were </w:t>
      </w:r>
      <w:r>
        <w:rPr>
          <w:rFonts w:ascii="Times New Roman" w:hAnsi="Times New Roman" w:eastAsia="Times New Roman" w:cs="Times New Roman"/>
          <w:sz w:val="18"/>
        </w:rPr>
        <w:t xml:space="preserve">12,073,031</w:t>
      </w:r>
      <w:r>
        <w:rPr>
          <w:rFonts w:ascii="Times New Roman" w:hAnsi="Times New Roman" w:eastAsia="Times New Roman" w:cs="Times New Roman"/>
          <w:sz w:val="18"/>
        </w:rPr>
        <w:t xml:space="preserve"> shares of our common stock outstanding.</w:t>
      </w:r>
    </w:p>
    <w:p>
      <w:pPr>
        <w:sectPr>
          <w:pgNumType w:fmt="decimal" w:chapSep="period"/>
          <w:pgSz w:w="12240" w:h="15840"/>
          <w:pgMar w:top="860" w:left="1000" w:right="1000" w:bottom="860" w:footer="660" w:gutter="0" w:header="160"/>
          <w:headerReference r:id="rId1" w:type="default"/>
          <w:footerReference r:id="rId2" w:type="default"/>
        </w:sectPr>
      </w:pP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bookmarkStart w:id="3620" w:name="Table_of_Contents"/>
      <w:bookmarkEnd w:id="3620"/>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6930"/>
          <w:tab w:val="left" w:pos="7200"/>
          <w:tab w:val="left" w:pos="7920"/>
          <w:tab w:val="left" w:pos="8640"/>
          <w:tab w:val="left" w:pos="9360"/>
          <w:tab w:val="left" w:pos="10080"/>
          <w:tab w:val="left" w:pos="10800"/>
          <w:tab w:val="left" w:pos="11520"/>
        </w:tabs>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Quarterly Report on Form 10-Q for the period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Table of Contents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r>
    </w:p>
    <w:tbl>
      <w:tblPr>
        <w:tblW w:type="dxa" w:w="10240"/>
        <w:tblLayout w:type="fixed"/>
        <w:jc w:val="left"/>
      </w:tblPr>
      <w:tblGrid>
        <w:gridCol w:w="9520"/>
        <w:gridCol w:w="720"/>
      </w:tblGrid>
      <w:tr>
        <w:trPr>
          <w:trHeight w:hRule="exact" w:val="880"/>
        </w:trPr>
        <w:tc>
          <w:tcPr>
            <w:tcW w:type="dxa" w:w="9520"/>
            <w:tcMar>
              <w:left w:type="dxa" w:w="60"/>
              <w:right w:type="dxa" w:w="0"/>
            </w:tcMar>
            <w:tcBorders/>
            <w:vAlign w:val="bottom"/>
          </w:tcPr>
          <w:p>
            <w:pPr>
              <w:jc w:val="left"/>
              <w:keepNext/>
              <w:keepLines/>
              <w:spacing w:before="40" w:after="40" w:line="240" w:lineRule="auto"/>
              <w:rPr/>
            </w:pPr>
            <w:r>
              <w:rPr/>
            </w:r>
          </w:p>
        </w:tc>
        <w:tc>
          <w:tcPr>
            <w:tcW w:type="dxa" w:w="72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Page</w:t>
            </w:r>
          </w:p>
        </w:tc>
      </w:tr>
      <w:tr>
        <w:trPr>
          <w:trHeight w:hRule="exact" w:val="280"/>
        </w:trPr>
        <w:tc>
          <w:tcPr>
            <w:tcW w:type="dxa" w:w="95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UnknownSection">
              <w:r>
                <w:rPr>
                  <w:rFonts w:ascii="Times New Roman" w:hAnsi="Times New Roman" w:eastAsia="Times New Roman" w:cs="Times New Roman"/>
                  <w:sz w:val="20"/>
                  <w:color w:val="0000ff"/>
                  <w:u w:val="single" w:color="0000ff"/>
                </w:rPr>
                <w:t xml:space="preserve">PART I.  FINANCIAL INFORMATION</w:t>
              </w:r>
            </w:hyperlink>
          </w:p>
        </w:tc>
        <w:tc>
          <w:tcPr>
            <w:tcW w:type="dxa" w:w="720"/>
            <w:tcMar>
              <w:left w:type="dxa" w:w="60"/>
              <w:right w:type="dxa" w:w="0"/>
            </w:tcMar>
            <w:tcBorders/>
            <w:vAlign w:val="bottom"/>
          </w:tcPr>
          <w:p>
            <w:pPr>
              <w:jc w:val="left"/>
              <w:keepNext/>
              <w:keepLines/>
              <w:spacing w:before="40" w:after="40" w:line="240" w:lineRule="auto"/>
              <w:rPr/>
            </w:pPr>
            <w:r>
              <w:rPr/>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UnknownSection">
              <w:r>
                <w:rPr>
                  <w:rFonts w:ascii="Times New Roman" w:hAnsi="Times New Roman" w:eastAsia="Times New Roman" w:cs="Times New Roman"/>
                  <w:sz w:val="20"/>
                  <w:color w:val="0000ff"/>
                  <w:u w:val="single" w:color="0000ff"/>
                </w:rPr>
                <w:t xml:space="preserve">Item 1.     Financial Statements</w:t>
              </w:r>
            </w:hyperlink>
          </w:p>
        </w:tc>
        <w:tc>
          <w:tcPr>
            <w:tcW w:type="dxa" w:w="720"/>
            <w:tcMar>
              <w:left w:type="dxa" w:w="60"/>
              <w:right w:type="dxa" w:w="0"/>
            </w:tcMar>
            <w:tcBorders/>
            <w:vAlign w:val="bottom"/>
          </w:tcPr>
          <w:p>
            <w:pPr>
              <w:jc w:val="left"/>
              <w:keepNext/>
              <w:keepLines/>
              <w:spacing w:before="40" w:after="40" w:line="240" w:lineRule="auto"/>
              <w:rPr/>
            </w:pPr>
            <w:r>
              <w:rPr/>
            </w:r>
          </w:p>
        </w:tc>
      </w:tr>
      <w:tr>
        <w:trPr>
          <w:trHeight w:hRule="exact" w:val="280"/>
        </w:trPr>
        <w:tc>
          <w:tcPr>
            <w:tcW w:type="dxa" w:w="9520"/>
            <w:tcMar>
              <w:left w:type="dxa" w:w="10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Unaudited_Consolidated_Balance_Sheets">
              <w:r>
                <w:rPr>
                  <w:rFonts w:ascii="Times New Roman" w:hAnsi="Times New Roman" w:eastAsia="Times New Roman" w:cs="Times New Roman"/>
                  <w:sz w:val="20"/>
                  <w:color w:val="0000ff"/>
                  <w:u w:val="single" w:color="0000ff"/>
                </w:rPr>
                <w:t xml:space="preserve">Unaudited Consolidated Balance Sheets as of September 30, 2018 and December 31, 2017</w:t>
              </w:r>
            </w:hyperlink>
          </w:p>
        </w:tc>
        <w:tc>
          <w:tcPr>
            <w:tcW w:type="dxa" w:w="720"/>
            <w:tcMar>
              <w:left w:type="dxa" w:w="0"/>
              <w:right w:type="dxa" w:w="60"/>
            </w:tcMar>
            <w:tcBorders/>
            <w:vAlign w:val="bottom"/>
          </w:tcPr>
          <w:p>
            <w:pPr>
              <w:jc w:val="right"/>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Unaudited_Consolidated_Balance_Sheets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1</w:t>
            </w:r>
            <w:r>
              <w:rPr>
                <w:rFonts w:ascii="Times New Roman" w:hAnsi="Times New Roman" w:eastAsia="Times New Roman" w:cs="Times New Roman"/>
                <w:sz w:val="20"/>
                <w:color w:val="0000ff"/>
                <w:u w:val="single" w:color="0000ff"/>
              </w:rPr>
              <w:fldChar w:fldCharType="end"/>
            </w:r>
          </w:p>
        </w:tc>
      </w:tr>
      <w:tr>
        <w:trPr>
          <w:trHeight w:hRule="exact" w:val="500"/>
        </w:trPr>
        <w:tc>
          <w:tcPr>
            <w:tcW w:type="dxa" w:w="9520"/>
            <w:tcMar>
              <w:left w:type="dxa" w:w="10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Unaudited_Consolidated_Statements_of_Ope">
              <w:r>
                <w:rPr>
                  <w:rFonts w:ascii="Times New Roman" w:hAnsi="Times New Roman" w:eastAsia="Times New Roman" w:cs="Times New Roman"/>
                  <w:sz w:val="20"/>
                  <w:color w:val="0000ff"/>
                  <w:u w:val="single" w:color="0000ff"/>
                </w:rPr>
                <w:t xml:space="preserve">Unaudited Consolidated Statements of Operations for the three and nine months ended September 30, 2018 and 2017</w:t>
              </w:r>
            </w:hyperlink>
          </w:p>
        </w:tc>
        <w:tc>
          <w:tcPr>
            <w:tcW w:type="dxa" w:w="72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Unaudited_Consolidated_Statements_of_Ope</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2</w:t>
            </w:r>
            <w:r>
              <w:rPr>
                <w:rFonts w:ascii="Times New Roman" w:hAnsi="Times New Roman" w:eastAsia="Times New Roman" w:cs="Times New Roman"/>
                <w:sz w:val="20"/>
                <w:color w:val="0000ff"/>
                <w:u w:val="single" w:color="0000ff"/>
              </w:rPr>
              <w:fldChar w:fldCharType="end"/>
            </w:r>
          </w:p>
        </w:tc>
      </w:tr>
      <w:tr>
        <w:trPr>
          <w:trHeight w:hRule="exact" w:val="500"/>
        </w:trPr>
        <w:tc>
          <w:tcPr>
            <w:tcW w:type="dxa" w:w="9520"/>
            <w:tcMar>
              <w:left w:type="dxa" w:w="10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Unaudited_Consolidated_Statement_of_Stoc">
              <w:r>
                <w:rPr>
                  <w:rFonts w:ascii="Times New Roman" w:hAnsi="Times New Roman" w:eastAsia="Times New Roman" w:cs="Times New Roman"/>
                  <w:sz w:val="20"/>
                  <w:color w:val="0000ff"/>
                  <w:u w:val="single" w:color="0000ff"/>
                </w:rPr>
                <w:t xml:space="preserve">Unaudited Consolidated Statement of Stockholders’ Equity for the nine months ended September 30, 2018</w:t>
              </w:r>
            </w:hyperlink>
          </w:p>
        </w:tc>
        <w:tc>
          <w:tcPr>
            <w:tcW w:type="dxa" w:w="72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Unaudited_Consolidated_Statement_of_Stoc</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3</w:t>
            </w:r>
            <w:r>
              <w:rPr>
                <w:rFonts w:ascii="Times New Roman" w:hAnsi="Times New Roman" w:eastAsia="Times New Roman" w:cs="Times New Roman"/>
                <w:sz w:val="20"/>
                <w:color w:val="0000ff"/>
                <w:u w:val="single" w:color="0000ff"/>
              </w:rPr>
              <w:fldChar w:fldCharType="end"/>
            </w:r>
          </w:p>
        </w:tc>
      </w:tr>
      <w:tr>
        <w:trPr>
          <w:trHeight w:hRule="exact" w:val="500"/>
        </w:trPr>
        <w:tc>
          <w:tcPr>
            <w:tcW w:type="dxa" w:w="9520"/>
            <w:tcMar>
              <w:left w:type="dxa" w:w="10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Unaudited_Consolidated_Statements_of_Cas">
              <w:r>
                <w:rPr>
                  <w:rFonts w:ascii="Times New Roman" w:hAnsi="Times New Roman" w:eastAsia="Times New Roman" w:cs="Times New Roman"/>
                  <w:sz w:val="20"/>
                  <w:color w:val="0000ff"/>
                  <w:u w:val="single" w:color="0000ff"/>
                </w:rPr>
                <w:t xml:space="preserve">Unaudited Consolidated Statements of Cash Flows for the three and nine months ended September 30, 2018 and 2017</w:t>
              </w:r>
            </w:hyperlink>
          </w:p>
        </w:tc>
        <w:tc>
          <w:tcPr>
            <w:tcW w:type="dxa" w:w="72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Unaudited_Consolidated_Statements_of_Cas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10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Unaudited_Notes_to_the_Consolidated_Fina">
              <w:r>
                <w:rPr>
                  <w:rFonts w:ascii="Times New Roman" w:hAnsi="Times New Roman" w:eastAsia="Times New Roman" w:cs="Times New Roman"/>
                  <w:sz w:val="20"/>
                  <w:color w:val="0000ff"/>
                  <w:u w:val="single" w:color="0000ff"/>
                </w:rPr>
                <w:t xml:space="preserve">Notes to the Unaudited Consolidated Financial Statements</w:t>
              </w:r>
            </w:hyperlink>
          </w:p>
        </w:tc>
        <w:tc>
          <w:tcPr>
            <w:tcW w:type="dxa" w:w="720"/>
            <w:tcMar>
              <w:left w:type="dxa" w:w="0"/>
              <w:right w:type="dxa" w:w="60"/>
            </w:tcMar>
            <w:tcBorders/>
            <w:vAlign w:val="bottom"/>
          </w:tcPr>
          <w:p>
            <w:pPr>
              <w:jc w:val="right"/>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Unaudited_Notes_to_the_Consolidated_Fina</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5</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2____Management_s_Discussion_and_An">
              <w:r>
                <w:rPr>
                  <w:rFonts w:ascii="Times New Roman" w:hAnsi="Times New Roman" w:eastAsia="Times New Roman" w:cs="Times New Roman"/>
                  <w:sz w:val="20"/>
                  <w:color w:val="0000ff"/>
                  <w:u w:val="single" w:color="0000ff"/>
                </w:rPr>
                <w:t xml:space="preserve">Item 2.     Management’s Discussion and Analysis of Financial Condition and Results of Operations</w:t>
              </w:r>
            </w:hyperlink>
          </w:p>
        </w:tc>
        <w:tc>
          <w:tcPr>
            <w:tcW w:type="dxa" w:w="720"/>
            <w:tcMar>
              <w:left w:type="dxa" w:w="0"/>
              <w:right w:type="dxa" w:w="60"/>
            </w:tcMar>
            <w:tcBorders/>
            <w:vAlign w:val="bottom"/>
          </w:tcPr>
          <w:p>
            <w:pPr>
              <w:jc w:val="right"/>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Item_2____Management_s_Discussion_and_An</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28</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3__Quantitive_and_Qualitatve_Disclo">
              <w:r>
                <w:rPr>
                  <w:rFonts w:ascii="Times New Roman" w:hAnsi="Times New Roman" w:eastAsia="Times New Roman" w:cs="Times New Roman"/>
                  <w:sz w:val="20"/>
                  <w:color w:val="0000ff"/>
                  <w:u w:val="single" w:color="0000ff"/>
                </w:rPr>
                <w:t xml:space="preserve">Item 3.     Quantitative and Qualitative Disclosures About Market Risk</w:t>
              </w:r>
            </w:hyperlink>
          </w:p>
        </w:tc>
        <w:tc>
          <w:tcPr>
            <w:tcW w:type="dxa" w:w="720"/>
            <w:tcMar>
              <w:left w:type="dxa" w:w="0"/>
              <w:right w:type="dxa" w:w="60"/>
            </w:tcMar>
            <w:tcBorders/>
            <w:vAlign w:val="bottom"/>
          </w:tcPr>
          <w:p>
            <w:pPr>
              <w:jc w:val="right"/>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Item_3__Quantitive_and_Qualitatve_Disclo</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48</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4__Controls_and_Procedures">
              <w:r>
                <w:rPr>
                  <w:rFonts w:ascii="Times New Roman" w:hAnsi="Times New Roman" w:eastAsia="Times New Roman" w:cs="Times New Roman"/>
                  <w:sz w:val="20"/>
                  <w:color w:val="0000ff"/>
                  <w:u w:val="single" w:color="0000ff"/>
                </w:rPr>
                <w:t xml:space="preserve">Item 4.     Controls and Procedures</w:t>
              </w:r>
            </w:hyperlink>
          </w:p>
        </w:tc>
        <w:tc>
          <w:tcPr>
            <w:tcW w:type="dxa" w:w="720"/>
            <w:tcMar>
              <w:left w:type="dxa" w:w="0"/>
              <w:right w:type="dxa" w:w="60"/>
            </w:tcMar>
            <w:tcBorders/>
            <w:vAlign w:val="bottom"/>
          </w:tcPr>
          <w:p>
            <w:pPr>
              <w:jc w:val="right"/>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Item_4__Controls_and_Procedures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48</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0"/>
            </w:tcMar>
            <w:tcBorders/>
            <w:vAlign w:val="bottom"/>
          </w:tcPr>
          <w:p>
            <w:pPr>
              <w:jc w:val="left"/>
              <w:keepNext/>
              <w:keepLines/>
              <w:spacing w:before="40" w:after="40" w:line="240" w:lineRule="auto"/>
              <w:rPr/>
            </w:pPr>
            <w:r>
              <w:rPr/>
            </w:r>
          </w:p>
        </w:tc>
        <w:tc>
          <w:tcPr>
            <w:tcW w:type="dxa" w:w="720"/>
            <w:tcMar>
              <w:left w:type="dxa" w:w="0"/>
              <w:right w:type="dxa" w:w="60"/>
            </w:tcMar>
            <w:tcBorders/>
            <w:vAlign w:val="bottom"/>
          </w:tcPr>
          <w:p>
            <w:pPr>
              <w:jc w:val="left"/>
              <w:keepNext/>
              <w:keepLines/>
              <w:spacing w:before="40" w:after="40" w:line="240" w:lineRule="auto"/>
              <w:rPr/>
            </w:pPr>
            <w:r>
              <w:rPr/>
            </w:r>
          </w:p>
        </w:tc>
      </w:tr>
      <w:tr>
        <w:trPr>
          <w:trHeight w:hRule="exact" w:val="280"/>
        </w:trPr>
        <w:tc>
          <w:tcPr>
            <w:tcW w:type="dxa" w:w="95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PART_II___Other_Information">
              <w:r>
                <w:rPr>
                  <w:rFonts w:ascii="Times New Roman" w:hAnsi="Times New Roman" w:eastAsia="Times New Roman" w:cs="Times New Roman"/>
                  <w:sz w:val="20"/>
                  <w:color w:val="0000ff"/>
                  <w:u w:val="single" w:color="0000ff"/>
                </w:rPr>
                <w:t xml:space="preserve">PART II.  OTHER INFORMATION</w:t>
              </w:r>
            </w:hyperlink>
          </w:p>
        </w:tc>
        <w:tc>
          <w:tcPr>
            <w:tcW w:type="dxa" w:w="720"/>
            <w:tcMar>
              <w:left w:type="dxa" w:w="0"/>
              <w:right w:type="dxa" w:w="60"/>
            </w:tcMar>
            <w:tcBorders/>
            <w:vAlign w:val="bottom"/>
          </w:tcPr>
          <w:p>
            <w:pPr>
              <w:jc w:val="left"/>
              <w:keepNext/>
              <w:keepLines/>
              <w:spacing w:before="40" w:after="40" w:line="240" w:lineRule="auto"/>
              <w:rPr/>
            </w:pPr>
            <w:r>
              <w:rPr/>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1____Legal_Proceedings">
              <w:r>
                <w:rPr>
                  <w:rFonts w:ascii="Times New Roman" w:hAnsi="Times New Roman" w:eastAsia="Times New Roman" w:cs="Times New Roman"/>
                  <w:sz w:val="20"/>
                  <w:color w:val="0000ff"/>
                  <w:u w:val="single" w:color="0000ff"/>
                </w:rPr>
                <w:t xml:space="preserve">Item 1.     Legal Proceedings</w:t>
              </w:r>
            </w:hyperlink>
          </w:p>
        </w:tc>
        <w:tc>
          <w:tcPr>
            <w:tcW w:type="dxa" w:w="720"/>
            <w:tcMar>
              <w:left w:type="dxa" w:w="0"/>
              <w:right w:type="dxa" w:w="60"/>
            </w:tcMar>
            <w:tcBorders/>
            <w:vAlign w:val="bottom"/>
          </w:tcPr>
          <w:p>
            <w:pPr>
              <w:jc w:val="right"/>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Item_1____Legal_Proceedings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50</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1A__Risk_Factors">
              <w:r>
                <w:rPr>
                  <w:rFonts w:ascii="Times New Roman" w:hAnsi="Times New Roman" w:eastAsia="Times New Roman" w:cs="Times New Roman"/>
                  <w:sz w:val="20"/>
                  <w:color w:val="0000ff"/>
                  <w:u w:val="single" w:color="0000ff"/>
                </w:rPr>
                <w:t xml:space="preserve">Item 1A.  Risk Factors</w:t>
              </w:r>
            </w:hyperlink>
          </w:p>
        </w:tc>
        <w:tc>
          <w:tcPr>
            <w:tcW w:type="dxa" w:w="720"/>
            <w:tcMar>
              <w:left w:type="dxa" w:w="0"/>
              <w:right w:type="dxa" w:w="60"/>
            </w:tcMar>
            <w:tcBorders/>
            <w:vAlign w:val="bottom"/>
          </w:tcPr>
          <w:p>
            <w:pPr>
              <w:jc w:val="right"/>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Item_1A__Risk_Factors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50</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2___Unregistered_Sales_of_Equity_Se">
              <w:r>
                <w:rPr>
                  <w:rFonts w:ascii="Times New Roman" w:hAnsi="Times New Roman" w:eastAsia="Times New Roman" w:cs="Times New Roman"/>
                  <w:sz w:val="20"/>
                  <w:color w:val="0000ff"/>
                  <w:u w:val="single" w:color="0000ff"/>
                </w:rPr>
                <w:t xml:space="preserve">Item 2.     Unregistered Sales of Equity Securities and Use of Proceeds</w:t>
              </w:r>
            </w:hyperlink>
          </w:p>
        </w:tc>
        <w:tc>
          <w:tcPr>
            <w:tcW w:type="dxa" w:w="720"/>
            <w:tcMar>
              <w:left w:type="dxa" w:w="0"/>
              <w:right w:type="dxa" w:w="60"/>
            </w:tcMar>
            <w:tcBorders/>
            <w:vAlign w:val="bottom"/>
          </w:tcPr>
          <w:p>
            <w:pPr>
              <w:jc w:val="right"/>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Item_2___Unregistered_Sales_of_Equity_Se</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52</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3___Defaults_Upon_Senior_Securities">
              <w:r>
                <w:rPr>
                  <w:rFonts w:ascii="Times New Roman" w:hAnsi="Times New Roman" w:eastAsia="Times New Roman" w:cs="Times New Roman"/>
                  <w:sz w:val="20"/>
                  <w:color w:val="0000ff"/>
                  <w:u w:val="single" w:color="0000ff"/>
                </w:rPr>
                <w:t xml:space="preserve">Item 3.     Defaults Upon Senior Securities</w:t>
              </w:r>
            </w:hyperlink>
          </w:p>
        </w:tc>
        <w:tc>
          <w:tcPr>
            <w:tcW w:type="dxa" w:w="720"/>
            <w:tcMar>
              <w:left w:type="dxa" w:w="0"/>
              <w:right w:type="dxa" w:w="60"/>
            </w:tcMar>
            <w:tcBorders/>
            <w:vAlign w:val="bottom"/>
          </w:tcPr>
          <w:p>
            <w:pPr>
              <w:jc w:val="right"/>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Item_3___Defaults_Upon_Senior_Securities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52</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4____Mine_Safety_Disclosures">
              <w:r>
                <w:rPr>
                  <w:rFonts w:ascii="Times New Roman" w:hAnsi="Times New Roman" w:eastAsia="Times New Roman" w:cs="Times New Roman"/>
                  <w:sz w:val="20"/>
                  <w:color w:val="0000ff"/>
                  <w:u w:val="single" w:color="0000ff"/>
                </w:rPr>
                <w:t xml:space="preserve">Item 4.     Mine Safety Disclosures</w:t>
              </w:r>
            </w:hyperlink>
          </w:p>
        </w:tc>
        <w:tc>
          <w:tcPr>
            <w:tcW w:type="dxa" w:w="720"/>
            <w:tcMar>
              <w:left w:type="dxa" w:w="0"/>
              <w:right w:type="dxa" w:w="60"/>
            </w:tcMar>
            <w:tcBorders/>
            <w:vAlign w:val="bottom"/>
          </w:tcPr>
          <w:p>
            <w:pPr>
              <w:jc w:val="right"/>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Item_4____Mine_Safety_Disclosures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52</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5___Other_Information">
              <w:r>
                <w:rPr>
                  <w:rFonts w:ascii="Times New Roman" w:hAnsi="Times New Roman" w:eastAsia="Times New Roman" w:cs="Times New Roman"/>
                  <w:sz w:val="20"/>
                  <w:color w:val="0000ff"/>
                  <w:u w:val="single" w:color="0000ff"/>
                </w:rPr>
                <w:t xml:space="preserve">Item 5.     Other Information</w:t>
              </w:r>
            </w:hyperlink>
          </w:p>
        </w:tc>
        <w:tc>
          <w:tcPr>
            <w:tcW w:type="dxa" w:w="720"/>
            <w:tcMar>
              <w:left w:type="dxa" w:w="0"/>
              <w:right w:type="dxa" w:w="60"/>
            </w:tcMar>
            <w:tcBorders/>
            <w:vAlign w:val="bottom"/>
          </w:tcPr>
          <w:p>
            <w:pPr>
              <w:jc w:val="right"/>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Item_5___Other_Information</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53</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w:anchor="Item_6___Exhibits">
              <w:r>
                <w:rPr>
                  <w:rFonts w:ascii="Times New Roman" w:hAnsi="Times New Roman" w:eastAsia="Times New Roman" w:cs="Times New Roman"/>
                  <w:sz w:val="20"/>
                  <w:color w:val="0000ff"/>
                  <w:u w:val="single" w:color="0000ff"/>
                </w:rPr>
                <w:t xml:space="preserve">Item 6.     Exhibits</w:t>
              </w:r>
            </w:hyperlink>
          </w:p>
        </w:tc>
        <w:tc>
          <w:tcPr>
            <w:tcW w:type="dxa" w:w="720"/>
            <w:tcMar>
              <w:left w:type="dxa" w:w="0"/>
              <w:right w:type="dxa" w:w="60"/>
            </w:tcMar>
            <w:tcBorders/>
            <w:vAlign w:val="bottom"/>
          </w:tcPr>
          <w:p>
            <w:pPr>
              <w:jc w:val="right"/>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Item_6___Exhibits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54</w:t>
            </w:r>
            <w:r>
              <w:rPr>
                <w:rFonts w:ascii="Times New Roman" w:hAnsi="Times New Roman" w:eastAsia="Times New Roman" w:cs="Times New Roman"/>
                <w:sz w:val="20"/>
                <w:color w:val="0000ff"/>
                <w:u w:val="single" w:color="0000ff"/>
              </w:rPr>
              <w:fldChar w:fldCharType="end"/>
            </w:r>
          </w:p>
        </w:tc>
      </w:tr>
      <w:tr>
        <w:trPr>
          <w:trHeight w:hRule="exact" w:val="280"/>
        </w:trPr>
        <w:tc>
          <w:tcPr>
            <w:tcW w:type="dxa" w:w="9520"/>
            <w:tcMar>
              <w:left w:type="dxa" w:w="60"/>
              <w:right w:type="dxa" w:w="0"/>
            </w:tcMar>
            <w:tcBorders/>
            <w:vAlign w:val="bottom"/>
          </w:tcPr>
          <w:p>
            <w:pPr>
              <w:jc w:val="left"/>
              <w:keepNext/>
              <w:keepLines/>
              <w:spacing w:before="40" w:after="40" w:line="240" w:lineRule="auto"/>
              <w:rPr/>
            </w:pPr>
            <w:r>
              <w:rPr/>
            </w:r>
          </w:p>
        </w:tc>
        <w:tc>
          <w:tcPr>
            <w:tcW w:type="dxa" w:w="720"/>
            <w:tcMar>
              <w:left w:type="dxa" w:w="0"/>
              <w:right w:type="dxa" w:w="60"/>
            </w:tcMar>
            <w:tcBorders/>
            <w:vAlign w:val="bottom"/>
          </w:tcPr>
          <w:p>
            <w:pPr>
              <w:jc w:val="left"/>
              <w:keepNext/>
              <w:keepLines/>
              <w:spacing w:before="40" w:after="40" w:line="240" w:lineRule="auto"/>
              <w:rPr/>
            </w:pPr>
            <w:r>
              <w:rPr/>
            </w:r>
          </w:p>
        </w:tc>
      </w:tr>
      <w:tr>
        <w:trPr>
          <w:trHeight w:hRule="exact" w:val="280"/>
        </w:trPr>
        <w:tc>
          <w:tcPr>
            <w:tcW w:type="dxa" w:w="952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hyperlink w:anchor="Signatures">
              <w:r>
                <w:rPr>
                  <w:rFonts w:ascii="Times New Roman" w:hAnsi="Times New Roman" w:eastAsia="Times New Roman" w:cs="Times New Roman"/>
                  <w:sz w:val="20"/>
                  <w:color w:val="0000ff"/>
                  <w:u w:val="single" w:color="0000ff"/>
                </w:rPr>
                <w:t xml:space="preserve">Signatures</w:t>
              </w:r>
            </w:hyperlink>
          </w:p>
        </w:tc>
        <w:tc>
          <w:tcPr>
            <w:tcW w:type="dxa" w:w="720"/>
            <w:tcMar>
              <w:left w:type="dxa" w:w="0"/>
              <w:right w:type="dxa" w:w="60"/>
            </w:tcMar>
            <w:tcBorders/>
            <w:vAlign w:val="bottom"/>
          </w:tcPr>
          <w:p>
            <w:pPr>
              <w:jc w:val="righ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color w:val="0000ff"/>
                <w:u w:val="single" w:color="0000ff"/>
              </w:rPr>
              <w:fldChar w:fldCharType="begin"/>
            </w:r>
            <w:r>
              <w:rPr>
                <w:rFonts w:ascii="Times New Roman" w:hAnsi="Times New Roman" w:eastAsia="Times New Roman" w:cs="Times New Roman"/>
                <w:sz w:val="20"/>
                <w:color w:val="0000ff"/>
                <w:u w:val="single" w:color="0000ff"/>
              </w:rPr>
              <w:instrText xml:space="preserve">PAGEREF Signatures</w:instrText>
            </w:r>
            <w:r>
              <w:rPr>
                <w:rFonts w:ascii="Times New Roman" w:hAnsi="Times New Roman" w:eastAsia="Times New Roman" w:cs="Times New Roman"/>
                <w:sz w:val="20"/>
                <w:color w:val="0000ff"/>
                <w:u w:val="single" w:color="0000ff"/>
              </w:rPr>
              <w:fldChar w:fldCharType="separate"/>
            </w:r>
            <w:r>
              <w:rPr>
                <w:rFonts w:ascii="Times New Roman" w:hAnsi="Times New Roman" w:eastAsia="Times New Roman" w:cs="Times New Roman"/>
                <w:sz w:val="20"/>
                <w:color w:val="0000ff"/>
                <w:u w:val="single" w:color="0000ff"/>
              </w:rPr>
              <w:t xml:space="preserve">55</w:t>
            </w:r>
            <w:r>
              <w:rPr>
                <w:rFonts w:ascii="Times New Roman" w:hAnsi="Times New Roman" w:eastAsia="Times New Roman" w:cs="Times New Roman"/>
                <w:sz w:val="20"/>
                <w:color w:val="0000ff"/>
                <w:u w:val="single" w:color="0000ff"/>
              </w:rPr>
              <w:fldChar w:fldCharType="end"/>
            </w: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start="1" w:fmt="lowerRoman" w:chapSep="period"/>
          <w:pgSz w:w="12240" w:h="15840"/>
          <w:pgMar w:top="860" w:left="1000" w:right="1000" w:bottom="860" w:footer="460" w:gutter="0" w:header="160"/>
          <w:headerReference r:id="rId1" w:type="default"/>
          <w:footerReference r:id="rId3" w:type="default"/>
        </w:sectPr>
      </w:pP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PART I - FINANCIAL INFORMATION</w:t>
      </w:r>
      <w:bookmarkStart w:id="1181" w:name="PART_I___Financial_Information"/>
      <w:bookmarkEnd w:id="1181"/>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sectPr>
          <w:pgNumType w:start="1" w:fmt="decimal" w:chapSep="period"/>
          <w:pgSz w:w="12240" w:h="15840"/>
          <w:pgMar w:top="860" w:left="1000" w:right="1000" w:bottom="860" w:footer="460" w:gutter="0" w:header="160"/>
          <w:headerReference r:id="rId1" w:type="default"/>
          <w:footerReference r:id="rId4"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1 - FINANCIAL STATEMENTS</w:t>
      </w:r>
      <w:bookmarkStart w:id="46676" w:name="Item_1____Financial_Statements"/>
      <w:bookmarkEnd w:id="46676"/>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IZEA Worldwide, Inc.</w:t>
      </w:r>
      <w:bookmarkStart w:id="5305" w:name="Unaudited_Consolidated_Balance_Sheets"/>
      <w:bookmarkEnd w:id="5305"/>
    </w:p>
    <w:p>
      <w:pPr>
        <w:jc w:val="center"/>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Unaudited Consolidated Balance Sheets</w:t>
      </w:r>
    </w:p>
    <w:tbl>
      <w:tblPr>
        <w:tblW w:type="dxa" w:w="10240"/>
        <w:tblLayout w:type="fixed"/>
        <w:jc w:val="left"/>
      </w:tblPr>
      <w:tblGrid>
        <w:gridCol w:w="7560"/>
        <w:gridCol w:w="110"/>
        <w:gridCol w:w="1113"/>
        <w:gridCol w:w="77"/>
        <w:gridCol w:w="80"/>
        <w:gridCol w:w="110"/>
        <w:gridCol w:w="1113"/>
        <w:gridCol w:w="77"/>
      </w:tblGrid>
      <w:tr>
        <w:trPr>
          <w:trHeight w:hRule="exact" w:val="480"/>
        </w:trPr>
        <w:tc>
          <w:tcPr>
            <w:tcW w:type="dxa" w:w="7560"/>
            <w:tcMar>
              <w:left w:type="dxa" w:w="6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2018</w:t>
            </w:r>
          </w:p>
        </w:tc>
        <w:tc>
          <w:tcPr>
            <w:tcMar>
              <w:left w:type="dxa" w:w="0"/>
              <w:right w:type="dxa" w:w="60"/>
            </w:tcMar>
            <w:tcBorders>
              <w:bottom w:val="single" w:sz="8"/>
            </w:tcBorders>
            <w:hMerge w:val="continue"/>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w:t>
              <w:br w:type="textWrapping"/>
              <w:t xml:space="preserve"> 2017</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w:t>
              <w:br w:type="textWrapping"/>
              <w:t xml:space="preserve"> 2017</w:t>
            </w:r>
          </w:p>
        </w:tc>
        <w:tc>
          <w:tcPr>
            <w:tcMar>
              <w:left w:type="dxa" w:w="0"/>
              <w:right w:type="dxa" w:w="60"/>
            </w:tcMar>
            <w:tcBorders>
              <w:bottom w:val="single" w:sz="8"/>
            </w:tcBorders>
            <w:hMerge w:val="continue"/>
          </w:tcPr>
          <w:p/>
        </w:tc>
      </w:tr>
      <w:tr>
        <w:trPr>
          <w:trHeight w:hRule="exact" w:val="280"/>
        </w:trPr>
        <w:tc>
          <w:tcPr>
            <w:tcW w:type="dxa" w:w="756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Assets</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Current:</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Cash and cash equivalents</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3,864,676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3,906,797</w:t>
            </w:r>
          </w:p>
        </w:tc>
        <w:tc>
          <w:tcPr>
            <w:tcW w:type="dxa" w:w="77"/>
            <w:tcMar>
              <w:left w:type="dxa" w:w="0"/>
              <w:right w:type="dxa" w:w="0"/>
            </w:tcMar>
            <w:tcBorders/>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Accounts receivable, net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6,811,029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6,811,029</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3,647,025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3,647,025</w:t>
            </w:r>
          </w:p>
        </w:tc>
        <w:tc>
          <w:tcPr>
            <w:tcW w:type="dxa" w:w="77"/>
            <w:tcMar>
              <w:left w:type="dxa" w:w="0"/>
              <w:right w:type="dxa" w:w="0"/>
            </w:tcMar>
            <w:tcBorders/>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Prepaid expenses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573,611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573,611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389,104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389,104</w:t>
            </w:r>
          </w:p>
        </w:tc>
        <w:tc>
          <w:tcPr>
            <w:tcW w:type="dxa" w:w="77"/>
            <w:tcMar>
              <w:left w:type="dxa" w:w="0"/>
              <w:right w:type="dxa" w:w="0"/>
            </w:tcMar>
            <w:tcBorders/>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current assets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84,359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84,359</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9,140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9,140</w:t>
            </w:r>
          </w:p>
        </w:tc>
        <w:tc>
          <w:tcPr>
            <w:tcW w:type="dxa" w:w="77"/>
            <w:tcMar>
              <w:left w:type="dxa" w:w="0"/>
              <w:right w:type="dxa" w:w="0"/>
            </w:tcMar>
            <w:tcBorders/>
          </w:tcPr>
          <w:p/>
        </w:tc>
      </w:tr>
      <w:tr>
        <w:trPr>
          <w:trHeight w:hRule="exact" w:val="280"/>
        </w:trPr>
        <w:tc>
          <w:tcPr>
            <w:tcW w:type="dxa" w:w="7560"/>
            <w:tcMar>
              <w:left w:type="dxa" w:w="780"/>
              <w:right w:type="dxa" w:w="4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current assets</w:t>
            </w:r>
          </w:p>
        </w:tc>
        <w:tc>
          <w:tcPr>
            <w:tcW w:type="dxa" w:w="12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11,333,675</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11,333,675</w:t>
            </w:r>
          </w:p>
        </w:tc>
        <w:tc>
          <w:tcPr>
            <w:tcW w:type="dxa" w:w="77"/>
            <w:tcMar>
              <w:left w:type="dxa" w:w="0"/>
              <w:right w:type="dxa" w:w="0"/>
            </w:tcMar>
            <w:tcBorders>
              <w:top w:val="single" w:sz="8" w:space="0"/>
              <w:bottom w:val="single" w:sz="8"/>
            </w:tcBorders>
          </w:tcP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7,952,066</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7,952,066</w:t>
            </w:r>
          </w:p>
        </w:tc>
        <w:tc>
          <w:tcPr>
            <w:tcW w:type="dxa" w:w="77"/>
            <w:tcMar>
              <w:left w:type="dxa" w:w="0"/>
              <w:right w:type="dxa" w:w="0"/>
            </w:tcMar>
            <w:tcBorders>
              <w:top w:val="single" w:sz="8" w:space="0"/>
              <w:bottom w:val="single" w:sz="8"/>
            </w:tcBorders>
          </w:tcPr>
          <w:p/>
        </w:tc>
      </w:tr>
      <w:tr>
        <w:trPr>
          <w:trHeight w:hRule="exact" w:val="200"/>
        </w:trPr>
        <w:tc>
          <w:tcPr>
            <w:tcW w:type="dxa" w:w="7560"/>
            <w:tcMar>
              <w:left w:type="dxa" w:w="18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8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Property and equipment, net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309,374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309,374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286,043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286,043</w:t>
            </w:r>
          </w:p>
        </w:tc>
        <w:tc>
          <w:tcPr>
            <w:tcW w:type="dxa" w:w="77"/>
            <w:tcMar>
              <w:left w:type="dxa" w:w="0"/>
              <w:right w:type="dxa" w:w="0"/>
            </w:tcMar>
            <w:tcBorders/>
          </w:tcPr>
          <w:p/>
        </w:tc>
      </w:tr>
      <w:tr>
        <w:trPr>
          <w:trHeight w:hRule="exact" w:val="28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Goodwill</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8,316,722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8,316,722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3,604,720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3,604,720</w:t>
            </w:r>
          </w:p>
        </w:tc>
        <w:tc>
          <w:tcPr>
            <w:tcW w:type="dxa" w:w="77"/>
            <w:tcMar>
              <w:left w:type="dxa" w:w="0"/>
              <w:right w:type="dxa" w:w="0"/>
            </w:tcMar>
            <w:tcBorders/>
          </w:tcPr>
          <w:p/>
        </w:tc>
      </w:tr>
      <w:tr>
        <w:trPr>
          <w:trHeight w:hRule="exact" w:val="28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Intangible assets, net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3,472,855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3,472,855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667,909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667,909</w:t>
            </w:r>
          </w:p>
        </w:tc>
        <w:tc>
          <w:tcPr>
            <w:tcW w:type="dxa" w:w="77"/>
            <w:tcMar>
              <w:left w:type="dxa" w:w="0"/>
              <w:right w:type="dxa" w:w="0"/>
            </w:tcMar>
            <w:tcBorders/>
          </w:tcPr>
          <w:p/>
        </w:tc>
      </w:tr>
      <w:tr>
        <w:trPr>
          <w:trHeight w:hRule="exact" w:val="28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Software development costs, net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1,233,988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1,233,988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967,927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967,927</w:t>
            </w:r>
          </w:p>
        </w:tc>
        <w:tc>
          <w:tcPr>
            <w:tcW w:type="dxa" w:w="77"/>
            <w:tcMar>
              <w:left w:type="dxa" w:w="0"/>
              <w:right w:type="dxa" w:w="0"/>
            </w:tcMar>
            <w:tcBorders/>
          </w:tcPr>
          <w:p/>
        </w:tc>
      </w:tr>
      <w:tr>
        <w:trPr>
          <w:trHeight w:hRule="exact" w:val="280"/>
        </w:trPr>
        <w:tc>
          <w:tcPr>
            <w:tcW w:type="dxa" w:w="756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Security deposits</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154,248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154,248</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148,638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148,638</w:t>
            </w:r>
          </w:p>
        </w:tc>
        <w:tc>
          <w:tcPr>
            <w:tcW w:type="dxa" w:w="77"/>
            <w:tcMar>
              <w:left w:type="dxa" w:w="0"/>
              <w:right w:type="dxa" w:w="0"/>
            </w:tcMar>
            <w:tcBorders>
              <w:bottom w:val="single" w:sz="8"/>
            </w:tcBorders>
          </w:tcPr>
          <w:p/>
        </w:tc>
      </w:tr>
      <w:tr>
        <w:trPr>
          <w:trHeight w:hRule="exact" w:val="280"/>
        </w:trPr>
        <w:tc>
          <w:tcPr>
            <w:tcW w:type="dxa" w:w="7560"/>
            <w:tcMar>
              <w:left w:type="dxa" w:w="900"/>
              <w:right w:type="dxa" w:w="4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assets</w:t>
            </w: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24,820,862</w:t>
            </w:r>
          </w:p>
        </w:tc>
        <w:tc>
          <w:tcPr>
            <w:tcW w:type="dxa" w:w="77"/>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Next/>
              <w:keepLines/>
              <w:spacing w:before="40" w:after="40" w:line="240" w:lineRule="auto"/>
              <w:rPr/>
            </w:pPr>
            <w:r>
              <w:rPr/>
            </w: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13,627,303</w:t>
            </w:r>
          </w:p>
        </w:tc>
        <w:tc>
          <w:tcPr>
            <w:tcW w:type="dxa" w:w="77"/>
            <w:tcMar>
              <w:left w:type="dxa" w:w="0"/>
              <w:right w:type="dxa" w:w="0"/>
            </w:tcMar>
            <w:tcBorders>
              <w:bottom w:val="double" w:sz="4"/>
            </w:tcBorders>
          </w:tcPr>
          <w:p/>
        </w:tc>
      </w:tr>
      <w:tr>
        <w:trPr>
          <w:trHeight w:hRule="exact" w:val="140"/>
        </w:trPr>
        <w:tc>
          <w:tcPr>
            <w:tcW w:type="dxa" w:w="756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756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Liabilities and Stockholders’ Equity</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Current liabilities:</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Accounts payable</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2,831,696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1,756,841</w:t>
            </w:r>
          </w:p>
        </w:tc>
        <w:tc>
          <w:tcPr>
            <w:tcW w:type="dxa" w:w="77"/>
            <w:tcMar>
              <w:left w:type="dxa" w:w="0"/>
              <w:right w:type="dxa" w:w="0"/>
            </w:tcMar>
            <w:tcBorders/>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Accrued expenses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2,146,862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2,146,862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1,592,356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1,592,356</w:t>
            </w:r>
          </w:p>
        </w:tc>
        <w:tc>
          <w:tcPr>
            <w:tcW w:type="dxa" w:w="77"/>
            <w:tcMar>
              <w:left w:type="dxa" w:w="0"/>
              <w:right w:type="dxa" w:w="0"/>
            </w:tcMar>
            <w:tcBorders/>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Contract liabilities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5,631,096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5,631,096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Unearned revenue</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3,070,502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3,070,502</w:t>
            </w:r>
          </w:p>
        </w:tc>
        <w:tc>
          <w:tcPr>
            <w:tcW w:type="dxa" w:w="77"/>
            <w:tcMar>
              <w:left w:type="dxa" w:w="0"/>
              <w:right w:type="dxa" w:w="0"/>
            </w:tcMar>
            <w:tcBorders/>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Line of credit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1,733,420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1,733,420</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500,550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500,550</w:t>
            </w:r>
          </w:p>
        </w:tc>
        <w:tc>
          <w:tcPr>
            <w:tcW w:type="dxa" w:w="77"/>
            <w:tcMar>
              <w:left w:type="dxa" w:w="0"/>
              <w:right w:type="dxa" w:w="0"/>
            </w:tcMar>
            <w:tcBorders/>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Current portion of deferred rent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29,187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29,187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45,127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45,127</w:t>
            </w:r>
          </w:p>
        </w:tc>
        <w:tc>
          <w:tcPr>
            <w:tcW w:type="dxa" w:w="77"/>
            <w:tcMar>
              <w:left w:type="dxa" w:w="0"/>
              <w:right w:type="dxa" w:w="0"/>
            </w:tcMar>
            <w:tcBorders/>
          </w:tcPr>
          <w:p/>
        </w:tc>
      </w:tr>
      <w:tr>
        <w:trPr>
          <w:trHeight w:hRule="exact" w:val="280"/>
        </w:trPr>
        <w:tc>
          <w:tcPr>
            <w:tcW w:type="dxa" w:w="7560"/>
            <w:tcMar>
              <w:left w:type="dxa" w:w="1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Current portion of acquisition costs payable</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4,535,930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4,535,930</w:t>
            </w:r>
          </w:p>
        </w:tc>
        <w:tc>
          <w:tcPr>
            <w:tcW w:type="dxa" w:w="77"/>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741,155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741,155</w:t>
            </w:r>
          </w:p>
        </w:tc>
        <w:tc>
          <w:tcPr>
            <w:tcW w:type="dxa" w:w="77"/>
            <w:tcMar>
              <w:left w:type="dxa" w:w="0"/>
              <w:right w:type="dxa" w:w="0"/>
            </w:tcMar>
            <w:tcBorders>
              <w:bottom w:val="single" w:sz="8"/>
            </w:tcBorders>
          </w:tcPr>
          <w:p/>
        </w:tc>
      </w:tr>
      <w:tr>
        <w:trPr>
          <w:trHeight w:hRule="exact" w:val="280"/>
        </w:trPr>
        <w:tc>
          <w:tcPr>
            <w:tcW w:type="dxa" w:w="7560"/>
            <w:tcMar>
              <w:left w:type="dxa" w:w="7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current liabilities</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16,908,191</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16,908,191</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7,706,531</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7,706,531</w:t>
            </w:r>
          </w:p>
        </w:tc>
        <w:tc>
          <w:tcPr>
            <w:tcW w:type="dxa" w:w="77"/>
            <w:tcMar>
              <w:left w:type="dxa" w:w="0"/>
              <w:right w:type="dxa" w:w="0"/>
            </w:tcMar>
            <w:tcBorders>
              <w:bottom w:val="single" w:sz="8"/>
            </w:tcBorders>
          </w:tcPr>
          <w:p/>
        </w:tc>
      </w:tr>
      <w:tr>
        <w:trPr>
          <w:trHeight w:hRule="exact" w:val="200"/>
        </w:trPr>
        <w:tc>
          <w:tcPr>
            <w:tcW w:type="dxa" w:w="75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8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Deferred rent, less current portion</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17,419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17,419</w:t>
            </w:r>
          </w:p>
        </w:tc>
        <w:tc>
          <w:tcPr>
            <w:tcW w:type="dxa" w:w="77"/>
            <w:tcMar>
              <w:left w:type="dxa" w:w="0"/>
              <w:right w:type="dxa" w:w="0"/>
            </w:tcMar>
            <w:tcBorders/>
          </w:tcPr>
          <w:p/>
        </w:tc>
      </w:tr>
      <w:tr>
        <w:trPr>
          <w:trHeight w:hRule="exact" w:val="280"/>
        </w:trPr>
        <w:tc>
          <w:tcPr>
            <w:tcW w:type="dxa" w:w="756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Acquisition costs payable, less current portion</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43,055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43,055</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609,768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609,768</w:t>
            </w:r>
          </w:p>
        </w:tc>
        <w:tc>
          <w:tcPr>
            <w:tcW w:type="dxa" w:w="77"/>
            <w:tcMar>
              <w:left w:type="dxa" w:w="0"/>
              <w:right w:type="dxa" w:w="0"/>
            </w:tcMar>
            <w:tcBorders>
              <w:bottom w:val="single" w:sz="8"/>
            </w:tcBorders>
          </w:tcPr>
          <w:p/>
        </w:tc>
      </w:tr>
      <w:tr>
        <w:trPr>
          <w:trHeight w:hRule="exact" w:val="280"/>
        </w:trPr>
        <w:tc>
          <w:tcPr>
            <w:tcW w:type="dxa" w:w="7560"/>
            <w:tcMar>
              <w:left w:type="dxa" w:w="7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liabilities</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16,951,246</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16,951,246</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8,333,718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8,333,718</w:t>
            </w:r>
          </w:p>
        </w:tc>
        <w:tc>
          <w:tcPr>
            <w:tcW w:type="dxa" w:w="77"/>
            <w:tcMar>
              <w:left w:type="dxa" w:w="0"/>
              <w:right w:type="dxa" w:w="0"/>
            </w:tcMar>
            <w:tcBorders>
              <w:bottom w:val="single" w:sz="8"/>
            </w:tcBorders>
          </w:tcPr>
          <w:p/>
        </w:tc>
      </w:tr>
      <w:tr>
        <w:trPr>
          <w:trHeight w:hRule="exact" w:val="200"/>
        </w:trPr>
        <w:tc>
          <w:tcPr>
            <w:tcW w:type="dxa" w:w="75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8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Commitments and contingencies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200"/>
        </w:trPr>
        <w:tc>
          <w:tcPr>
            <w:tcW w:type="dxa" w:w="75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8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Stockholders’ equity:</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50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Preferred stock; $.0001 par value; 10,000,000 shares authorized; no shares issued and outstanding</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50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Common stock, $.0001 par value; 200,000,000 shares authorized; 12,073,031 and 5,733,981, respectively, issued and outstanding</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1,207</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573</w:t>
            </w:r>
          </w:p>
        </w:tc>
        <w:tc>
          <w:tcPr>
            <w:tcW w:type="dxa" w:w="77"/>
            <w:tcMar>
              <w:left w:type="dxa" w:w="0"/>
              <w:right w:type="dxa" w:w="0"/>
            </w:tcMar>
            <w:tcBorders/>
          </w:tcPr>
          <w:p/>
        </w:tc>
      </w:tr>
      <w:tr>
        <w:trPr>
          <w:trHeight w:hRule="exact" w:val="280"/>
        </w:trPr>
        <w:tc>
          <w:tcPr>
            <w:tcW w:type="dxa" w:w="75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Additional paid-in capital</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60,270,355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60,270,355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52,570,432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52,570,432</w:t>
            </w:r>
          </w:p>
        </w:tc>
        <w:tc>
          <w:tcPr>
            <w:tcW w:type="dxa" w:w="77"/>
            <w:tcMar>
              <w:left w:type="dxa" w:w="0"/>
              <w:right w:type="dxa" w:w="0"/>
            </w:tcMar>
            <w:tcBorders/>
          </w:tcPr>
          <w:p/>
        </w:tc>
      </w:tr>
      <w:tr>
        <w:trPr>
          <w:trHeight w:hRule="exact" w:val="280"/>
        </w:trPr>
        <w:tc>
          <w:tcPr>
            <w:tcW w:type="dxa" w:w="7560"/>
            <w:tcMar>
              <w:left w:type="dxa" w:w="1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Accumulated deficit</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(52,401,946</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(52,401,946</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(47,277,420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(47,277,420</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7560"/>
            <w:tcMar>
              <w:left w:type="dxa" w:w="7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stockholders’ equity</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7,869,616</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7,869,616</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5,293,585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5,293,585</w:t>
            </w:r>
          </w:p>
        </w:tc>
        <w:tc>
          <w:tcPr>
            <w:tcW w:type="dxa" w:w="77"/>
            <w:tcMar>
              <w:left w:type="dxa" w:w="0"/>
              <w:right w:type="dxa" w:w="0"/>
            </w:tcMar>
            <w:tcBorders>
              <w:bottom w:val="single" w:sz="8"/>
            </w:tcBorders>
          </w:tcPr>
          <w:p/>
        </w:tc>
      </w:tr>
      <w:tr>
        <w:trPr>
          <w:trHeight w:hRule="exact" w:val="280"/>
        </w:trPr>
        <w:tc>
          <w:tcPr>
            <w:tcW w:type="dxa" w:w="7560"/>
            <w:tcMar>
              <w:left w:type="dxa" w:w="90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80"/>
        </w:trPr>
        <w:tc>
          <w:tcPr>
            <w:tcW w:type="dxa" w:w="7560"/>
            <w:tcMar>
              <w:left w:type="dxa" w:w="780"/>
              <w:right w:type="dxa" w:w="4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liabilities and stockholders’ equity</w:t>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24,820,862</w:t>
            </w:r>
          </w:p>
        </w:tc>
        <w:tc>
          <w:tcPr>
            <w:tcW w:type="dxa" w:w="77"/>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13,627,303</w:t>
            </w:r>
          </w:p>
        </w:tc>
        <w:tc>
          <w:tcPr>
            <w:tcW w:type="dxa" w:w="77"/>
            <w:tcMar>
              <w:left w:type="dxa" w:w="0"/>
              <w:right w:type="dxa" w:w="0"/>
            </w:tcMar>
            <w:tcBorders>
              <w:bottom w:val="double" w:sz="4"/>
            </w:tcBorders>
          </w:tcPr>
          <w:p/>
        </w:tc>
      </w:tr>
    </w:tbl>
    <w:p>
      <w:pPr>
        <w:jc w:val="center"/>
        <w:spacing w:before="6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See accompanying notes to the unaudited consolidated financial statements.</w:t>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IZEA Worldwide, Inc.</w:t>
      </w:r>
      <w:bookmarkStart w:id="151" w:name="Unaudited_Consolidated_Statements_of_Ope"/>
      <w:bookmarkEnd w:id="151"/>
    </w:p>
    <w:p>
      <w:pPr>
        <w:jc w:val="center"/>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Unaudited Consolidated Statements of Operations</w:t>
      </w:r>
    </w:p>
    <w:tbl>
      <w:tblPr>
        <w:tblW w:type="dxa" w:w="10240"/>
        <w:tblLayout w:type="fixed"/>
        <w:jc w:val="justify"/>
      </w:tblPr>
      <w:tblGrid>
        <w:gridCol w:w="4800"/>
        <w:gridCol w:w="110"/>
        <w:gridCol w:w="1113"/>
        <w:gridCol w:w="77"/>
        <w:gridCol w:w="80"/>
        <w:gridCol w:w="110"/>
        <w:gridCol w:w="1113"/>
        <w:gridCol w:w="77"/>
        <w:gridCol w:w="80"/>
        <w:gridCol w:w="110"/>
        <w:gridCol w:w="1113"/>
        <w:gridCol w:w="77"/>
        <w:gridCol w:w="80"/>
        <w:gridCol w:w="110"/>
        <w:gridCol w:w="1113"/>
        <w:gridCol w:w="77"/>
      </w:tblGrid>
      <w:tr>
        <w:trPr>
          <w:trHeight w:hRule="exact" w:val="500"/>
        </w:trPr>
        <w:tc>
          <w:tcPr>
            <w:tcW w:type="dxa" w:w="480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September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September 30,</w:t>
            </w:r>
          </w:p>
        </w:tc>
        <w:tc>
          <w:tcPr>
            <w:tcMar>
              <w:left w:type="dxa" w:w="0"/>
              <w:right w:type="dxa" w:w="6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Mar>
              <w:left w:type="dxa" w:w="60"/>
              <w:right w:type="dxa" w:w="60"/>
            </w:tcMar>
            <w:hMerge w:val="continue"/>
            <w:tcBorders/>
            <w:vAlign w:val="bottom"/>
          </w:tcPr>
          <w:p>
            <w:pPr>
              <w:jc w:val="left"/>
              <w:keepNext/>
              <w:keepLines/>
              <w:spacing w:before="40" w:after="40" w:line="240" w:lineRule="auto"/>
              <w:rPr/>
            </w:pPr>
            <w:r>
              <w:rPr/>
            </w:r>
          </w:p>
        </w:tc>
        <w:tc>
          <w:tcPr>
            <w:tcMar>
              <w:left w:type="dxa" w:w="60"/>
              <w:right w:type="dxa" w:w="60"/>
            </w:tcMar>
            <w:hMerge w:val="continue"/>
            <w:tcBorders/>
          </w:tcPr>
          <w:p>
            <w:pPr>
              <w:jc w:val="left"/>
              <w:keepNext/>
              <w:keepLines/>
              <w:spacing w:before="40" w:after="40" w:line="240" w:lineRule="auto"/>
              <w:rPr/>
            </w:pPr>
            <w:r>
              <w:rPr/>
            </w:r>
          </w:p>
        </w:tc>
        <w:tc>
          <w:tcPr>
            <w:tcMar>
              <w:left w:type="dxa" w:w="0"/>
              <w:right w:type="dxa" w:w="6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br w:type="textWrapping"/>
              <w:t xml:space="preserve">September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br w:type="textWrapping"/>
              <w:t xml:space="preserve">September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300"/>
        </w:trPr>
        <w:tc>
          <w:tcPr>
            <w:tcW w:type="dxa" w:w="4800"/>
            <w:tcMar>
              <w:left w:type="dxa" w:w="60"/>
              <w:right w:type="dxa" w:w="0"/>
            </w:tcMar>
            <w:hMerge w:val="restart"/>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0"/>
              <w:right w:type="dxa" w:w="60"/>
            </w:tcMar>
            <w:tcBorders>
              <w:top w:val="single" w:sz="8" w:space="0"/>
              <w:bottom w:val="single" w:sz="8"/>
            </w:tcBorders>
            <w:hMerge w:val="continue"/>
          </w:tcPr>
          <w:p/>
        </w:tc>
      </w:tr>
      <w:tr>
        <w:trPr>
          <w:trHeight w:hRule="exact" w:val="200"/>
        </w:trPr>
        <w:tc>
          <w:tcPr>
            <w:tcW w:type="dxa" w:w="480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48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Revenue</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5,780,941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7,089,855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13,798,342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17,637,264</w:t>
            </w:r>
          </w:p>
        </w:tc>
        <w:tc>
          <w:tcPr>
            <w:tcW w:type="dxa" w:w="77"/>
            <w:tcMar>
              <w:left w:type="dxa" w:w="0"/>
              <w:right w:type="dxa" w:w="0"/>
            </w:tcMar>
            <w:tcBorders/>
          </w:tcPr>
          <w:p/>
        </w:tc>
      </w:tr>
      <w:tr>
        <w:trPr>
          <w:trHeight w:hRule="exact" w:val="200"/>
        </w:trPr>
        <w:tc>
          <w:tcPr>
            <w:tcW w:type="dxa" w:w="480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48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Costs and expenses:</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480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Cost of revenue (exclusive of amortization)</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2,397,466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2,397,466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3,302,626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3,302,626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6,490,906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6,490,906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8,354,385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8,354,385</w:t>
            </w:r>
          </w:p>
        </w:tc>
        <w:tc>
          <w:tcPr>
            <w:tcW w:type="dxa" w:w="77"/>
            <w:tcMar>
              <w:left w:type="dxa" w:w="0"/>
              <w:right w:type="dxa" w:w="0"/>
            </w:tcMar>
            <w:tcBorders/>
          </w:tcPr>
          <w:p/>
        </w:tc>
      </w:tr>
      <w:tr>
        <w:trPr>
          <w:trHeight w:hRule="exact" w:val="300"/>
        </w:trPr>
        <w:tc>
          <w:tcPr>
            <w:tcW w:type="dxa" w:w="480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Sales and marketing</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1,574,335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1,574,335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1,733,178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1,733,178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5,065,457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5,065,457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6,008,526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6,008,526</w:t>
            </w:r>
          </w:p>
        </w:tc>
        <w:tc>
          <w:tcPr>
            <w:tcW w:type="dxa" w:w="77"/>
            <w:tcMar>
              <w:left w:type="dxa" w:w="0"/>
              <w:right w:type="dxa" w:w="0"/>
            </w:tcMar>
            <w:tcBorders/>
          </w:tcPr>
          <w:p/>
        </w:tc>
      </w:tr>
      <w:tr>
        <w:trPr>
          <w:trHeight w:hRule="exact" w:val="300"/>
        </w:trPr>
        <w:tc>
          <w:tcPr>
            <w:tcW w:type="dxa" w:w="480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General and administrative</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2,699,978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2,699,978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2,312,301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2,312,301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6,285,810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6,285,810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6,925,589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6,925,589</w:t>
            </w:r>
          </w:p>
        </w:tc>
        <w:tc>
          <w:tcPr>
            <w:tcW w:type="dxa" w:w="77"/>
            <w:tcMar>
              <w:left w:type="dxa" w:w="0"/>
              <w:right w:type="dxa" w:w="0"/>
            </w:tcMar>
            <w:tcBorders/>
          </w:tcPr>
          <w:p/>
        </w:tc>
      </w:tr>
      <w:tr>
        <w:trPr>
          <w:trHeight w:hRule="exact" w:val="300"/>
        </w:trPr>
        <w:tc>
          <w:tcPr>
            <w:tcW w:type="dxa" w:w="480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Depreciation and amortization</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370,674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370,674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374,965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374,965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846,820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846,820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1,095,831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1,095,831</w:t>
            </w:r>
          </w:p>
        </w:tc>
        <w:tc>
          <w:tcPr>
            <w:tcW w:type="dxa" w:w="77"/>
            <w:tcMar>
              <w:left w:type="dxa" w:w="0"/>
              <w:right w:type="dxa" w:w="0"/>
            </w:tcMar>
            <w:tcBorders/>
          </w:tcPr>
          <w:p/>
        </w:tc>
      </w:tr>
      <w:tr>
        <w:trPr>
          <w:trHeight w:hRule="exact" w:val="300"/>
        </w:trPr>
        <w:tc>
          <w:tcPr>
            <w:tcW w:type="dxa" w:w="4800"/>
            <w:tcMar>
              <w:left w:type="dxa" w:w="780"/>
              <w:right w:type="dxa" w:w="4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costs and expenses</w:t>
            </w:r>
          </w:p>
        </w:tc>
        <w:tc>
          <w:tcPr>
            <w:tcW w:type="dxa" w:w="12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7,042,453</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7,042,453</w:t>
            </w:r>
          </w:p>
        </w:tc>
        <w:tc>
          <w:tcPr>
            <w:tcW w:type="dxa" w:w="77"/>
            <w:tcMar>
              <w:left w:type="dxa" w:w="0"/>
              <w:right w:type="dxa" w:w="0"/>
            </w:tcMar>
            <w:tcBorders>
              <w:top w:val="single" w:sz="8" w:space="0"/>
              <w:bottom w:val="single" w:sz="8"/>
            </w:tcBorders>
          </w:tcP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7,723,070</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7,723,070</w:t>
            </w:r>
          </w:p>
        </w:tc>
        <w:tc>
          <w:tcPr>
            <w:tcW w:type="dxa" w:w="77"/>
            <w:tcMar>
              <w:left w:type="dxa" w:w="0"/>
              <w:right w:type="dxa" w:w="0"/>
            </w:tcMar>
            <w:tcBorders>
              <w:top w:val="single" w:sz="8" w:space="0"/>
              <w:bottom w:val="single" w:sz="8"/>
            </w:tcBorders>
          </w:tcP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18,688,993</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18,688,993</w:t>
            </w:r>
          </w:p>
        </w:tc>
        <w:tc>
          <w:tcPr>
            <w:tcW w:type="dxa" w:w="77"/>
            <w:tcMar>
              <w:left w:type="dxa" w:w="0"/>
              <w:right w:type="dxa" w:w="0"/>
            </w:tcMar>
            <w:tcBorders>
              <w:top w:val="single" w:sz="8" w:space="0"/>
              <w:bottom w:val="single" w:sz="8"/>
            </w:tcBorders>
          </w:tcP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22,384,331</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22,384,331</w:t>
            </w:r>
          </w:p>
        </w:tc>
        <w:tc>
          <w:tcPr>
            <w:tcW w:type="dxa" w:w="77"/>
            <w:tcMar>
              <w:left w:type="dxa" w:w="0"/>
              <w:right w:type="dxa" w:w="0"/>
            </w:tcMar>
            <w:tcBorders>
              <w:top w:val="single" w:sz="8" w:space="0"/>
              <w:bottom w:val="single" w:sz="8"/>
            </w:tcBorders>
          </w:tcPr>
          <w:p/>
        </w:tc>
      </w:tr>
      <w:tr>
        <w:trPr>
          <w:trHeight w:hRule="exact" w:val="200"/>
        </w:trPr>
        <w:tc>
          <w:tcPr>
            <w:tcW w:type="dxa" w:w="480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48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Loss from operations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(1,261,512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(1,261,512</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(633,215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(633,215</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(4,890,651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(4,890,651</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(4,747,067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(4,747,067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00"/>
        </w:trPr>
        <w:tc>
          <w:tcPr>
            <w:tcW w:type="dxa" w:w="480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48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income (expense):</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480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Interest expense</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(90,452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(90,452</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(15,058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(15,058</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(147,166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(147,166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(45,406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(45,406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480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Change in fair value of derivatives, net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45,160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45,160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(11,794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(11,794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36,122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36,122</w:t>
            </w:r>
          </w:p>
        </w:tc>
        <w:tc>
          <w:tcPr>
            <w:tcW w:type="dxa" w:w="77"/>
            <w:tcMar>
              <w:left w:type="dxa" w:w="0"/>
              <w:right w:type="dxa" w:w="0"/>
            </w:tcMar>
            <w:tcBorders/>
          </w:tcPr>
          <w:p/>
        </w:tc>
      </w:tr>
      <w:tr>
        <w:trPr>
          <w:trHeight w:hRule="exact" w:val="300"/>
        </w:trPr>
        <w:tc>
          <w:tcPr>
            <w:tcW w:type="dxa" w:w="480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income, net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19,135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19,135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44,308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44,308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23,907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23,907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31,728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31,728</w:t>
            </w:r>
          </w:p>
        </w:tc>
        <w:tc>
          <w:tcPr>
            <w:tcW w:type="dxa" w:w="77"/>
            <w:tcMar>
              <w:left w:type="dxa" w:w="0"/>
              <w:right w:type="dxa" w:w="0"/>
            </w:tcMar>
            <w:tcBorders/>
          </w:tcPr>
          <w:p/>
        </w:tc>
      </w:tr>
      <w:tr>
        <w:trPr>
          <w:trHeight w:hRule="exact" w:val="300"/>
        </w:trPr>
        <w:tc>
          <w:tcPr>
            <w:tcW w:type="dxa" w:w="4800"/>
            <w:tcMar>
              <w:left w:type="dxa" w:w="780"/>
              <w:right w:type="dxa" w:w="4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other income (expense), net</w:t>
            </w:r>
          </w:p>
        </w:tc>
        <w:tc>
          <w:tcPr>
            <w:tcW w:type="dxa" w:w="12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(71,317</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(71,317</w:t>
            </w:r>
          </w:p>
        </w:tc>
        <w:tc>
          <w:tcPr>
            <w:tcW w:type="dxa" w:w="77"/>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74,410</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74,410</w:t>
            </w:r>
          </w:p>
        </w:tc>
        <w:tc>
          <w:tcPr>
            <w:tcW w:type="dxa" w:w="77"/>
            <w:tcMar>
              <w:left w:type="dxa" w:w="0"/>
              <w:right w:type="dxa" w:w="0"/>
            </w:tcMar>
            <w:tcBorders>
              <w:top w:val="single" w:sz="8" w:space="0"/>
              <w:bottom w:val="single" w:sz="8"/>
            </w:tcBorders>
          </w:tcP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(135,053</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(135,053</w:t>
            </w:r>
          </w:p>
        </w:tc>
        <w:tc>
          <w:tcPr>
            <w:tcW w:type="dxa" w:w="77"/>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22,444</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22,444</w:t>
            </w:r>
          </w:p>
        </w:tc>
        <w:tc>
          <w:tcPr>
            <w:tcW w:type="dxa" w:w="77"/>
            <w:tcMar>
              <w:left w:type="dxa" w:w="0"/>
              <w:right w:type="dxa" w:w="0"/>
            </w:tcMar>
            <w:tcBorders>
              <w:top w:val="single" w:sz="8" w:space="0"/>
              <w:bottom w:val="single" w:sz="8"/>
            </w:tcBorders>
          </w:tcPr>
          <w:p/>
        </w:tc>
      </w:tr>
      <w:tr>
        <w:trPr>
          <w:trHeight w:hRule="exact" w:val="200"/>
        </w:trPr>
        <w:tc>
          <w:tcPr>
            <w:tcW w:type="dxa" w:w="480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4800"/>
            <w:tcMar>
              <w:left w:type="dxa" w:w="60"/>
              <w:right w:type="dxa" w:w="4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Net loss</w:t>
            </w: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(1,332,829</w:t>
            </w:r>
          </w:p>
        </w:tc>
        <w:tc>
          <w:tcPr>
            <w:tcW w:type="dxa" w:w="77"/>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double" w:sz="4"/>
            </w:tcBorders>
            <w:vAlign w:val="bottom"/>
          </w:tcPr>
          <w:p>
            <w:pPr>
              <w:jc w:val="left"/>
              <w:keepNext/>
              <w:keepLines/>
              <w:spacing w:before="40" w:after="40" w:line="240" w:lineRule="auto"/>
              <w:rPr/>
            </w:pPr>
            <w:r>
              <w:rPr/>
            </w: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(558,805</w:t>
            </w:r>
          </w:p>
        </w:tc>
        <w:tc>
          <w:tcPr>
            <w:tcW w:type="dxa" w:w="77"/>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double" w:sz="4"/>
            </w:tcBorders>
            <w:vAlign w:val="bottom"/>
          </w:tcPr>
          <w:p>
            <w:pPr>
              <w:jc w:val="left"/>
              <w:keepNext/>
              <w:keepLines/>
              <w:spacing w:before="40" w:after="40" w:line="240" w:lineRule="auto"/>
              <w:rPr/>
            </w:pPr>
            <w:r>
              <w:rPr/>
            </w: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(5,025,704</w:t>
            </w:r>
          </w:p>
        </w:tc>
        <w:tc>
          <w:tcPr>
            <w:tcW w:type="dxa" w:w="77"/>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double" w:sz="4"/>
            </w:tcBorders>
            <w:vAlign w:val="bottom"/>
          </w:tcPr>
          <w:p>
            <w:pPr>
              <w:jc w:val="left"/>
              <w:keepNext/>
              <w:keepLines/>
              <w:spacing w:before="40" w:after="40" w:line="240" w:lineRule="auto"/>
              <w:rPr/>
            </w:pPr>
            <w:r>
              <w:rPr/>
            </w: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(4,724,623</w:t>
            </w:r>
          </w:p>
        </w:tc>
        <w:tc>
          <w:tcPr>
            <w:tcW w:type="dxa" w:w="77"/>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400"/>
        </w:trPr>
        <w:tc>
          <w:tcPr>
            <w:tcW w:type="dxa" w:w="480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500"/>
        </w:trPr>
        <w:tc>
          <w:tcPr>
            <w:tcW w:type="dxa" w:w="4800"/>
            <w:tcMar>
              <w:left w:type="dxa" w:w="60"/>
              <w:right w:type="dxa" w:w="4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 common shares outstanding – basic and diluted</w:t>
            </w:r>
          </w:p>
        </w:tc>
        <w:tc>
          <w:tcPr>
            <w:tcW w:type="dxa" w:w="122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10,365,750</w:t>
            </w:r>
          </w:p>
        </w:tc>
        <w:tc>
          <w:tcPr>
            <w:tcMar>
              <w:left w:type="dxa" w:w="0"/>
              <w:right w:type="dxa" w:w="0"/>
            </w:tcMar>
            <w:tcBorders>
              <w:bottom w:val="double" w:sz="4"/>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10,365,750</w:t>
            </w:r>
          </w:p>
        </w:tc>
        <w:tc>
          <w:tcPr>
            <w:tcW w:type="dxa" w:w="77"/>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Next/>
              <w:keepLines/>
              <w:spacing w:before="40" w:after="40" w:line="240" w:lineRule="auto"/>
              <w:rPr/>
            </w:pPr>
            <w:r>
              <w:rPr/>
            </w:r>
          </w:p>
        </w:tc>
        <w:tc>
          <w:tcPr>
            <w:tcW w:type="dxa" w:w="122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5,702,297</w:t>
            </w:r>
          </w:p>
        </w:tc>
        <w:tc>
          <w:tcPr>
            <w:tcMar>
              <w:left w:type="dxa" w:w="0"/>
              <w:right w:type="dxa" w:w="0"/>
            </w:tcMar>
            <w:tcBorders>
              <w:bottom w:val="double" w:sz="4"/>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5,702,297</w:t>
            </w:r>
          </w:p>
        </w:tc>
        <w:tc>
          <w:tcPr>
            <w:tcW w:type="dxa" w:w="77"/>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Next/>
              <w:keepLines/>
              <w:spacing w:before="40" w:after="40" w:line="240" w:lineRule="auto"/>
              <w:rPr/>
            </w:pPr>
            <w:r>
              <w:rPr/>
            </w:r>
          </w:p>
        </w:tc>
        <w:tc>
          <w:tcPr>
            <w:tcW w:type="dxa" w:w="122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7,351,827</w:t>
            </w:r>
          </w:p>
        </w:tc>
        <w:tc>
          <w:tcPr>
            <w:tcMar>
              <w:left w:type="dxa" w:w="0"/>
              <w:right w:type="dxa" w:w="0"/>
            </w:tcMar>
            <w:tcBorders>
              <w:bottom w:val="double" w:sz="4"/>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7,351,827</w:t>
            </w:r>
          </w:p>
        </w:tc>
        <w:tc>
          <w:tcPr>
            <w:tcW w:type="dxa" w:w="77"/>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Next/>
              <w:keepLines/>
              <w:spacing w:before="40" w:after="40" w:line="240" w:lineRule="auto"/>
              <w:rPr/>
            </w:pPr>
            <w:r>
              <w:rPr/>
            </w:r>
          </w:p>
        </w:tc>
        <w:tc>
          <w:tcPr>
            <w:tcW w:type="dxa" w:w="122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5,659,423</w:t>
            </w:r>
          </w:p>
        </w:tc>
        <w:tc>
          <w:tcPr>
            <w:tcMar>
              <w:left w:type="dxa" w:w="0"/>
              <w:right w:type="dxa" w:w="0"/>
            </w:tcMar>
            <w:tcBorders>
              <w:bottom w:val="double" w:sz="4"/>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5,659,423</w:t>
            </w:r>
          </w:p>
        </w:tc>
        <w:tc>
          <w:tcPr>
            <w:tcW w:type="dxa" w:w="77"/>
            <w:tcMar>
              <w:left w:type="dxa" w:w="0"/>
              <w:right w:type="dxa" w:w="0"/>
            </w:tcMar>
            <w:tcBorders>
              <w:bottom w:val="double" w:sz="4"/>
            </w:tcBorders>
          </w:tcPr>
          <w:p/>
        </w:tc>
      </w:tr>
      <w:tr>
        <w:trPr>
          <w:trHeight w:hRule="exact" w:val="300"/>
        </w:trPr>
        <w:tc>
          <w:tcPr>
            <w:tcW w:type="dxa" w:w="4800"/>
            <w:tcMar>
              <w:left w:type="dxa" w:w="60"/>
              <w:right w:type="dxa" w:w="4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Basic and diluted loss per common share</w:t>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(0.13</w:t>
            </w:r>
          </w:p>
        </w:tc>
        <w:tc>
          <w:tcPr>
            <w:tcW w:type="dxa" w:w="77"/>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(0.10</w:t>
            </w:r>
          </w:p>
        </w:tc>
        <w:tc>
          <w:tcPr>
            <w:tcW w:type="dxa" w:w="77"/>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(0.68</w:t>
            </w:r>
          </w:p>
        </w:tc>
        <w:tc>
          <w:tcPr>
            <w:tcW w:type="dxa" w:w="77"/>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(0.83</w:t>
            </w:r>
          </w:p>
        </w:tc>
        <w:tc>
          <w:tcPr>
            <w:tcW w:type="dxa" w:w="77"/>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See accompanying notes to the unaudited consolidated financial statements.</w:t>
      </w:r>
    </w:p>
    <w:p>
      <w:pPr>
        <w:sectPr>
          <w:pgNumType w:fmt="decimal" w:chapSep="period"/>
          <w:pgSz w:w="12240" w:h="15840"/>
          <w:pgMar w:top="860" w:left="1000" w:right="1000" w:bottom="860" w:footer="460" w:gutter="0" w:header="160"/>
          <w:headerReference r:id="rId1" w:type="default"/>
          <w:footerReference r:id="rId7" w:type="default"/>
        </w:sectPr>
      </w:pP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IZEA Worldwide, Inc.</w:t>
      </w:r>
      <w:bookmarkStart w:id="50201" w:name="Unaudited_Consolidated_Statement_of_Stoc"/>
      <w:bookmarkEnd w:id="50201"/>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Unaudited Consolidated Statement of Stockholders’ Equity</w:t>
      </w:r>
    </w:p>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r>
    </w:p>
    <w:tbl>
      <w:tblPr>
        <w:tblW w:type="dxa" w:w="10020"/>
        <w:tblLayout w:type="fixed"/>
        <w:jc w:val="center"/>
      </w:tblPr>
      <w:tblGrid>
        <w:gridCol w:w="4300"/>
        <w:gridCol w:w="80"/>
        <w:gridCol w:w="1010"/>
        <w:gridCol w:w="70"/>
        <w:gridCol w:w="80"/>
        <w:gridCol w:w="100"/>
        <w:gridCol w:w="650"/>
        <w:gridCol w:w="70"/>
        <w:gridCol w:w="80"/>
        <w:gridCol w:w="100"/>
        <w:gridCol w:w="990"/>
        <w:gridCol w:w="70"/>
        <w:gridCol w:w="80"/>
        <w:gridCol w:w="100"/>
        <w:gridCol w:w="1010"/>
        <w:gridCol w:w="70"/>
        <w:gridCol w:w="80"/>
        <w:gridCol w:w="100"/>
        <w:gridCol w:w="910"/>
        <w:gridCol w:w="70"/>
      </w:tblGrid>
      <w:tr>
        <w:trPr>
          <w:trHeight w:hRule="exact" w:val="580"/>
        </w:trPr>
        <w:tc>
          <w:tcPr>
            <w:tcW w:type="dxa" w:w="4300"/>
            <w:tcMar>
              <w:left w:type="dxa" w:w="60"/>
              <w:right w:type="dxa" w:w="0"/>
            </w:tcMar>
            <w:tcBorders/>
            <w:vAlign w:val="bottom"/>
          </w:tcPr>
          <w:p>
            <w:pPr>
              <w:jc w:val="left"/>
              <w:keepNext/>
              <w:keepLines/>
              <w:spacing w:before="40" w:after="40" w:line="240" w:lineRule="auto"/>
              <w:rPr/>
            </w:pPr>
            <w:r>
              <w:rPr/>
            </w:r>
          </w:p>
        </w:tc>
        <w:tc>
          <w:tcPr>
            <w:tcW w:type="dxa" w:w="80"/>
            <w:tcMar>
              <w:left w:type="dxa" w:w="60"/>
              <w:right w:type="dxa" w:w="0"/>
            </w:tcMar>
            <w:tcBorders/>
            <w:vAlign w:val="bottom"/>
          </w:tcPr>
          <w:p>
            <w:pPr>
              <w:jc w:val="left"/>
              <w:keepNext/>
              <w:keepLines/>
              <w:spacing w:before="40" w:after="40" w:line="240" w:lineRule="auto"/>
              <w:rPr/>
            </w:pPr>
            <w:r>
              <w:rPr/>
            </w:r>
          </w:p>
        </w:tc>
        <w:tc>
          <w:tcPr>
            <w:tcW w:type="dxa" w:w="174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Common Stock</w:t>
            </w:r>
          </w:p>
        </w:tc>
        <w:tc>
          <w:tcPr>
            <w:tcMar>
              <w:left w:type="dxa" w:w="0"/>
              <w:right w:type="dxa" w:w="6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Mar>
              <w:left w:type="dxa" w:w="60"/>
              <w:right w:type="dxa" w:w="60"/>
            </w:tcMar>
            <w:hMerge w:val="continue"/>
            <w:tcBorders/>
            <w:vAlign w:val="bottom"/>
          </w:tcPr>
          <w:p>
            <w:pPr>
              <w:jc w:val="left"/>
              <w:keepNext/>
              <w:keepLines/>
              <w:spacing w:before="40" w:after="40" w:line="240" w:lineRule="auto"/>
              <w:rPr/>
            </w:pPr>
            <w:r>
              <w:rPr/>
            </w:r>
          </w:p>
        </w:tc>
        <w:tc>
          <w:tcPr>
            <w:tcMar>
              <w:left w:type="dxa" w:w="60"/>
              <w:right w:type="dxa" w:w="60"/>
            </w:tcMar>
            <w:hMerge w:val="continue"/>
            <w:tcBorders/>
          </w:tcPr>
          <w:p>
            <w:pPr>
              <w:jc w:val="left"/>
              <w:keepNext/>
              <w:keepLines/>
              <w:spacing w:before="40" w:after="40" w:line="240" w:lineRule="auto"/>
              <w:rPr/>
            </w:pPr>
            <w:r>
              <w:rPr/>
            </w:r>
          </w:p>
        </w:tc>
        <w:tc>
          <w:tcPr>
            <w:tcMar>
              <w:left w:type="dxa" w:w="0"/>
              <w:right w:type="dxa" w:w="6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Additional</w:t>
            </w:r>
          </w:p>
          <w:p>
            <w:pPr>
              <w:jc w:val="center"/>
              <w:keepNext/>
              <w:keepLines/>
              <w:spacing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Paid-In</w:t>
            </w:r>
          </w:p>
        </w:tc>
        <w:tc>
          <w:tcPr>
            <w:tcMar>
              <w:left w:type="dxa" w:w="60"/>
              <w:right w:type="dxa" w:w="60"/>
            </w:tcMar>
            <w:tcBorders/>
            <w:vAlign w:val="bottom"/>
            <w:hMerge w:val="continue"/>
          </w:tcPr>
          <w:p>
            <w:pPr>
              <w:jc w:val="center"/>
              <w:keepNext/>
              <w:keepLines/>
              <w:spacing w:before="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Additional</w:t>
            </w:r>
          </w:p>
          <w:p>
            <w:pPr>
              <w:jc w:val="center"/>
              <w:keepNext/>
              <w:keepLines/>
              <w:spacing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Paid-In</w:t>
            </w:r>
          </w:p>
        </w:tc>
        <w:tc>
          <w:tcPr>
            <w:tcMar>
              <w:left w:type="dxa" w:w="0"/>
              <w:right w:type="dxa" w:w="6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Accumulated</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Accumulated</w:t>
            </w:r>
          </w:p>
        </w:tc>
        <w:tc>
          <w:tcPr>
            <w:tcMar>
              <w:left w:type="dxa" w:w="0"/>
              <w:right w:type="dxa" w:w="60"/>
            </w:tcMar>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Total</w:t>
            </w:r>
          </w:p>
          <w:p>
            <w:pPr>
              <w:jc w:val="center"/>
              <w:keepNext/>
              <w:keepLines/>
              <w:spacing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Stockholders’</w:t>
            </w:r>
          </w:p>
        </w:tc>
        <w:tc>
          <w:tcPr>
            <w:tcMar>
              <w:left w:type="dxa" w:w="60"/>
              <w:right w:type="dxa" w:w="60"/>
            </w:tcMar>
            <w:tcBorders/>
            <w:vAlign w:val="bottom"/>
            <w:hMerge w:val="continue"/>
          </w:tcPr>
          <w:p>
            <w:pPr>
              <w:jc w:val="center"/>
              <w:keepNext/>
              <w:keepLines/>
              <w:spacing w:before="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Total</w:t>
            </w:r>
          </w:p>
          <w:p>
            <w:pPr>
              <w:jc w:val="center"/>
              <w:keepNext/>
              <w:keepLines/>
              <w:spacing w:after="40" w:line="240" w:lineRule="auto"/>
              <w:rPr>
                <w:rFonts w:ascii="Times New Roman" w:hAnsi="Times New Roman" w:eastAsia="Times New Roman" w:cs="Times New Roman"/>
                <w:sz w:val="16"/>
              </w:rPr>
            </w:pPr>
            <w:r>
              <w:rPr>
                <w:rFonts w:ascii="Times New Roman" w:hAnsi="Times New Roman" w:eastAsia="Times New Roman" w:cs="Times New Roman"/>
                <w:sz w:val="16"/>
              </w:rPr>
              <w:t xml:space="preserve">Stockholders’</w:t>
            </w:r>
          </w:p>
        </w:tc>
        <w:tc>
          <w:tcPr>
            <w:tcMar>
              <w:left w:type="dxa" w:w="0"/>
              <w:right w:type="dxa" w:w="60"/>
            </w:tcMar>
            <w:tcBorders/>
            <w:hMerge w:val="continue"/>
          </w:tcPr>
          <w:p/>
        </w:tc>
      </w:tr>
      <w:tr>
        <w:trPr>
          <w:trHeight w:hRule="exact" w:val="240"/>
        </w:trPr>
        <w:tc>
          <w:tcPr>
            <w:tcW w:type="dxa" w:w="4300"/>
            <w:tcMar>
              <w:left w:type="dxa" w:w="60"/>
              <w:right w:type="dxa" w:w="60"/>
            </w:tcMar>
            <w:tcBorders>
              <w:bottom w:val="single" w:sz="8"/>
            </w:tcBorders>
            <w:vAlign w:val="bottom"/>
          </w:tcPr>
          <w:p>
            <w:pPr>
              <w:jc w:val="left"/>
              <w:keepNext/>
              <w:keepLines/>
              <w:spacing w:before="40" w:after="40" w:line="240" w:lineRule="auto"/>
              <w:rPr/>
            </w:pPr>
            <w:r>
              <w:rPr/>
            </w:r>
          </w:p>
        </w:tc>
        <w:tc>
          <w:tcPr>
            <w:tcW w:type="dxa" w:w="80"/>
            <w:tcMar>
              <w:left w:type="dxa" w:w="0"/>
              <w:right w:type="dxa" w:w="0"/>
            </w:tcMar>
            <w:tcBorders>
              <w:bottom w:val="single" w:sz="8"/>
            </w:tcBorders>
            <w:vAlign w:val="bottom"/>
          </w:tcPr>
          <w:p>
            <w:pPr>
              <w:jc w:val="left"/>
              <w:keepNext/>
              <w:keepLines/>
              <w:spacing w:before="40" w:after="40" w:line="240" w:lineRule="auto"/>
              <w:rPr/>
            </w:pPr>
            <w:r>
              <w:rPr/>
            </w:r>
          </w:p>
        </w:tc>
        <w:tc>
          <w:tcPr>
            <w:tcW w:type="dxa" w:w="101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Shares</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Amount</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Amount</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Capital</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Capital</w:t>
            </w:r>
          </w:p>
        </w:tc>
        <w:tc>
          <w:tcPr>
            <w:tcMar>
              <w:left w:type="dxa" w:w="0"/>
              <w:right w:type="dxa" w:w="60"/>
            </w:tcMar>
            <w:tcBorders>
              <w:bottom w:val="single" w:sz="8"/>
            </w:tcBorders>
            <w:hMerge w:val="continue"/>
          </w:tcPr>
          <w:p/>
        </w:tc>
        <w:tc>
          <w:tcPr>
            <w:tcW w:type="dxa" w:w="80"/>
            <w:tcMar>
              <w:left w:type="dxa" w:w="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Deficit</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Deficit</w:t>
            </w:r>
          </w:p>
        </w:tc>
        <w:tc>
          <w:tcPr>
            <w:tcMar>
              <w:left w:type="dxa" w:w="0"/>
              <w:right w:type="dxa" w:w="60"/>
            </w:tcMar>
            <w:tcBorders>
              <w:bottom w:val="single" w:sz="8"/>
            </w:tcBorders>
            <w:hMerge w:val="continue"/>
          </w:tcPr>
          <w:p/>
        </w:tc>
        <w:tc>
          <w:tcPr>
            <w:tcW w:type="dxa" w:w="80"/>
            <w:tcMar>
              <w:left w:type="dxa" w:w="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Equity</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16"/>
              </w:rPr>
            </w:pPr>
            <w:r>
              <w:rPr>
                <w:rFonts w:ascii="Times New Roman" w:hAnsi="Times New Roman" w:eastAsia="Times New Roman" w:cs="Times New Roman"/>
                <w:sz w:val="16"/>
                <w:color w:val="000000"/>
              </w:rPr>
              <w:t xml:space="preserve">Equity</w:t>
            </w:r>
          </w:p>
        </w:tc>
        <w:tc>
          <w:tcPr>
            <w:tcMar>
              <w:left w:type="dxa" w:w="0"/>
              <w:right w:type="dxa" w:w="60"/>
            </w:tcMar>
            <w:tcBorders>
              <w:bottom w:val="single" w:sz="8"/>
            </w:tcBorders>
            <w:hMerge w:val="continue"/>
          </w:tcPr>
          <w:p/>
        </w:tc>
      </w:tr>
      <w:tr>
        <w:trPr>
          <w:trHeight w:hRule="exact" w:val="280"/>
        </w:trPr>
        <w:tc>
          <w:tcPr>
            <w:tcW w:type="dxa" w:w="43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Balance, December 31, 2017</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5,733,981</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65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573</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99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52,570,432</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(47,277,420</w:t>
            </w:r>
          </w:p>
        </w:tc>
        <w:tc>
          <w:tcPr>
            <w:tcW w:type="dxa" w:w="7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9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5,293,585</w:t>
            </w:r>
          </w:p>
        </w:tc>
        <w:tc>
          <w:tcPr>
            <w:tcW w:type="dxa" w:w="70"/>
            <w:tcMar>
              <w:left w:type="dxa" w:w="0"/>
              <w:right w:type="dxa" w:w="0"/>
            </w:tcMar>
            <w:tcBorders/>
          </w:tcPr>
          <w:p/>
        </w:tc>
      </w:tr>
      <w:tr>
        <w:trPr>
          <w:trHeight w:hRule="exact" w:val="460"/>
        </w:trPr>
        <w:tc>
          <w:tcPr>
            <w:tcW w:type="dxa" w:w="43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Cumulative effect of change in accounting policy to ASC 606</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75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9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(98,822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(98,822</w:t>
            </w:r>
          </w:p>
        </w:tc>
        <w:tc>
          <w:tcPr>
            <w:tcW w:type="dxa" w:w="7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(98,822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(98,822</w:t>
            </w:r>
          </w:p>
        </w:tc>
        <w:tc>
          <w:tcPr>
            <w:tcW w:type="dxa" w:w="7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hRule="exact" w:val="280"/>
        </w:trPr>
        <w:tc>
          <w:tcPr>
            <w:tcW w:type="dxa" w:w="43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Sale of securities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4,963,333</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75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496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496</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9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5,666,504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5,666,504</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5,667,000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5,667,000</w:t>
            </w:r>
          </w:p>
        </w:tc>
        <w:tc>
          <w:tcPr>
            <w:tcW w:type="dxa" w:w="70"/>
            <w:tcMar>
              <w:left w:type="dxa" w:w="0"/>
              <w:right w:type="dxa" w:w="0"/>
            </w:tcMar>
            <w:tcBorders/>
          </w:tcPr>
          <w:p/>
        </w:tc>
      </w:tr>
      <w:tr>
        <w:trPr>
          <w:trHeight w:hRule="exact" w:val="280"/>
        </w:trPr>
        <w:tc>
          <w:tcPr>
            <w:tcW w:type="dxa" w:w="43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Stock issued for payment of acquisition liability</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1,248,765</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75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125</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9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1,896,658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1,896,658</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1,896,783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1,896,783</w:t>
            </w:r>
          </w:p>
        </w:tc>
        <w:tc>
          <w:tcPr>
            <w:tcW w:type="dxa" w:w="70"/>
            <w:tcMar>
              <w:left w:type="dxa" w:w="0"/>
              <w:right w:type="dxa" w:w="0"/>
            </w:tcMar>
            <w:tcBorders/>
          </w:tcPr>
          <w:p/>
        </w:tc>
      </w:tr>
      <w:tr>
        <w:trPr>
          <w:trHeight w:hRule="exact" w:val="280"/>
        </w:trPr>
        <w:tc>
          <w:tcPr>
            <w:tcW w:type="dxa" w:w="43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Stock purchase plan issuances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11,189</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75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9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9,034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9,034</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9,035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9,035</w:t>
            </w:r>
          </w:p>
        </w:tc>
        <w:tc>
          <w:tcPr>
            <w:tcW w:type="dxa" w:w="70"/>
            <w:tcMar>
              <w:left w:type="dxa" w:w="0"/>
              <w:right w:type="dxa" w:w="0"/>
            </w:tcMar>
            <w:tcBorders/>
          </w:tcPr>
          <w:p/>
        </w:tc>
      </w:tr>
      <w:tr>
        <w:trPr>
          <w:trHeight w:hRule="exact" w:val="280"/>
        </w:trPr>
        <w:tc>
          <w:tcPr>
            <w:tcW w:type="dxa" w:w="43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Stock issued for payment of services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30,265</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75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3</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9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124,997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124,997</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125,000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125,000</w:t>
            </w:r>
          </w:p>
        </w:tc>
        <w:tc>
          <w:tcPr>
            <w:tcW w:type="dxa" w:w="70"/>
            <w:tcMar>
              <w:left w:type="dxa" w:w="0"/>
              <w:right w:type="dxa" w:w="0"/>
            </w:tcMar>
            <w:tcBorders/>
          </w:tcPr>
          <w:p/>
        </w:tc>
      </w:tr>
      <w:tr>
        <w:trPr>
          <w:trHeight w:hRule="exact" w:val="280"/>
        </w:trPr>
        <w:tc>
          <w:tcPr>
            <w:tcW w:type="dxa" w:w="43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Stock issuance costs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75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9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(709,634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(709,634</w:t>
            </w:r>
          </w:p>
        </w:tc>
        <w:tc>
          <w:tcPr>
            <w:tcW w:type="dxa" w:w="7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(709,634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(709,634</w:t>
            </w:r>
          </w:p>
        </w:tc>
        <w:tc>
          <w:tcPr>
            <w:tcW w:type="dxa" w:w="7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hRule="exact" w:val="280"/>
        </w:trPr>
        <w:tc>
          <w:tcPr>
            <w:tcW w:type="dxa" w:w="43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Stock-based compensation</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85,498</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75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9</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9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712,364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712,364</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10"/>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712,373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712,373</w:t>
            </w:r>
          </w:p>
        </w:tc>
        <w:tc>
          <w:tcPr>
            <w:tcW w:type="dxa" w:w="70"/>
            <w:tcMar>
              <w:left w:type="dxa" w:w="0"/>
              <w:right w:type="dxa" w:w="0"/>
            </w:tcMar>
            <w:tcBorders/>
          </w:tcPr>
          <w:p/>
        </w:tc>
      </w:tr>
      <w:tr>
        <w:trPr>
          <w:trHeight w:hRule="exact" w:val="280"/>
        </w:trPr>
        <w:tc>
          <w:tcPr>
            <w:tcW w:type="dxa" w:w="430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Net loss</w:t>
            </w: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010"/>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750"/>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090"/>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70"/>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110"/>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(5,025,704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(5,025,704</w:t>
            </w:r>
          </w:p>
        </w:tc>
        <w:tc>
          <w:tcPr>
            <w:tcW w:type="dxa" w:w="70"/>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010"/>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(5,025,704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(5,025,704</w:t>
            </w:r>
          </w:p>
        </w:tc>
        <w:tc>
          <w:tcPr>
            <w:tcW w:type="dxa" w:w="70"/>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r>
      <w:tr>
        <w:trPr>
          <w:trHeight w:hRule="exact" w:val="280"/>
        </w:trPr>
        <w:tc>
          <w:tcPr>
            <w:tcW w:type="dxa" w:w="4300"/>
            <w:tcMar>
              <w:left w:type="dxa" w:w="60"/>
              <w:right w:type="dxa" w:w="40"/>
            </w:tcMar>
            <w:tcBorders>
              <w:bottom w:val="double" w:sz="4"/>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Balance, September 30, 2018</w:t>
            </w: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010"/>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12,073,031</w:t>
            </w:r>
          </w:p>
        </w:tc>
        <w:tc>
          <w:tcPr>
            <w:tcW w:type="dxa" w:w="70"/>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0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650"/>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1,207</w:t>
            </w:r>
          </w:p>
        </w:tc>
        <w:tc>
          <w:tcPr>
            <w:tcW w:type="dxa" w:w="70"/>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0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990"/>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60,270,355</w:t>
            </w:r>
          </w:p>
        </w:tc>
        <w:tc>
          <w:tcPr>
            <w:tcW w:type="dxa" w:w="70"/>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0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1010"/>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(52,401,946</w:t>
            </w:r>
          </w:p>
        </w:tc>
        <w:tc>
          <w:tcPr>
            <w:tcW w:type="dxa" w:w="7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0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w:t>
            </w:r>
          </w:p>
        </w:tc>
        <w:tc>
          <w:tcPr>
            <w:tcW w:type="dxa" w:w="910"/>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18"/>
              </w:rPr>
            </w:pPr>
            <w:r>
              <w:rPr>
                <w:rFonts w:ascii="Times New Roman" w:hAnsi="Times New Roman" w:eastAsia="Times New Roman" w:cs="Times New Roman"/>
                <w:sz w:val="18"/>
                <w:color w:val="000000"/>
              </w:rPr>
              <w:t xml:space="preserve">7,869,616</w:t>
            </w:r>
          </w:p>
        </w:tc>
        <w:tc>
          <w:tcPr>
            <w:tcW w:type="dxa" w:w="70"/>
            <w:tcMar>
              <w:left w:type="dxa" w:w="0"/>
              <w:right w:type="dxa" w:w="0"/>
            </w:tcMar>
            <w:tcBorders>
              <w:bottom w:val="double" w:sz="4"/>
            </w:tcBorders>
          </w:tcPr>
          <w:p/>
        </w:tc>
      </w:tr>
    </w:tbl>
    <w:p>
      <w:pPr>
        <w:jc w:val="center"/>
        <w:spacing w:before="6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See accompanying notes to the unaudited consolidated financial statements.</w:t>
      </w:r>
    </w:p>
    <w:p>
      <w:pPr>
        <w:sectPr>
          <w:pgNumType w:fmt="decimal" w:chapSep="period"/>
          <w:pgSz w:w="12240" w:h="15840"/>
          <w:pgMar w:top="860" w:left="1000" w:right="1000" w:bottom="860" w:footer="460" w:gutter="0" w:header="160"/>
          <w:headerReference r:id="rId1" w:type="default"/>
          <w:footerReference r:id="rId8" w:type="default"/>
        </w:sectPr>
      </w:pPr>
    </w:p>
    <w:p>
      <w:pPr>
        <w:tabs>
          <w:tab w:val="left" w:pos="7920"/>
        </w:tabs>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IZEA Worldwide, Inc.</w:t>
      </w:r>
      <w:bookmarkStart w:id="47507" w:name="Unaudited_Consolidated_Statements_of_Cas"/>
      <w:bookmarkEnd w:id="47507"/>
    </w:p>
    <w:p>
      <w:pPr>
        <w:jc w:val="center"/>
        <w:spacing w:line="288" w:lineRule="auto" w:after="140"/>
        <w:rPr>
          <w:rFonts w:ascii="Times New Roman" w:hAnsi="Times New Roman" w:eastAsia="Times New Roman" w:cs="Times New Roman"/>
          <w:sz w:val="20"/>
        </w:rPr>
        <w:keepNext/>
      </w:pPr>
      <w:r>
        <w:rPr>
          <w:rFonts w:ascii="Times New Roman" w:hAnsi="Times New Roman" w:eastAsia="Times New Roman" w:cs="Times New Roman"/>
          <w:sz w:val="20"/>
        </w:rPr>
        <w:t xml:space="preserve">Unaudited Consolidated Statements of Cash Flows</w:t>
      </w:r>
    </w:p>
    <w:tbl>
      <w:tblPr>
        <w:tblW w:type="dxa" w:w="10240"/>
        <w:tblLayout w:type="fixed"/>
        <w:jc w:val="center"/>
      </w:tblPr>
      <w:tblGrid>
        <w:gridCol w:w="7760"/>
        <w:gridCol w:w="110"/>
        <w:gridCol w:w="1013"/>
        <w:gridCol w:w="77"/>
        <w:gridCol w:w="80"/>
        <w:gridCol w:w="110"/>
        <w:gridCol w:w="1013"/>
        <w:gridCol w:w="77"/>
      </w:tblGrid>
      <w:tr>
        <w:trPr>
          <w:trHeight w:hRule="exact" w:val="460"/>
        </w:trPr>
        <w:tc>
          <w:tcPr>
            <w:tcW w:type="dxa" w:w="776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br w:type="textWrapping"/>
              <w:t xml:space="preserve">September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br w:type="textWrapping"/>
              <w:t xml:space="preserve">September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240"/>
        </w:trPr>
        <w:tc>
          <w:tcPr>
            <w:tcW w:type="dxa" w:w="7760"/>
            <w:tcMar>
              <w:left w:type="dxa" w:w="60"/>
              <w:right w:type="dxa" w:w="0"/>
            </w:tcMar>
            <w:hMerge w:val="restart"/>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60"/>
              <w:right w:type="dxa" w:w="0"/>
            </w:tcMar>
            <w:tcBorders>
              <w:top w:val="single" w:sz="8" w:space="0"/>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0"/>
              <w:right w:type="dxa" w:w="60"/>
            </w:tcMar>
            <w:tcBorders>
              <w:top w:val="single" w:sz="8" w:space="0"/>
              <w:bottom w:val="single" w:sz="8"/>
            </w:tcBorders>
            <w:hMerge w:val="continue"/>
          </w:tcPr>
          <w:p/>
        </w:tc>
      </w:tr>
      <w:tr>
        <w:trPr>
          <w:trHeight w:hRule="exact" w:val="260"/>
        </w:trPr>
        <w:tc>
          <w:tcPr>
            <w:tcW w:type="dxa" w:w="7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Cash flows from operating activities:</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60"/>
        </w:trPr>
        <w:tc>
          <w:tcPr>
            <w:tcW w:type="dxa" w:w="77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Net loss</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(5,025,704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(4,724,623</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60"/>
        </w:trPr>
        <w:tc>
          <w:tcPr>
            <w:tcW w:type="dxa" w:w="7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Adjustments to reconcile net loss to net cash used for operating activities:</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60"/>
        </w:trPr>
        <w:tc>
          <w:tcPr>
            <w:tcW w:type="dxa" w:w="776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Depreciation and amortization</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167,900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167,900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163,597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163,597</w:t>
            </w:r>
          </w:p>
        </w:tc>
        <w:tc>
          <w:tcPr>
            <w:tcW w:type="dxa" w:w="77"/>
            <w:tcMar>
              <w:left w:type="dxa" w:w="0"/>
              <w:right w:type="dxa" w:w="0"/>
            </w:tcMar>
            <w:tcBorders/>
          </w:tcPr>
          <w:p/>
        </w:tc>
      </w:tr>
      <w:tr>
        <w:trPr>
          <w:trHeight w:hRule="exact" w:val="260"/>
        </w:trPr>
        <w:tc>
          <w:tcPr>
            <w:tcW w:type="dxa" w:w="776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Amortization of software development costs and other intangible assets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678,920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678,920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932,234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932,234</w:t>
            </w:r>
          </w:p>
        </w:tc>
        <w:tc>
          <w:tcPr>
            <w:tcW w:type="dxa" w:w="77"/>
            <w:tcMar>
              <w:left w:type="dxa" w:w="0"/>
              <w:right w:type="dxa" w:w="0"/>
            </w:tcMar>
            <w:tcBorders/>
          </w:tcPr>
          <w:p/>
        </w:tc>
      </w:tr>
      <w:tr>
        <w:trPr>
          <w:trHeight w:hRule="exact" w:val="260"/>
        </w:trPr>
        <w:tc>
          <w:tcPr>
            <w:tcW w:type="dxa" w:w="776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(Gain) loss on disposal of equipment</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5,242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5,242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(5,462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(5,462</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60"/>
        </w:trPr>
        <w:tc>
          <w:tcPr>
            <w:tcW w:type="dxa" w:w="776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Provision for losses on accounts receivable</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44,827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44,827</w:t>
            </w:r>
          </w:p>
        </w:tc>
        <w:tc>
          <w:tcPr>
            <w:tcW w:type="dxa" w:w="77"/>
            <w:tcMar>
              <w:left w:type="dxa" w:w="0"/>
              <w:right w:type="dxa" w:w="0"/>
            </w:tcMar>
            <w:tcBorders/>
          </w:tcPr>
          <w:p/>
        </w:tc>
      </w:tr>
      <w:tr>
        <w:trPr>
          <w:trHeight w:hRule="exact" w:val="260"/>
        </w:trPr>
        <w:tc>
          <w:tcPr>
            <w:tcW w:type="dxa" w:w="776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Stock-based compensation</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468,042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468,042</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509,642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509,642</w:t>
            </w:r>
          </w:p>
        </w:tc>
        <w:tc>
          <w:tcPr>
            <w:tcW w:type="dxa" w:w="77"/>
            <w:tcMar>
              <w:left w:type="dxa" w:w="0"/>
              <w:right w:type="dxa" w:w="0"/>
            </w:tcMar>
            <w:tcBorders/>
          </w:tcPr>
          <w:p/>
        </w:tc>
      </w:tr>
      <w:tr>
        <w:trPr>
          <w:trHeight w:hRule="exact" w:val="260"/>
        </w:trPr>
        <w:tc>
          <w:tcPr>
            <w:tcW w:type="dxa" w:w="776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Fair value of stock issued for payment of services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93,734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93,734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143,536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143,536</w:t>
            </w:r>
          </w:p>
        </w:tc>
        <w:tc>
          <w:tcPr>
            <w:tcW w:type="dxa" w:w="77"/>
            <w:tcMar>
              <w:left w:type="dxa" w:w="0"/>
              <w:right w:type="dxa" w:w="0"/>
            </w:tcMar>
            <w:tcBorders/>
          </w:tcPr>
          <w:p/>
        </w:tc>
      </w:tr>
      <w:tr>
        <w:trPr>
          <w:trHeight w:hRule="exact" w:val="260"/>
        </w:trPr>
        <w:tc>
          <w:tcPr>
            <w:tcW w:type="dxa" w:w="776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Increase (decrease) in fair value of contingent acquisition costs payable</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(485,747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(485,747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62,000</w:t>
            </w:r>
          </w:p>
        </w:tc>
        <w:tc>
          <w:tcPr>
            <w:tcW w:type="dxa" w:w="77"/>
            <w:tcMar>
              <w:left w:type="dxa" w:w="0"/>
              <w:right w:type="dxa" w:w="0"/>
            </w:tcMar>
            <w:tcBorders/>
          </w:tcPr>
          <w:p/>
        </w:tc>
      </w:tr>
      <w:tr>
        <w:trPr>
          <w:trHeight w:hRule="exact" w:val="260"/>
        </w:trPr>
        <w:tc>
          <w:tcPr>
            <w:tcW w:type="dxa" w:w="776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Gain on settlement of acquisition costs payable</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(84,938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(84,938</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(10,491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(10,491</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60"/>
        </w:trPr>
        <w:tc>
          <w:tcPr>
            <w:tcW w:type="dxa" w:w="7760"/>
            <w:tcMar>
              <w:left w:type="dxa" w:w="42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Change in fair value of derivatives, net</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11,794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11,794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(36,122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(36,122</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60"/>
        </w:trPr>
        <w:tc>
          <w:tcPr>
            <w:tcW w:type="dxa" w:w="7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Changes in operating assets and liabilities, net of effects of business acquired:</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60"/>
        </w:trPr>
        <w:tc>
          <w:tcPr>
            <w:tcW w:type="dxa" w:w="776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Accounts receivable</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73,744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73,744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(1,552,555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(1,552,555</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60"/>
        </w:trPr>
        <w:tc>
          <w:tcPr>
            <w:tcW w:type="dxa" w:w="776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Prepaid expenses and other current assets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32,007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32,007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(84,798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(84,798</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60"/>
        </w:trPr>
        <w:tc>
          <w:tcPr>
            <w:tcW w:type="dxa" w:w="776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Accounts payable</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924,039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924,039</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242,033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242,033</w:t>
            </w:r>
          </w:p>
        </w:tc>
        <w:tc>
          <w:tcPr>
            <w:tcW w:type="dxa" w:w="77"/>
            <w:tcMar>
              <w:left w:type="dxa" w:w="0"/>
              <w:right w:type="dxa" w:w="0"/>
            </w:tcMar>
            <w:tcBorders/>
          </w:tcPr>
          <w:p/>
        </w:tc>
      </w:tr>
      <w:tr>
        <w:trPr>
          <w:trHeight w:hRule="exact" w:val="260"/>
        </w:trPr>
        <w:tc>
          <w:tcPr>
            <w:tcW w:type="dxa" w:w="776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Accrued expenses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(1,638,319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(1,638,319</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946,002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946,002</w:t>
            </w:r>
          </w:p>
        </w:tc>
        <w:tc>
          <w:tcPr>
            <w:tcW w:type="dxa" w:w="77"/>
            <w:tcMar>
              <w:left w:type="dxa" w:w="0"/>
              <w:right w:type="dxa" w:w="0"/>
            </w:tcMar>
            <w:tcBorders/>
          </w:tcPr>
          <w:p/>
        </w:tc>
      </w:tr>
      <w:tr>
        <w:trPr>
          <w:trHeight w:hRule="exact" w:val="260"/>
        </w:trPr>
        <w:tc>
          <w:tcPr>
            <w:tcW w:type="dxa" w:w="776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Contract liabilities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654,859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654,859</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260"/>
        </w:trPr>
        <w:tc>
          <w:tcPr>
            <w:tcW w:type="dxa" w:w="776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Unearned revenue</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435,054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435,054</w:t>
            </w:r>
          </w:p>
        </w:tc>
        <w:tc>
          <w:tcPr>
            <w:tcW w:type="dxa" w:w="77"/>
            <w:tcMar>
              <w:left w:type="dxa" w:w="0"/>
              <w:right w:type="dxa" w:w="0"/>
            </w:tcMar>
            <w:tcBorders/>
          </w:tcPr>
          <w:p/>
        </w:tc>
      </w:tr>
      <w:tr>
        <w:trPr>
          <w:trHeight w:hRule="exact" w:val="260"/>
        </w:trPr>
        <w:tc>
          <w:tcPr>
            <w:tcW w:type="dxa" w:w="7760"/>
            <w:tcMar>
              <w:left w:type="dxa" w:w="54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Deferred rent</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(33,359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(33,359</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(25,764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(25,764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7760"/>
            <w:tcMar>
              <w:left w:type="dxa" w:w="60"/>
              <w:right w:type="dxa" w:w="4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Net cash used for operating activities</w:t>
            </w:r>
          </w:p>
        </w:tc>
        <w:tc>
          <w:tcPr>
            <w:tcW w:type="dxa" w:w="11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(4,157,786</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(4,157,786</w:t>
            </w:r>
          </w:p>
        </w:tc>
        <w:tc>
          <w:tcPr>
            <w:tcW w:type="dxa" w:w="77"/>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11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(2,960,890</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(2,960,890</w:t>
            </w:r>
          </w:p>
        </w:tc>
        <w:tc>
          <w:tcPr>
            <w:tcW w:type="dxa" w:w="77"/>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160"/>
        </w:trPr>
        <w:tc>
          <w:tcPr>
            <w:tcW w:type="dxa" w:w="77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60"/>
        </w:trPr>
        <w:tc>
          <w:tcPr>
            <w:tcW w:type="dxa" w:w="7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Cash flows from investing activities:</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60"/>
        </w:trPr>
        <w:tc>
          <w:tcPr>
            <w:tcW w:type="dxa" w:w="77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Purchase of equipment</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(157,384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(157,384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(7,762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(7,762</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60"/>
        </w:trPr>
        <w:tc>
          <w:tcPr>
            <w:tcW w:type="dxa" w:w="77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Merger with TapInfluence, net of cash acquired</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11,266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11,266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260"/>
        </w:trPr>
        <w:tc>
          <w:tcPr>
            <w:tcW w:type="dxa" w:w="77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Increase in software development costs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(486,927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(486,927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(85,460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(85,460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60"/>
        </w:trPr>
        <w:tc>
          <w:tcPr>
            <w:tcW w:type="dxa" w:w="77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Security deposits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(5,610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(5,610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4,309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4,309</w:t>
            </w:r>
          </w:p>
        </w:tc>
        <w:tc>
          <w:tcPr>
            <w:tcW w:type="dxa" w:w="77"/>
            <w:tcMar>
              <w:left w:type="dxa" w:w="0"/>
              <w:right w:type="dxa" w:w="0"/>
            </w:tcMar>
            <w:tcBorders/>
          </w:tcPr>
          <w:p/>
        </w:tc>
      </w:tr>
      <w:tr>
        <w:trPr>
          <w:trHeight w:hRule="exact" w:val="300"/>
        </w:trPr>
        <w:tc>
          <w:tcPr>
            <w:tcW w:type="dxa" w:w="7760"/>
            <w:tcMar>
              <w:left w:type="dxa" w:w="60"/>
              <w:right w:type="dxa" w:w="4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Net cash used for investing activities</w:t>
            </w:r>
          </w:p>
        </w:tc>
        <w:tc>
          <w:tcPr>
            <w:tcW w:type="dxa" w:w="11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(638,655</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(638,655</w:t>
            </w:r>
          </w:p>
        </w:tc>
        <w:tc>
          <w:tcPr>
            <w:tcW w:type="dxa" w:w="77"/>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11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(88,913</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(88,913</w:t>
            </w:r>
          </w:p>
        </w:tc>
        <w:tc>
          <w:tcPr>
            <w:tcW w:type="dxa" w:w="77"/>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160"/>
        </w:trPr>
        <w:tc>
          <w:tcPr>
            <w:tcW w:type="dxa" w:w="77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60"/>
        </w:trPr>
        <w:tc>
          <w:tcPr>
            <w:tcW w:type="dxa" w:w="7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Cash flows from financing activities:</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77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Payments on acquisition liabilities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(120,930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(120,930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(266,898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(266,898</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77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Proceeds from sale of securities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5,667,000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5,667,000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300"/>
        </w:trPr>
        <w:tc>
          <w:tcPr>
            <w:tcW w:type="dxa" w:w="77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Proceeds from line of credit, net of repayments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(91,151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(91,151</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810,376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810,376</w:t>
            </w:r>
          </w:p>
        </w:tc>
        <w:tc>
          <w:tcPr>
            <w:tcW w:type="dxa" w:w="77"/>
            <w:tcMar>
              <w:left w:type="dxa" w:w="0"/>
              <w:right w:type="dxa" w:w="0"/>
            </w:tcMar>
            <w:tcBorders/>
          </w:tcPr>
          <w:p/>
        </w:tc>
      </w:tr>
      <w:tr>
        <w:trPr>
          <w:trHeight w:hRule="exact" w:val="260"/>
        </w:trPr>
        <w:tc>
          <w:tcPr>
            <w:tcW w:type="dxa" w:w="77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Proceeds from stock purchase plan issuances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9,035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9,035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16,232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16,232</w:t>
            </w:r>
          </w:p>
        </w:tc>
        <w:tc>
          <w:tcPr>
            <w:tcW w:type="dxa" w:w="77"/>
            <w:tcMar>
              <w:left w:type="dxa" w:w="0"/>
              <w:right w:type="dxa" w:w="0"/>
            </w:tcMar>
            <w:tcBorders/>
          </w:tcPr>
          <w:p/>
        </w:tc>
      </w:tr>
      <w:tr>
        <w:trPr>
          <w:trHeight w:hRule="exact" w:val="260"/>
        </w:trPr>
        <w:tc>
          <w:tcPr>
            <w:tcW w:type="dxa" w:w="77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Stock issuance costs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(709,634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(709,634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(10,913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(10,913</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7760"/>
            <w:tcMar>
              <w:left w:type="dxa" w:w="60"/>
              <w:right w:type="dxa" w:w="4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Net cash provided by financing activities</w:t>
            </w:r>
          </w:p>
        </w:tc>
        <w:tc>
          <w:tcPr>
            <w:tcW w:type="dxa" w:w="11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4,754,320</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4,754,320</w:t>
            </w:r>
          </w:p>
        </w:tc>
        <w:tc>
          <w:tcPr>
            <w:tcW w:type="dxa" w:w="77"/>
            <w:tcMar>
              <w:left w:type="dxa" w:w="0"/>
              <w:right w:type="dxa" w:w="0"/>
            </w:tcMar>
            <w:tcBorders>
              <w:top w:val="single" w:sz="8" w:space="0"/>
              <w:bottom w:val="single" w:sz="8"/>
            </w:tcBorders>
          </w:tcP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11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548,797</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548,797</w:t>
            </w:r>
          </w:p>
        </w:tc>
        <w:tc>
          <w:tcPr>
            <w:tcW w:type="dxa" w:w="77"/>
            <w:tcMar>
              <w:left w:type="dxa" w:w="0"/>
              <w:right w:type="dxa" w:w="0"/>
            </w:tcMar>
            <w:tcBorders>
              <w:top w:val="single" w:sz="8" w:space="0"/>
              <w:bottom w:val="single" w:sz="8"/>
            </w:tcBorders>
          </w:tcPr>
          <w:p/>
        </w:tc>
      </w:tr>
      <w:tr>
        <w:trPr>
          <w:trHeight w:hRule="exact" w:val="160"/>
        </w:trPr>
        <w:tc>
          <w:tcPr>
            <w:tcW w:type="dxa" w:w="77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60"/>
        </w:trPr>
        <w:tc>
          <w:tcPr>
            <w:tcW w:type="dxa" w:w="7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Net decrease in cash and cash equivalents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(42,121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(42,121</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(2,501,006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(2,501,006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60"/>
        </w:trPr>
        <w:tc>
          <w:tcPr>
            <w:tcW w:type="dxa" w:w="776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Cash and cash equivalents, beginning of year</w:t>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3,906,797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3,906,797</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5,949,004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5,949,004</w:t>
            </w:r>
          </w:p>
        </w:tc>
        <w:tc>
          <w:tcPr>
            <w:tcW w:type="dxa" w:w="77"/>
            <w:tcMar>
              <w:left w:type="dxa" w:w="0"/>
              <w:right w:type="dxa" w:w="0"/>
            </w:tcMar>
            <w:tcBorders>
              <w:bottom w:val="single" w:sz="8"/>
            </w:tcBorders>
          </w:tcPr>
          <w:p/>
        </w:tc>
      </w:tr>
      <w:tr>
        <w:trPr>
          <w:trHeight w:hRule="exact" w:val="160"/>
        </w:trPr>
        <w:tc>
          <w:tcPr>
            <w:tcW w:type="dxa" w:w="77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60"/>
        </w:trPr>
        <w:tc>
          <w:tcPr>
            <w:tcW w:type="dxa" w:w="7760"/>
            <w:tcMar>
              <w:left w:type="dxa" w:w="60"/>
              <w:right w:type="dxa" w:w="4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Cash and cash equivalents, end of period</w:t>
            </w: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3,864,676</w:t>
            </w:r>
          </w:p>
        </w:tc>
        <w:tc>
          <w:tcPr>
            <w:tcW w:type="dxa" w:w="77"/>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Next/>
              <w:keepLines/>
              <w:spacing w:before="40" w:after="40" w:line="240" w:lineRule="auto"/>
              <w:rPr/>
            </w:pPr>
            <w:r>
              <w:rPr/>
            </w: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3,447,998</w:t>
            </w:r>
          </w:p>
        </w:tc>
        <w:tc>
          <w:tcPr>
            <w:tcW w:type="dxa" w:w="77"/>
            <w:tcMar>
              <w:left w:type="dxa" w:w="0"/>
              <w:right w:type="dxa" w:w="0"/>
            </w:tcMar>
            <w:tcBorders>
              <w:bottom w:val="double" w:sz="4"/>
            </w:tcBorders>
          </w:tcPr>
          <w:p/>
        </w:tc>
      </w:tr>
      <w:tr>
        <w:trPr>
          <w:trHeight w:hRule="exact" w:val="160"/>
        </w:trPr>
        <w:tc>
          <w:tcPr>
            <w:tcW w:type="dxa" w:w="77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60"/>
        </w:trPr>
        <w:tc>
          <w:tcPr>
            <w:tcW w:type="dxa" w:w="7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u w:val="single" w:color="000000"/>
              </w:rPr>
              <w:t xml:space="preserve">Supplemental cash flow information:</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60"/>
        </w:trPr>
        <w:tc>
          <w:tcPr>
            <w:tcW w:type="dxa" w:w="77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Cash paid during the period for interest</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104,028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29,700</w:t>
            </w:r>
          </w:p>
        </w:tc>
        <w:tc>
          <w:tcPr>
            <w:tcW w:type="dxa" w:w="77"/>
            <w:tcMar>
              <w:left w:type="dxa" w:w="0"/>
              <w:right w:type="dxa" w:w="0"/>
            </w:tcMar>
            <w:tcBorders/>
          </w:tcPr>
          <w:p/>
        </w:tc>
      </w:tr>
      <w:tr>
        <w:trPr>
          <w:trHeight w:hRule="exact" w:val="160"/>
        </w:trPr>
        <w:tc>
          <w:tcPr>
            <w:tcW w:type="dxa" w:w="77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60"/>
        </w:trPr>
        <w:tc>
          <w:tcPr>
            <w:tcW w:type="dxa" w:w="77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u w:val="single" w:color="000000"/>
              </w:rPr>
              <w:t xml:space="preserve">Non-cash financing and investing activities:</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60"/>
        </w:trPr>
        <w:tc>
          <w:tcPr>
            <w:tcW w:type="dxa" w:w="776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Common stock issued for payment of acquisition liability</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1,896,783</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928,041</w:t>
            </w:r>
          </w:p>
        </w:tc>
        <w:tc>
          <w:tcPr>
            <w:tcW w:type="dxa" w:w="77"/>
            <w:tcMar>
              <w:left w:type="dxa" w:w="0"/>
              <w:right w:type="dxa" w:w="0"/>
            </w:tcMar>
            <w:tcBorders/>
          </w:tcPr>
          <w:p/>
        </w:tc>
      </w:tr>
      <w:tr>
        <w:trPr>
          <w:trHeight w:hRule="exact" w:val="260"/>
        </w:trPr>
        <w:tc>
          <w:tcPr>
            <w:tcW w:type="dxa" w:w="7760"/>
            <w:tcMar>
              <w:left w:type="dxa" w:w="18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Fair value of common stock issued for future services</w:t>
            </w:r>
          </w:p>
        </w:tc>
        <w:tc>
          <w:tcPr>
            <w:tcW w:type="dxa" w:w="110"/>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317,134</w:t>
            </w:r>
          </w:p>
        </w:tc>
        <w:tc>
          <w:tcPr>
            <w:tcW w:type="dxa" w:w="77"/>
            <w:tcMar>
              <w:left w:type="dxa" w:w="0"/>
              <w:right w:type="dxa" w:w="0"/>
            </w:tcMar>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23,110</w:t>
            </w:r>
          </w:p>
        </w:tc>
        <w:tc>
          <w:tcPr>
            <w:tcW w:type="dxa" w:w="77"/>
            <w:tcMar>
              <w:left w:type="dxa" w:w="0"/>
              <w:right w:type="dxa" w:w="0"/>
            </w:tcMar>
            <w:tcBorders/>
          </w:tcPr>
          <w:p/>
        </w:tc>
      </w:tr>
    </w:tbl>
    <w:p>
      <w:pPr>
        <w:jc w:val="center"/>
        <w:spacing w:before="60"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center"/>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See accompanying notes to the unaudited consolidated financial statements.</w:t>
      </w:r>
    </w:p>
    <w:p>
      <w:pPr>
        <w:sectPr>
          <w:pgNumType w:fmt="decimal" w:chapSep="period"/>
          <w:pgSz w:w="12240" w:h="15840"/>
          <w:pgMar w:top="860" w:left="1000" w:right="1000" w:bottom="860" w:footer="460" w:gutter="0" w:header="160"/>
          <w:headerReference r:id="rId1" w:type="default"/>
          <w:footerReference r:id="rId9" w:type="default"/>
        </w:sectPr>
      </w:pP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bookmarkStart w:id="54431" w:name="Unaudited_Notes_to_the_Consolidated_Fina"/>
      <w:bookmarkEnd w:id="54431"/>
    </w:p>
    <w:p>
      <w:pPr>
        <w:sectPr>
          <w:pgNumType w:fmt="decimal" w:chapSep="period"/>
          <w:pgSz w:w="12240" w:h="15840"/>
          <w:pgMar w:top="1080" w:left="1000" w:right="1000" w:bottom="860" w:footer="460" w:gutter="0" w:header="160"/>
          <w:headerReference r:id="rId10" w:type="default"/>
          <w:footerReference r:id="rId11" w:type="default"/>
        </w:sectPr>
      </w:pPr>
    </w:p>
    <w:p>
      <w:pPr>
        <w:tabs>
          <w:tab w:val="left" w:pos="1440"/>
        </w:tabs>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1.	COMPANY AND SUMMARY OF SIGNIFICANT ACCOUNTING POLICIES</w:t>
      </w:r>
      <w:bookmarkStart w:id="55797" w:name="NOTE_1___Company_and_Summary_Of_Signific"/>
      <w:bookmarkEnd w:id="55797"/>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Unaudited Interim Financial Information</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accompanying consolidated balance sheet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the consolidated statements of operations for the </w:t>
      </w:r>
      <w:r>
        <w:rPr>
          <w:rFonts w:ascii="Times New Roman" w:hAnsi="Times New Roman" w:eastAsia="Times New Roman" w:cs="Times New Roman"/>
          <w:sz w:val="20"/>
        </w:rPr>
        <w:t xml:space="preserve">three and 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the consolidated statement of stockholders' equity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the consolidated statements of cash flows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are unaudited but include all adjustments that are, in the opinion of management, necessary for a fair presentation of its financial position at such dates and its results of operations and cash flows for the periods then ended in conformity with generally accepted accounting principles in the United States ("GAAP"). The consolidated balance sheet as of </w:t>
      </w:r>
      <w:r>
        <w:rPr>
          <w:rFonts w:ascii="Times New Roman" w:hAnsi="Times New Roman" w:eastAsia="Times New Roman" w:cs="Times New Roman"/>
          <w:sz w:val="20"/>
        </w:rPr>
        <w:t xml:space="preserve">December 31, 2017</w:t>
      </w:r>
      <w:r>
        <w:rPr>
          <w:rFonts w:ascii="Times New Roman" w:hAnsi="Times New Roman" w:eastAsia="Times New Roman" w:cs="Times New Roman"/>
          <w:sz w:val="20"/>
        </w:rPr>
        <w:t xml:space="preserve"> has been derived from the audited consolidated financial statements at that date but, in accordance with the rules and regulations of the Securities and Exchange Commission ("SEC"), does not include all of the information and notes required by GAAP for complete financial statements. Operating results for the </w:t>
      </w:r>
      <w:r>
        <w:rPr>
          <w:rFonts w:ascii="Times New Roman" w:hAnsi="Times New Roman" w:eastAsia="Times New Roman" w:cs="Times New Roman"/>
          <w:sz w:val="20"/>
        </w:rPr>
        <w:t xml:space="preserve">three and 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are not necessarily indicative of results that may be expected for the entire fiscal year. These unaudited consolidated financial statements should be read in conjunction with the consolidated financial statements and notes thereto for the fiscal year ended </w:t>
      </w:r>
      <w:r>
        <w:rPr>
          <w:rFonts w:ascii="Times New Roman" w:hAnsi="Times New Roman" w:eastAsia="Times New Roman" w:cs="Times New Roman"/>
          <w:sz w:val="20"/>
        </w:rPr>
        <w:t xml:space="preserve">December 31, 2017</w:t>
      </w:r>
      <w:r>
        <w:rPr>
          <w:rFonts w:ascii="Times New Roman" w:hAnsi="Times New Roman" w:eastAsia="Times New Roman" w:cs="Times New Roman"/>
          <w:sz w:val="20"/>
        </w:rPr>
        <w:t xml:space="preserve"> included in the Company's Annual Report on Form 10-K filed with the SEC on April 17, 2018.</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Nature of Business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IZEA Worldwide, Inc. (together with its wholly-owned subsidiaries, “we,” “us,” “our,” “IZEA” or the “Company”) was founded in February 2006 under the name PayPerPost, Inc. and became a public company incorporated in the state of Nevada in May 2011. In January 2015, IZEA purchased all of the outstanding shares of capital stock of Ebyline, Inc. (“Ebyline”). In July 2016, IZEA purchased all the outstanding shares of capital stock of ZenContent, Inc. (“ZenContent”). The legal entity of ZenContent was dissolved in December 2017 after all assets and transactions were transferred to IZEA. On March 9, 2016, the Company formed IZEA Canada, Inc., a wholly-owned subsidiary, incorporated in Ontario, Canada to operate as a sales and support office for IZEA's Canadian customers. On July 26, 2018, the Company merged with TapInfluence, Inc. ("TapInfluence") pursuant to the terms of an Agreement and Plan of Merger dated as of July 11, 2018, and amended July 20, 2018.</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Effective August 20, 2018, the Company changed its name from IZEA, Inc. to IZEA Worldwide, Inc. The Company is headquartered near Orlando, Florida with additional offices in California, Colorado, Illinois, New York and Canada.</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creates and operates online marketplaces that connect marketers with content creators. The creators are compensated by IZEA for producing unique content such as long and short form text, videos, photos, status updates, and illustrations for marketers or distributing such content on behalf of marketers through their personal websites, blogs, and social media channels. Marketers receive influential consumer content and engaging, shareable stories that drive awareness.</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Company's primary technology platform, </w:t>
      </w:r>
      <w:r>
        <w:rPr>
          <w:rFonts w:ascii="Times New Roman" w:hAnsi="Times New Roman" w:eastAsia="Times New Roman" w:cs="Times New Roman"/>
          <w:sz w:val="20"/>
          <w:i w:val="true"/>
        </w:rPr>
        <w:t xml:space="preserve">The IZEA Exchange </w:t>
      </w:r>
      <w:r>
        <w:rPr>
          <w:rFonts w:ascii="Times New Roman" w:hAnsi="Times New Roman" w:eastAsia="Times New Roman" w:cs="Times New Roman"/>
          <w:sz w:val="20"/>
        </w:rPr>
        <w:t xml:space="preserve">(“</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enables transactions to be completed at scale through the management of custom content workflow, creator search and targeting, bidding, analytics, and payment processing.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is designed to provide a unified ecosystem that enables the creation and publication of multiple types of custom content through a creator's personal websites, blogs, or social media channels including Twitter, Facebook, Instagram, and YouTube, among others. In addition to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the Company operates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technology platform, which it acquired in January 2015, and the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technology platform, which it acquired in July 2018.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was originally designed as a self-service content marketplace to replace editorial newsrooms in the news agencies with a “virtual newsroom” to handle their content workflow. The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platform performs in a similar manner to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is being utilized by the majority of its customers as a self-service platform via a licensing arrangement, allowing access to the platform and its creators for self-managed marketing campaigns.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Liquidity and Going Concern</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Company’s financial statements are prepared using GAAP applicable to a going concern, which contemplates the realization of assets and liquidation of liabilities in the normal course of business. The Company has incurred significant net losses and negative cash flow from operations for most periods since its inception, which has resulted in a total accumulated deficit of </w:t>
      </w:r>
      <w:r>
        <w:rPr>
          <w:rFonts w:ascii="Times New Roman" w:hAnsi="Times New Roman" w:eastAsia="Times New Roman" w:cs="Times New Roman"/>
          <w:sz w:val="20"/>
        </w:rPr>
        <w:t xml:space="preserve">$52,401,946</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the Company had a net loss of </w:t>
      </w:r>
      <w:r>
        <w:rPr>
          <w:rFonts w:ascii="Times New Roman" w:hAnsi="Times New Roman" w:eastAsia="Times New Roman" w:cs="Times New Roman"/>
          <w:sz w:val="20"/>
        </w:rPr>
        <w:t xml:space="preserve">$5,025,704</w:t>
      </w:r>
      <w:r>
        <w:rPr>
          <w:rFonts w:ascii="Times New Roman" w:hAnsi="Times New Roman" w:eastAsia="Times New Roman" w:cs="Times New Roman"/>
          <w:sz w:val="20"/>
        </w:rPr>
        <w:t xml:space="preserve"> and the Company expects to incur a net loss for the fiscal year 2018.  The Company's cash balance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$3,864,676</w:t>
      </w:r>
      <w:r>
        <w:rPr>
          <w:rFonts w:ascii="Times New Roman" w:hAnsi="Times New Roman" w:eastAsia="Times New Roman" w:cs="Times New Roman"/>
          <w:sz w:val="20"/>
        </w:rPr>
        <w:t xml:space="preserve"> and the Company's operating activities used cash of </w:t>
      </w:r>
      <w:r>
        <w:rPr>
          <w:rFonts w:ascii="Times New Roman" w:hAnsi="Times New Roman" w:eastAsia="Times New Roman" w:cs="Times New Roman"/>
          <w:sz w:val="20"/>
        </w:rPr>
        <w:t xml:space="preserve">$4,157,786</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The Company’s revenues decreased year-over-year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If the Company's annual revenue continues to decline from prior year levels at a rate similar to or greater than the decline in the first three quarters of 2018 and future commitments do not increase, the Company’s cash resources will likely be insufficient to meet its obligations as they become due during the next twelve months.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As further discussed in Note 6, the Company received net proceeds of </w:t>
      </w:r>
      <w:r>
        <w:rPr>
          <w:rFonts w:ascii="Times New Roman" w:hAnsi="Times New Roman" w:eastAsia="Times New Roman" w:cs="Times New Roman"/>
          <w:sz w:val="20"/>
        </w:rPr>
        <w:t xml:space="preserve">$3,140,647</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1,820,965</w:t>
      </w:r>
      <w:r>
        <w:rPr>
          <w:rFonts w:ascii="Times New Roman" w:hAnsi="Times New Roman" w:eastAsia="Times New Roman" w:cs="Times New Roman"/>
          <w:sz w:val="20"/>
        </w:rPr>
        <w:t xml:space="preserve"> from two separate underwritten public offerings on July 2, 2018 and September 21, 2018, respectively. The Company used a portion of the July 2, 2018 proceeds to finance its merger with TapInfluence and has agreed to pay TapInfluence stockholders an additional </w:t>
      </w:r>
      <w:r>
        <w:rPr>
          <w:rFonts w:ascii="Times New Roman" w:hAnsi="Times New Roman" w:eastAsia="Times New Roman" w:cs="Times New Roman"/>
          <w:sz w:val="20"/>
        </w:rPr>
        <w:t xml:space="preserve">$4,500,000</w:t>
      </w:r>
      <w:r>
        <w:rPr>
          <w:rFonts w:ascii="Times New Roman" w:hAnsi="Times New Roman" w:eastAsia="Times New Roman" w:cs="Times New Roman"/>
          <w:sz w:val="20"/>
        </w:rPr>
        <w:t xml:space="preserve"> in the form of cash, common stock or a combination thereof, at IZEA’s option, in </w:t>
      </w:r>
      <w:r>
        <w:rPr>
          <w:rFonts w:ascii="Times New Roman" w:hAnsi="Times New Roman" w:eastAsia="Times New Roman" w:cs="Times New Roman"/>
          <w:sz w:val="20"/>
        </w:rPr>
        <w:t xml:space="preserve">two installments</w:t>
      </w:r>
      <w:r>
        <w:rPr>
          <w:rFonts w:ascii="Times New Roman" w:hAnsi="Times New Roman" w:eastAsia="Times New Roman" w:cs="Times New Roman"/>
          <w:sz w:val="20"/>
        </w:rPr>
        <w:t xml:space="preserve"> - </w:t>
      </w:r>
      <w:r>
        <w:rPr>
          <w:rFonts w:ascii="Times New Roman" w:hAnsi="Times New Roman" w:eastAsia="Times New Roman" w:cs="Times New Roman"/>
          <w:sz w:val="20"/>
        </w:rPr>
        <w:t xml:space="preserve">$1,000,000</w:t>
      </w:r>
      <w:r>
        <w:rPr>
          <w:rFonts w:ascii="Times New Roman" w:hAnsi="Times New Roman" w:eastAsia="Times New Roman" w:cs="Times New Roman"/>
          <w:sz w:val="20"/>
        </w:rPr>
        <w:t xml:space="preserve"> six months after the closing date of the merger and </w:t>
      </w:r>
      <w:r>
        <w:rPr>
          <w:rFonts w:ascii="Times New Roman" w:hAnsi="Times New Roman" w:eastAsia="Times New Roman" w:cs="Times New Roman"/>
          <w:sz w:val="20"/>
        </w:rPr>
        <w:t xml:space="preserve">$3,500,000</w:t>
      </w:r>
      <w:r>
        <w:rPr>
          <w:rFonts w:ascii="Times New Roman" w:hAnsi="Times New Roman" w:eastAsia="Times New Roman" w:cs="Times New Roman"/>
          <w:sz w:val="20"/>
        </w:rPr>
        <w:t xml:space="preserve"> twelve months after the closing date of the merger. The Company does not have enough cash to cover these current obligations and will rely on its ability to issue shares of its common stock as payment, its ability to raise additional capital through the sale of equity or equity linked securities, or its ability to utilize or secure other debt financing to pay for its current obligations.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ability of the Company to continue as a going concern is dependent on the Company obtaining adequate capital to fund operating losses and its acquisition liabilities until it achieves and maintains profitability. Management’s plans to continue as a going concern include raising additional capital through sales of securities, issuing shares of stock to pay for its obligations, and increasing its borrowing levels. However, management cannot provide any assurances that the Company will be successful in accomplishing any of its plans. If the Company is not able to substantially increase sales, obtain and sustain profitability and obtain the necessary additional financing on a timely basis or on acceptable terms, the Company will be required to delay, reduce the scope of, or eliminate current expansion and development plans, initiate reductions in its workforce, or perhaps even cease the operation of its business.  Therefore, there is substantial doubt about the ability of the Company to continue as a going concern for one year from the issuance of the accompanying financial statements. The accompanying financial statements do not include any adjustments that might be necessary if the Company is unable to continue as a going concern.</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Principles of Consolidation</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consolidated financial statements include the accounts of IZEA Worldwide, Inc. and its wholly-owned subsidiaries, subsequent to the subsidiaries' individual acquisition, merger or formation dates, as applicable. All significant intercompany balances and transactions have been eliminated in consolidation.</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consolidated financial statements were prepared using the acquisition method of accounting with IZEA considered the accounting acquirer of Ebyline, ZenContent, and TapInfluence. Under the acquisition method of accounting, the purchase price is allocated to the underlying tangible and intangible assets acquired and liabilities assumed based on their respective fair market values with any excess purchase price allocated to goodwill.</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Restatement</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As described in its Annual Report on Form 10-K for the year ended December 31, 2017, the Company restated its previously issued financial statements included in its Annual Reports on Form 10-K for the years ended December 31, 2015 and 2016 and Quarterly Reports on Form 10-Q for each quarterly period for the years ended December 31, 2015 and 2016, and for the first three quarters for the year ended December 31, 2017 (collectively, the “Restated Periods”).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restatement reclassified direct costs associated with the Company's Content Workflow transactions previously reported as cost of revenue to net them directly against revenue in the Company's consolidated statements of operations. Additionally, the Company reclassified the cost of its campaign fulfillment personnel out of sales and marketing expenses and into cost of revenue. As part of the restatement process, the Company also elected to present depreciation and amortization expense as a separate line item. The restatement of the consolidated statement of operations reflected no change in the Company's previously reported loss from operations, net loss, loss per share, or on any of the Company's consolidated balance sheets, statements of cash flows, and statements of stockholders' equity. All amounts related to the Restated Periods of the consolidated statement of operations included herein reflect the restated amounts as reflected in Notes 2 and 14 of the Audited Consolidated Financial Statements included in the Company's Annual Report on Form 10-K for the year ended December 31, 2017 filed on April 17, 2018.</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Cash and Cash Equivalents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considers all highly liquid investments purchased with a maturity of three months or less from the date of purchase to be cash equivalents.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Accounts Receivable and Concentration of Credit Risk</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Accounts receivable are customer obligations due under normal trade terms. Uncollectibility of accounts receivable is not significant since most customers are bound by contract and are required to fund the Company for all the costs of an “opportunity” or "assignment," defined as an order created by a marketer for a creator to develop or share content on behalf of a marketer. If a portion of the account balance is deemed uncollectible, the Company will either write-off the amount owed or provide a reserve based on the uncollectible portion of the account. The Company controls credit risk through credit approvals, credit limits and monitoring procedures. The Company performs credit evaluations of its customers but generally does not require collateral to support accounts receivable. Management determines the collectibility of accounts by regularly evaluating individual customer receivables and considering a customer’s financial condition, credit history and current economic conditions. The Company had a reserve of </w:t>
      </w:r>
      <w:r>
        <w:rPr>
          <w:rFonts w:ascii="Times New Roman" w:hAnsi="Times New Roman" w:eastAsia="Times New Roman" w:cs="Times New Roman"/>
          <w:sz w:val="20"/>
        </w:rPr>
        <w:t xml:space="preserve">$317,190</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$189,000</w:t>
      </w:r>
      <w:r>
        <w:rPr>
          <w:rFonts w:ascii="Times New Roman" w:hAnsi="Times New Roman" w:eastAsia="Times New Roman" w:cs="Times New Roman"/>
          <w:sz w:val="20"/>
        </w:rPr>
        <w:t xml:space="preserve"> for doubtful accounts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December 31, 2017</w:t>
      </w:r>
      <w:r>
        <w:rPr>
          <w:rFonts w:ascii="Times New Roman" w:hAnsi="Times New Roman" w:eastAsia="Times New Roman" w:cs="Times New Roman"/>
          <w:sz w:val="20"/>
        </w:rPr>
        <w:t xml:space="preserve">, respectively. Management believes that this estimate is reasonable, but there can be no assurance that the estimate will not change as a result of a change in economic conditions or business conditions within the industry, the individual customers or the Company. Any adjustments to this account are reflected in the consolidated statements of operations as a general and administrative expense. Bad debt expense was less than </w:t>
      </w:r>
      <w:r>
        <w:rPr>
          <w:rFonts w:ascii="Times New Roman" w:hAnsi="Times New Roman" w:eastAsia="Times New Roman" w:cs="Times New Roman"/>
          <w:sz w:val="20"/>
        </w:rPr>
        <w:t xml:space="preserve">1%</w:t>
      </w:r>
      <w:r>
        <w:rPr>
          <w:rFonts w:ascii="Times New Roman" w:hAnsi="Times New Roman" w:eastAsia="Times New Roman" w:cs="Times New Roman"/>
          <w:sz w:val="20"/>
        </w:rPr>
        <w:t xml:space="preserve"> of revenue for the </w:t>
      </w:r>
      <w:r>
        <w:rPr>
          <w:rFonts w:ascii="Times New Roman" w:hAnsi="Times New Roman" w:eastAsia="Times New Roman" w:cs="Times New Roman"/>
          <w:sz w:val="20"/>
        </w:rPr>
        <w:t xml:space="preserve">three and 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Concentrations of credit risk with respect to accounts receivable are typically limited because a large number of geographically diverse customers make up the Company’s customer base, thus spreading the trade credit risk. However, the Company had </w:t>
      </w:r>
      <w:r>
        <w:rPr>
          <w:rFonts w:ascii="Times New Roman" w:hAnsi="Times New Roman" w:eastAsia="Times New Roman" w:cs="Times New Roman"/>
          <w:sz w:val="20"/>
        </w:rPr>
        <w:t xml:space="preserve">two</w:t>
      </w:r>
      <w:r>
        <w:rPr>
          <w:rFonts w:ascii="Times New Roman" w:hAnsi="Times New Roman" w:eastAsia="Times New Roman" w:cs="Times New Roman"/>
          <w:sz w:val="20"/>
        </w:rPr>
        <w:t xml:space="preserve"> customers that together accounted for </w:t>
      </w:r>
      <w:r>
        <w:rPr>
          <w:rFonts w:ascii="Times New Roman" w:hAnsi="Times New Roman" w:eastAsia="Times New Roman" w:cs="Times New Roman"/>
          <w:sz w:val="20"/>
        </w:rPr>
        <w:t xml:space="preserve">39%</w:t>
      </w:r>
      <w:r>
        <w:rPr>
          <w:rFonts w:ascii="Times New Roman" w:hAnsi="Times New Roman" w:eastAsia="Times New Roman" w:cs="Times New Roman"/>
          <w:sz w:val="20"/>
        </w:rPr>
        <w:t xml:space="preserve"> of total accounts receivable at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The Company had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customer that accounted for more than </w:t>
      </w:r>
      <w:r>
        <w:rPr>
          <w:rFonts w:ascii="Times New Roman" w:hAnsi="Times New Roman" w:eastAsia="Times New Roman" w:cs="Times New Roman"/>
          <w:sz w:val="20"/>
        </w:rPr>
        <w:t xml:space="preserve">10%</w:t>
      </w:r>
      <w:r>
        <w:rPr>
          <w:rFonts w:ascii="Times New Roman" w:hAnsi="Times New Roman" w:eastAsia="Times New Roman" w:cs="Times New Roman"/>
          <w:sz w:val="20"/>
        </w:rPr>
        <w:t xml:space="preserve"> of total accounts receivable at </w:t>
      </w:r>
      <w:r>
        <w:rPr>
          <w:rFonts w:ascii="Times New Roman" w:hAnsi="Times New Roman" w:eastAsia="Times New Roman" w:cs="Times New Roman"/>
          <w:sz w:val="20"/>
        </w:rPr>
        <w:t xml:space="preserve">December 31, 2017</w:t>
      </w:r>
      <w:r>
        <w:rPr>
          <w:rFonts w:ascii="Times New Roman" w:hAnsi="Times New Roman" w:eastAsia="Times New Roman" w:cs="Times New Roman"/>
          <w:sz w:val="20"/>
        </w:rPr>
        <w:t xml:space="preserve">. The Company had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customer that accounted for </w:t>
      </w:r>
      <w:r>
        <w:rPr>
          <w:rFonts w:ascii="Times New Roman" w:hAnsi="Times New Roman" w:eastAsia="Times New Roman" w:cs="Times New Roman"/>
          <w:sz w:val="20"/>
        </w:rPr>
        <w:t xml:space="preserve">more than 10%</w:t>
      </w:r>
      <w:r>
        <w:rPr>
          <w:rFonts w:ascii="Times New Roman" w:hAnsi="Times New Roman" w:eastAsia="Times New Roman" w:cs="Times New Roman"/>
          <w:sz w:val="20"/>
        </w:rPr>
        <w:t xml:space="preserve"> of its revenue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one</w:t>
      </w:r>
      <w:r>
        <w:rPr>
          <w:rFonts w:ascii="Times New Roman" w:hAnsi="Times New Roman" w:eastAsia="Times New Roman" w:cs="Times New Roman"/>
          <w:sz w:val="20"/>
        </w:rPr>
        <w:t xml:space="preserve"> customer that accounted for </w:t>
      </w:r>
      <w:r>
        <w:rPr>
          <w:rFonts w:ascii="Times New Roman" w:hAnsi="Times New Roman" w:eastAsia="Times New Roman" w:cs="Times New Roman"/>
          <w:sz w:val="20"/>
        </w:rPr>
        <w:t xml:space="preserve">13%</w:t>
      </w:r>
      <w:r>
        <w:rPr>
          <w:rFonts w:ascii="Times New Roman" w:hAnsi="Times New Roman" w:eastAsia="Times New Roman" w:cs="Times New Roman"/>
          <w:sz w:val="20"/>
        </w:rPr>
        <w:t xml:space="preserve"> of its revenue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2017</w:t>
      </w:r>
      <w:r>
        <w:rPr>
          <w:rFonts w:ascii="Times New Roman" w:hAnsi="Times New Roman" w:eastAsia="Times New Roman" w:cs="Times New Roman"/>
          <w:sz w:val="20"/>
        </w:rPr>
        <w:t xml:space="preserve">. The Company had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customer that accounted for </w:t>
      </w:r>
      <w:r>
        <w:rPr>
          <w:rFonts w:ascii="Times New Roman" w:hAnsi="Times New Roman" w:eastAsia="Times New Roman" w:cs="Times New Roman"/>
          <w:sz w:val="20"/>
        </w:rPr>
        <w:t xml:space="preserve">more than10%</w:t>
      </w:r>
      <w:r>
        <w:rPr>
          <w:rFonts w:ascii="Times New Roman" w:hAnsi="Times New Roman" w:eastAsia="Times New Roman" w:cs="Times New Roman"/>
          <w:sz w:val="20"/>
        </w:rPr>
        <w:t xml:space="preserve"> of its revenue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Property and Equipment</w:t>
      </w:r>
    </w:p>
    <w:p>
      <w:pPr>
        <w:jc w:val="both"/>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Property and equipment are recorded at cost, or if acquired in a business combination, at the acquisition date fair value. Depreciation and amortization is computed using the straight-line method over the estimated useful lives of the assets as follows:</w:t>
      </w:r>
    </w:p>
    <w:tbl>
      <w:tblPr>
        <w:tblW w:type="dxa" w:w="10240"/>
        <w:tblLayout w:type="fixed"/>
        <w:jc w:val="left"/>
      </w:tblPr>
      <w:tblGrid>
        <w:gridCol w:w="9100"/>
        <w:gridCol w:w="1140"/>
      </w:tblGrid>
      <w:tr>
        <w:trPr>
          <w:trHeight w:hRule="exact" w:val="280"/>
        </w:trPr>
        <w:tc>
          <w:tcPr>
            <w:tcW w:type="dxa" w:w="9100"/>
            <w:tcMar>
              <w:left w:type="dxa" w:w="60"/>
              <w:right w:type="dxa" w:w="40"/>
            </w:tcMar>
            <w:tcBorders>
              <w:left w:val="single" w:sz="8"/>
              <w:top w:val="single" w:sz="8" w:space="0"/>
            </w:tcBorders>
            <w:vAlign w:val="bottom"/>
          </w:tcPr>
          <w:p>
            <w:pPr>
              <w:jc w:val="left"/>
              <w:keepNext/>
              <w:keepLines/>
              <w:spacing w:before="40" w:after="40" w:line="240" w:lineRule="auto"/>
              <w:rPr>
                <w:rFonts w:ascii="Times New Roman" w:hAnsi="Times New Roman" w:eastAsia="Times New Roman" w:cs="Times New Roman"/>
                <w:sz w:val="20"/>
              </w:rPr>
              <w:tabs>
                <w:tab w:val="left" w:leader="dot" w:pos="9100"/>
              </w:tabs>
            </w:pPr>
            <w:r>
              <w:rPr>
                <w:rFonts w:ascii="Times New Roman" w:hAnsi="Times New Roman" w:eastAsia="Times New Roman" w:cs="Times New Roman"/>
                <w:sz w:val="20"/>
                <w:color w:val="000000"/>
              </w:rPr>
              <w:t xml:space="preserve">Computer Equipment</w:t>
            </w:r>
            <w:r>
              <w:tab/>
            </w:r>
          </w:p>
        </w:tc>
        <w:tc>
          <w:tcPr>
            <w:tcW w:type="dxa" w:w="1140"/>
            <w:tcMar>
              <w:left w:type="dxa" w:w="0"/>
              <w:right w:type="dxa" w:w="60"/>
            </w:tcMar>
            <w:tcBorders>
              <w:right w:val="single" w:sz="8"/>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 years</w:t>
            </w:r>
          </w:p>
        </w:tc>
      </w:tr>
      <w:tr>
        <w:trPr>
          <w:trHeight w:hRule="exact" w:val="280"/>
        </w:trPr>
        <w:tc>
          <w:tcPr>
            <w:tcW w:type="dxa" w:w="9100"/>
            <w:tcMar>
              <w:left w:type="dxa" w:w="60"/>
              <w:right w:type="dxa" w:w="40"/>
            </w:tcMar>
            <w:tcBorders>
              <w:left w:val="single" w:sz="8"/>
            </w:tcBorders>
            <w:vAlign w:val="bottom"/>
          </w:tcPr>
          <w:p>
            <w:pPr>
              <w:jc w:val="left"/>
              <w:keepNext/>
              <w:keepLines/>
              <w:spacing w:before="40" w:after="40" w:line="240" w:lineRule="auto"/>
              <w:rPr>
                <w:rFonts w:ascii="Times New Roman" w:hAnsi="Times New Roman" w:eastAsia="Times New Roman" w:cs="Times New Roman"/>
                <w:sz w:val="20"/>
              </w:rPr>
              <w:tabs>
                <w:tab w:val="left" w:leader="dot" w:pos="9100"/>
              </w:tabs>
            </w:pPr>
            <w:r>
              <w:rPr>
                <w:rFonts w:ascii="Times New Roman" w:hAnsi="Times New Roman" w:eastAsia="Times New Roman" w:cs="Times New Roman"/>
                <w:sz w:val="20"/>
                <w:color w:val="000000"/>
              </w:rPr>
              <w:t xml:space="preserve">Software Costs</w:t>
            </w:r>
            <w:r>
              <w:tab/>
            </w:r>
          </w:p>
        </w:tc>
        <w:tc>
          <w:tcPr>
            <w:tcW w:type="dxa" w:w="1140"/>
            <w:tcMar>
              <w:left w:type="dxa" w:w="0"/>
              <w:right w:type="dxa" w:w="60"/>
            </w:tcMar>
            <w:tcBorders>
              <w:right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3 - 5 years</w:t>
            </w:r>
          </w:p>
        </w:tc>
      </w:tr>
      <w:tr>
        <w:trPr>
          <w:trHeight w:hRule="exact" w:val="280"/>
        </w:trPr>
        <w:tc>
          <w:tcPr>
            <w:tcW w:type="dxa" w:w="9100"/>
            <w:tcMar>
              <w:left w:type="dxa" w:w="60"/>
              <w:right w:type="dxa" w:w="40"/>
            </w:tcMar>
            <w:tcBorders>
              <w:left w:val="single" w:sz="8"/>
            </w:tcBorders>
            <w:vAlign w:val="bottom"/>
          </w:tcPr>
          <w:p>
            <w:pPr>
              <w:jc w:val="left"/>
              <w:keepNext/>
              <w:keepLines/>
              <w:spacing w:before="40" w:after="40" w:line="240" w:lineRule="auto"/>
              <w:rPr>
                <w:rFonts w:ascii="Times New Roman" w:hAnsi="Times New Roman" w:eastAsia="Times New Roman" w:cs="Times New Roman"/>
                <w:sz w:val="20"/>
              </w:rPr>
              <w:tabs>
                <w:tab w:val="left" w:leader="dot" w:pos="9100"/>
              </w:tabs>
            </w:pPr>
            <w:r>
              <w:rPr>
                <w:rFonts w:ascii="Times New Roman" w:hAnsi="Times New Roman" w:eastAsia="Times New Roman" w:cs="Times New Roman"/>
                <w:sz w:val="20"/>
                <w:color w:val="000000"/>
              </w:rPr>
              <w:t xml:space="preserve">Office Equipment</w:t>
            </w:r>
            <w:r>
              <w:tab/>
            </w:r>
          </w:p>
        </w:tc>
        <w:tc>
          <w:tcPr>
            <w:tcW w:type="dxa" w:w="1140"/>
            <w:tcMar>
              <w:left w:type="dxa" w:w="0"/>
              <w:right w:type="dxa" w:w="60"/>
            </w:tcMar>
            <w:tcBorders>
              <w:right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3 - 10 years</w:t>
            </w:r>
          </w:p>
        </w:tc>
      </w:tr>
      <w:tr>
        <w:trPr>
          <w:trHeight w:hRule="exact" w:val="280"/>
        </w:trPr>
        <w:tc>
          <w:tcPr>
            <w:tcW w:type="dxa" w:w="9100"/>
            <w:tcMar>
              <w:left w:type="dxa" w:w="60"/>
              <w:right w:type="dxa" w:w="40"/>
            </w:tcMar>
            <w:tcBorders>
              <w:left w:val="single" w:sz="8"/>
              <w:bottom w:val="single" w:sz="8"/>
            </w:tcBorders>
            <w:vAlign w:val="bottom"/>
          </w:tcPr>
          <w:p>
            <w:pPr>
              <w:jc w:val="left"/>
              <w:keepLines/>
              <w:spacing w:before="40" w:after="40" w:line="240" w:lineRule="auto"/>
              <w:rPr>
                <w:rFonts w:ascii="Times New Roman" w:hAnsi="Times New Roman" w:eastAsia="Times New Roman" w:cs="Times New Roman"/>
                <w:sz w:val="20"/>
              </w:rPr>
              <w:tabs>
                <w:tab w:val="left" w:leader="dot" w:pos="9100"/>
              </w:tabs>
            </w:pPr>
            <w:r>
              <w:rPr>
                <w:rFonts w:ascii="Times New Roman" w:hAnsi="Times New Roman" w:eastAsia="Times New Roman" w:cs="Times New Roman"/>
                <w:sz w:val="20"/>
                <w:color w:val="000000"/>
              </w:rPr>
              <w:t xml:space="preserve">Furniture and Fixtures</w:t>
            </w:r>
            <w:r>
              <w:tab/>
            </w:r>
          </w:p>
        </w:tc>
        <w:tc>
          <w:tcPr>
            <w:tcW w:type="dxa" w:w="1140"/>
            <w:tcMar>
              <w:left w:type="dxa" w:w="0"/>
              <w:right w:type="dxa" w:w="60"/>
            </w:tcMar>
            <w:tcBorders>
              <w:right w:val="single" w:sz="8"/>
              <w:bottom w:val="single" w:sz="8"/>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5 - 10 years</w:t>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Leasehold improvements are amortized over the shorter of the term of the lease or the estimated useful lives of the improvements. Property and equipment under capital leases are depreciated over their estimated useful lives. Expenditures for repairs and maintenance are charged to expense as incurred. Expenditures for betterments and major improvements are capitalized and depreciated over the remaining useful lives of the assets. The carrying amounts of assets sold or retired and the related accumulated depreciation are eliminated in the year of disposal, with resulting gains or losses included in general and administrative expense.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Depreciation expense on property and equipment recorded in depreciation and amortization expense in the accompanying consolidated statements of operations was </w:t>
      </w:r>
      <w:r>
        <w:rPr>
          <w:rFonts w:ascii="Times New Roman" w:hAnsi="Times New Roman" w:eastAsia="Times New Roman" w:cs="Times New Roman"/>
          <w:sz w:val="20"/>
        </w:rPr>
        <w:t xml:space="preserve">$55,034</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$50,168</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Depreciation expense on property and equipment recorded in depreciation and amortization expense in the accompanying consolidated statements of operations was </w:t>
      </w:r>
      <w:r>
        <w:rPr>
          <w:rFonts w:ascii="Times New Roman" w:hAnsi="Times New Roman" w:eastAsia="Times New Roman" w:cs="Times New Roman"/>
          <w:sz w:val="20"/>
        </w:rPr>
        <w:t xml:space="preserve">$167,900</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$163,597</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Property and equipment is recorded net of accumulated depreciation and amortization amounts of </w:t>
      </w:r>
      <w:r>
        <w:rPr>
          <w:rFonts w:ascii="Times New Roman" w:hAnsi="Times New Roman" w:eastAsia="Times New Roman" w:cs="Times New Roman"/>
          <w:sz w:val="20"/>
        </w:rPr>
        <w:t xml:space="preserve">$944,568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$790,029</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December 31, 2017</w:t>
      </w:r>
      <w:r>
        <w:rPr>
          <w:rFonts w:ascii="Times New Roman" w:hAnsi="Times New Roman" w:eastAsia="Times New Roman" w:cs="Times New Roman"/>
          <w:sz w:val="20"/>
        </w:rPr>
        <w:t xml:space="preserve">, respectively.</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Goodwill and Business Combinations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Goodwill represents the excess of the purchase consideration of an acquired business over the fair value of the underlying net tangible and intangible assets. The Company has goodwill in connection with its acquisitions of Ebyline, ZenContent, and TapInfluence. Goodwill is not amortized, but instead it is tested for impairment at least annually. In the event that management determines that the value of goodwill has become impaired, the Company will record a charge for the amount of impairment during the fiscal quarter in which the determination is made.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performs its annual impairment tests of goodwill during the fourth quarter of each year, or more frequently, if certain indicators are present. Goodwill is required to be tested for impairment at the reporting unit level. A reporting unit is an operating segment or one level below the operating segment level, which is referred to as a component. Management identifies its reporting units by assessing whether components (i) have discrete financial information available; (ii) engage in business activities; and (iii) whether a segment manager regularly reviews the component's operating results. Net assets and goodwill of acquired businesses are allocated to the reporting unit associated with the acquired business based on the anticipated organizational structure of the combined entities. If two or more components are deemed economically similar, those components are aggregated into one reporting unit when performing the annual goodwill impairment review. The Company has determined that prior to and after the acquisitions of Ebyline and ZenContent, it had </w:t>
      </w:r>
      <w:r>
        <w:rPr>
          <w:rFonts w:ascii="Times New Roman" w:hAnsi="Times New Roman" w:eastAsia="Times New Roman" w:cs="Times New Roman"/>
          <w:sz w:val="20"/>
        </w:rPr>
        <w:t xml:space="preserve">one</w:t>
      </w:r>
      <w:r>
        <w:rPr>
          <w:rFonts w:ascii="Times New Roman" w:hAnsi="Times New Roman" w:eastAsia="Times New Roman" w:cs="Times New Roman"/>
          <w:sz w:val="20"/>
        </w:rPr>
        <w:t xml:space="preserve"> reporting unit. Subsequent to the merger with TapInfluence, the Company has determined that it has </w:t>
      </w:r>
      <w:r>
        <w:rPr>
          <w:rFonts w:ascii="Times New Roman" w:hAnsi="Times New Roman" w:eastAsia="Times New Roman" w:cs="Times New Roman"/>
          <w:sz w:val="20"/>
        </w:rPr>
        <w:t xml:space="preserve">two</w:t>
      </w:r>
      <w:r>
        <w:rPr>
          <w:rFonts w:ascii="Times New Roman" w:hAnsi="Times New Roman" w:eastAsia="Times New Roman" w:cs="Times New Roman"/>
          <w:sz w:val="20"/>
        </w:rPr>
        <w:t xml:space="preserve"> reporting units. See further discussion regarding segment reporting in Note 9. For the </w:t>
      </w:r>
      <w:r>
        <w:rPr>
          <w:rFonts w:ascii="Times New Roman" w:hAnsi="Times New Roman" w:eastAsia="Times New Roman" w:cs="Times New Roman"/>
          <w:sz w:val="20"/>
        </w:rPr>
        <w:t xml:space="preserve">three and 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there were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impairment charges associated with the Company's goodwill.</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pageBreakBefore/>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Intangible Assets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acquired the majority of its intangible assets through its acquisitions of Ebyline, ZenContent, and TapInfluence. The Company is amortizing the identifiable intangible assets over periods of </w:t>
      </w:r>
      <w:r>
        <w:rPr>
          <w:rFonts w:ascii="Times New Roman" w:hAnsi="Times New Roman" w:eastAsia="Times New Roman" w:cs="Times New Roman"/>
          <w:sz w:val="20"/>
        </w:rPr>
        <w:t xml:space="preserve">12</w:t>
      </w:r>
      <w:r>
        <w:rPr>
          <w:rFonts w:ascii="Times New Roman" w:hAnsi="Times New Roman" w:eastAsia="Times New Roman" w:cs="Times New Roman"/>
          <w:sz w:val="20"/>
        </w:rPr>
        <w:t xml:space="preserve"> to </w:t>
      </w:r>
      <w:r>
        <w:rPr>
          <w:rFonts w:ascii="Times New Roman" w:hAnsi="Times New Roman" w:eastAsia="Times New Roman" w:cs="Times New Roman"/>
          <w:sz w:val="20"/>
        </w:rPr>
        <w:t xml:space="preserve">60</w:t>
      </w:r>
      <w:r>
        <w:rPr>
          <w:rFonts w:ascii="Times New Roman" w:hAnsi="Times New Roman" w:eastAsia="Times New Roman" w:cs="Times New Roman"/>
          <w:sz w:val="20"/>
        </w:rPr>
        <w:t xml:space="preserve"> months. See Note 3 for further details.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Management reviews long-lived assets, including property and equipment, software development costs and other intangible assets, for impairment whenever events or changes in circumstances indicate that their carrying amounts may not be recoverable. If an evaluation is required, the estimated future undiscounted cash flows associated with the asset are compared with the asset's carrying amount to determine if there has been an impairment, which is calculated as the difference between the fair value of an asset and its carrying value. Estimates of future undiscounted cash flows are based on expected growth rates for the business, anticipated future economic conditions and estimates of residual values. Fair values take into consideration management estimates of risk-adjusted discount rates, which are believed to be consistent with assumptions that marketplace participants would use in their estimates of fair value. For the </w:t>
      </w:r>
      <w:r>
        <w:rPr>
          <w:rFonts w:ascii="Times New Roman" w:hAnsi="Times New Roman" w:eastAsia="Times New Roman" w:cs="Times New Roman"/>
          <w:sz w:val="20"/>
        </w:rPr>
        <w:t xml:space="preserve">three and 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there were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impairment charges associated with the Company's long-lived assets.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Software Development Costs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In accordance with ASC 350-40,</w:t>
      </w:r>
      <w:r>
        <w:rPr>
          <w:rFonts w:ascii="Times New Roman" w:hAnsi="Times New Roman" w:eastAsia="Times New Roman" w:cs="Times New Roman"/>
          <w:sz w:val="20"/>
          <w:i w:val="true"/>
        </w:rPr>
        <w:t xml:space="preserve"> Internal Use Software,</w:t>
      </w:r>
      <w:r>
        <w:rPr>
          <w:rFonts w:ascii="Times New Roman" w:hAnsi="Times New Roman" w:eastAsia="Times New Roman" w:cs="Times New Roman"/>
          <w:sz w:val="20"/>
        </w:rPr>
        <w:t xml:space="preserve"> the Company capitalizes certain internal use software development costs associated with creating and enhancing internally developed software related to its platforms. Software development activities generally consist of three stages; (i) the research and planning stage, (ii) the application and development stage, and (iii) the post-implementation stage. Costs incurred in the planning and post-implementation stages of software development, or other maintenance and development expenses that do not meet the qualification for capitalization, are expensed as incurred. Costs incurred in the application and infrastructure development stage, including significant enhancements and upgrades, are capitalized. These costs include personnel and related employee benefits expenses for employees or consultants who are directly associated with and who devote time to software projects, and external direct costs of materials obtained in developing the software. These software development and acquired technology costs are amortized on a straight-line basis over the estimated useful life of </w:t>
      </w:r>
      <w:r>
        <w:rPr>
          <w:rFonts w:ascii="Times New Roman" w:hAnsi="Times New Roman" w:eastAsia="Times New Roman" w:cs="Times New Roman"/>
          <w:sz w:val="20"/>
        </w:rPr>
        <w:t xml:space="preserve">five years</w:t>
      </w:r>
      <w:r>
        <w:rPr>
          <w:rFonts w:ascii="Times New Roman" w:hAnsi="Times New Roman" w:eastAsia="Times New Roman" w:cs="Times New Roman"/>
          <w:sz w:val="20"/>
        </w:rPr>
        <w:t xml:space="preserve"> upon initial release of the software or additional features. See Note 4 for further details.</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Revenue Recognition</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derives its revenue from providing content services or managing advertising campaigns for its customers, as well as from making its platforms available to allow customers the ability to purchase content directly from its creators, and to self-manage their own campaigns. Managed Services is when a marketer (typically a brand, agency or partner) contracts IZEA to provide custom content,  influencer marketing, amplification or other consulting services. Marketplace Spend Fees are fees charged to self-service customers on their marketplace spend within the Company's platforms. License Fees consist of fees charged to access the </w:t>
      </w:r>
      <w:r>
        <w:rPr>
          <w:rFonts w:ascii="Times New Roman" w:hAnsi="Times New Roman" w:eastAsia="Times New Roman" w:cs="Times New Roman"/>
          <w:sz w:val="20"/>
          <w:i w:val="true"/>
        </w:rPr>
        <w:t xml:space="preserve">IZEAx, Ebyline,</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technology platforms. Other Fees are generated from various service fees charged to users of the Company's platforms.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January 1, 2018, the Company adopted Accounting Standards Codification Topic 606, </w:t>
      </w:r>
      <w:r>
        <w:rPr>
          <w:rFonts w:ascii="Times New Roman" w:hAnsi="Times New Roman" w:eastAsia="Times New Roman" w:cs="Times New Roman"/>
          <w:sz w:val="20"/>
          <w:i w:val="true"/>
        </w:rPr>
        <w:t xml:space="preserve">Revenue from Contracts with Customers (ASC 606)</w:t>
      </w:r>
      <w:r>
        <w:rPr>
          <w:rFonts w:ascii="Times New Roman" w:hAnsi="Times New Roman" w:eastAsia="Times New Roman" w:cs="Times New Roman"/>
          <w:sz w:val="20"/>
        </w:rPr>
        <w:t xml:space="preserve"> using the modified retrospective method, under which comparative periods will not be restated and the cumulative effect of applying the standard will be recognized at the date of initial adoption on January 1, 2018. Under the modified retrospective method, the Company only applied the new standard to contracts that were not completed as of January 1, 2018. Under ASC 606, revenue is recognized based on a five-step model and, in doing so, more judgment and estimates may be required within the revenue recognition process than were required under the former rules. The Company has reviewed its sources of revenue in accordance with each of the five steps in the model, which are as follows: (i) identify the contract with the customer; (ii) identify the performance obligations in the contract; (iii) determine the transaction price; (iv) allocate the transaction price to the performance obligations in the contract; and (v) recognize revenue when (or as) performance obligations are satisfied. The core principle of ASC 606 is that revenue will be recognized when the transfer of promised goods or services to customers is made in an amount that reflects the consideration to which the entity expects to be entitled in exchange for those goods or services. The Company applies the five-step model to contracts when it is probable that it will collect the consideration it is entitled to in exchange for the goods or services it transfers to the customer. At contract inception, once the contract is determined to be within the scope of ASC 606, the Company assesses the goods or services promised within each contract and determines those that are distinct performance obligations. The Company also determines whether it acts as an agent or a principal for each identified performance obligation. The determination of whether the Company acts as the principal or the agent is highly subjective and requires the Company to evaluate a number of indicators individually and as a whole in order to make its determination</w:t>
      </w:r>
      <w:r>
        <w:rPr>
          <w:rFonts w:ascii="Times New Roman" w:hAnsi="Times New Roman" w:eastAsia="Times New Roman" w:cs="Times New Roman"/>
          <w:sz w:val="22"/>
        </w:rPr>
        <w:t xml:space="preserve">. </w:t>
      </w:r>
      <w:r>
        <w:rPr>
          <w:rFonts w:ascii="Times New Roman" w:hAnsi="Times New Roman" w:eastAsia="Times New Roman" w:cs="Times New Roman"/>
          <w:sz w:val="20"/>
        </w:rPr>
        <w:t xml:space="preserve">For transactions in which the Company acts as a principal, revenue is reported on a gross basis as the amount paid by the marketer for the purchase of content or sponsorship, promotion and other related services and the Company records the amounts it pays to third-party creators as cost of revenue. For transactions in which the Company acts as an agent, revenue is reported on a net basis as the amount the Company charged to the self-service marketer using the Company's platform, less the amounts paid to the third-party creators providing the service.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maintains separate arrangements with each marketer and content creator either in the form of a master agreement or terms of service, which specifies the terms of the relationship and access to its platforms, or by statement of work, which specifies the price and the services to be performed, along with other terms. The transaction price is determined based on the fixed fee stated in the statement of work and does not contain variable consideration. Marketers who contract with the Company to manage their advertising campaigns or custom content requests may prepay for services or request credit terms. Payment terms are typically 30 days from the invoice date. The agreement typically provides for a cancellation fee if the agreement is canceled by the customer prior to completion of services. Billings in advance of completed services are recorded as a contract liability until earned. The Company assesses collectibility based on a number of factors, including the creditworthiness of the customer and payment and transaction history. The allocation of the transaction price to the performance obligations in the contract is based on a cost plus methodology.</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For Managed Services, the Company enters into an agreement to provide services that may include multiple distinct performance obligations in the form of: (i) an integrated marketing campaign to provide influencer marketing services, which may include the provision of blogs, tweets, photos or videos shared through social network offerings and content promotion, such as click-through advertisements appearing in websites and social media channels; and (ii) custom content items, such as a research or news article, informational material or videos. Marketers typically purchase influencer marketing services for the purpose of providing public awareness or advertising buzz regarding the marketer's brand and they purchase custom content for internal and external use. The Company may provide one type or a combination of all types of these performance obligations on a statement of work for a lump sum fee. The Company allocates revenue to each performance obligation in the contract at inception based on its relative standalone selling price. These performance obligations are to be provided over a stated period that may range from one day to one year. Revenue is accounted for when the performance obligation has been satisfied depending on the type of service provided. The Company views its obligation to deliver influencer marketing services, including management services, as a single performance obligation that is satisfied over time as the customer receives the benefits from the services. Revenue is recognized using an input method of costs incurred compared to total expected costs to measure the progress towards satisfying the overall performance obligation of the marketing campaign. The delivery of custom content represents a distinct performance obligation that is satisfied over time as the Company has no alternative for the custom content and the Company has an enforceable right to payment for performance completed to date under the contracts. The Company considers custom content to be a series of distinct services that are substantially the same and that have the same pattern of transfer to the customer, and revenue is recognized over time using an output method based on when each individual piece of content is delivered to the customer.  Based on the Company's evaluations, revenue from Managed Services is reported on a gross basis, because the Company has the primary obligation to fulfill the performance obligations and it creates, reviews and controls the services. The Company takes on the risk of payment to any third-party creators and it establishes the contract price directly with its customers based on the services requested in the statement of work.</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For Marketplace Spend services (including Legacy Workflow), the self-service customer instructs creators found through the Company's platforms to provide and/or distribute custom content for an agreed upon transaction fee. The Company's platforms control the contracting, description of services, acceptance of and payment for the requested content. This service is used primarily by news agencies or marketers to control the outsourcing of their content and advertising needs. The Company charges the self-service customer the transaction price plus a fee based on the contract. Revenue is recognized when the transaction is completed by the creator and accepted by the marketer. Based on the Company's evaluations, Marketplace Spend Fee revenue is reported on a net basis since the Company is acting as an agent solely arranging for the third-party creator or influencer to provide the services directly to the self-service customer through the platform, and are typically recognized upon publishing or purchase of the marketplace spend by the creator and verification of the publishing by the marketer.</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License Fee revenue is generated through the granting of limited, non-exclusive, non-transferable licenses to customers for the use of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TapIfluence</w:t>
      </w:r>
      <w:r>
        <w:rPr>
          <w:rFonts w:ascii="Times New Roman" w:hAnsi="Times New Roman" w:eastAsia="Times New Roman" w:cs="Times New Roman"/>
          <w:sz w:val="20"/>
        </w:rPr>
        <w:t xml:space="preserve"> technology platforms for an agreed-upon subscription period. Customers license the platforms to manage their own influencer marketing campaigns. Fees for subscription or licensing services are recognized straight-line over the term of the service.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Other Fee revenue is generated when fees are charged to customers primarily related to monthly plan fees, inactivity fees, and early cash-out fees. Plan fees are recognized within the month they relate to, and inactivity and early cash-out fees are recognized at a point in time when the account is deemed inactive or a cash-out below certain minimum thresholds is requested.</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does not typically engage in contracts that are longer than one year. Therefore, the Company does not capitalize costs to obtain its customer contracts as these amounts would be generally recognized over less than one year and are not material.</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See Note 8 for further details on the Company's adoption and disclosures related to ASC 606.</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Advertising Costs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Advertising costs are charged to expense as they are incurred, including payments to content creators to promote the Company. Advertising costs charged to operations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were approximately </w:t>
      </w:r>
      <w:r>
        <w:rPr>
          <w:rFonts w:ascii="Times New Roman" w:hAnsi="Times New Roman" w:eastAsia="Times New Roman" w:cs="Times New Roman"/>
          <w:sz w:val="20"/>
        </w:rPr>
        <w:t xml:space="preserve">$94,000</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$79,000</w:t>
      </w:r>
      <w:r>
        <w:rPr>
          <w:rFonts w:ascii="Times New Roman" w:hAnsi="Times New Roman" w:eastAsia="Times New Roman" w:cs="Times New Roman"/>
          <w:sz w:val="20"/>
        </w:rPr>
        <w:t xml:space="preserve">, respectively. Advertising costs charged to operations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were approximately </w:t>
      </w:r>
      <w:r>
        <w:rPr>
          <w:rFonts w:ascii="Times New Roman" w:hAnsi="Times New Roman" w:eastAsia="Times New Roman" w:cs="Times New Roman"/>
          <w:sz w:val="20"/>
        </w:rPr>
        <w:t xml:space="preserve">$412,000</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$248,000</w:t>
      </w:r>
      <w:r>
        <w:rPr>
          <w:rFonts w:ascii="Times New Roman" w:hAnsi="Times New Roman" w:eastAsia="Times New Roman" w:cs="Times New Roman"/>
          <w:sz w:val="20"/>
        </w:rPr>
        <w:t xml:space="preserve">, respectively. Advertising costs are included in sales and marketing expense in the accompanying consolidated statements of operations.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Deferred Rent</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Company’s operating leases for its office facilities contain rent abatements and predetermined fixed increases of the base rental rate during the lease terms. The Company accounts for rental expense on a straight-line basis over the lease terms. The Company records the difference between the straight-line expense and the actual amounts paid under the lease as deferred rent in the accompanying consolidated balance sheets.</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Income Taxes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has not recorded federal income tax expense due to the generation of net operating losses. Deferred income taxes are accounted for using the balance sheet approach, which requires recognition of deferred tax assets and liabilities for the expected future consequences of temporary differences between the financial reporting basis and the tax basis of assets and liabilities. A valuation allowance is provided when it is more likely than not that a deferred tax asset will not be realized. The Company incurs minimal state franchise tax in </w:t>
      </w:r>
      <w:r>
        <w:rPr>
          <w:rFonts w:ascii="Times New Roman" w:hAnsi="Times New Roman" w:eastAsia="Times New Roman" w:cs="Times New Roman"/>
          <w:sz w:val="20"/>
        </w:rPr>
        <w:t xml:space="preserve">four</w:t>
      </w:r>
      <w:r>
        <w:rPr>
          <w:rFonts w:ascii="Times New Roman" w:hAnsi="Times New Roman" w:eastAsia="Times New Roman" w:cs="Times New Roman"/>
          <w:sz w:val="20"/>
        </w:rPr>
        <w:t xml:space="preserve"> states, which is included in general and administrative expense in the consolidated statements of operations.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identifies and evaluates uncertain tax positions, if any, and recognizes the impact of uncertain tax positions for which there is a less than more-likely-than-not probability of the position being upheld when reviewed by the relevant taxing authority. Such positions are deemed to be unrecognized tax benefits and a corresponding liability is established on the balance sheet. The Company has not recognized a liability for uncertain tax positions. If there were an unrecognized tax benefit, the Company would recognize interest accrued related to unrecognized tax benefits in interest expense and penalties in operating expenses. The Company’s tax years subject to examination by the Internal Revenue Service are 2014, 2015 and 2016.</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Derivative Financial Instruments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Derivative financial instruments are defined as financial instruments or other contracts that contain a notional amount and one or more underlying factors (e.g., interest rate, security price or other variable), require no initial net investment and permit net settlement. Derivative financial instruments may be free-standing or embedded in other financial instruments. Further, derivative financial instruments are initially, and subsequently, measured at fair value and recorded as liabilities or assets. The Company accounts for derivative instruments in accordance with ASC 815, </w:t>
      </w:r>
      <w:r>
        <w:rPr>
          <w:rFonts w:ascii="Times New Roman" w:hAnsi="Times New Roman" w:eastAsia="Times New Roman" w:cs="Times New Roman"/>
          <w:sz w:val="20"/>
          <w:i w:val="true"/>
        </w:rPr>
        <w:t xml:space="preserve">Derivatives and Hedging</w:t>
      </w:r>
      <w:r>
        <w:rPr>
          <w:rFonts w:ascii="Times New Roman" w:hAnsi="Times New Roman" w:eastAsia="Times New Roman" w:cs="Times New Roman"/>
          <w:sz w:val="20"/>
        </w:rPr>
        <w:t xml:space="preserve"> (“ASC 815”), which requires additional disclosures about the Company’s objectives and strategies for using derivative instruments, how the derivative instruments and related hedged items are accounted for, and how the derivative instruments and related hedging items affect the financial statements. The Company does not use derivative instruments to hedge exposures to cash flow, market or foreign currency risk. Terms of equity instruments are reviewed to determine whether or not they contain embedded derivative instruments that are required under ASC 815 to be accounted for separately from the host contract, and recorded on the balance sheet at fair value. The fair value of derivative liabilities, if any, is required to be revalued at each reporting date, with corresponding changes in fair value recorded in current period operating results. Pursuant to ASC 815, an evaluation of specifically identified conditions is made to determine whether the fair value of warrants issued is required to be classified as equity or as a derivative liability.  The Company had </w:t>
      </w:r>
      <w:r>
        <w:rPr>
          <w:rFonts w:ascii="Times New Roman" w:hAnsi="Times New Roman" w:eastAsia="Times New Roman" w:cs="Times New Roman"/>
          <w:sz w:val="20"/>
        </w:rPr>
        <w:t xml:space="preserve">5,502</w:t>
      </w:r>
      <w:r>
        <w:rPr>
          <w:rFonts w:ascii="Times New Roman" w:hAnsi="Times New Roman" w:eastAsia="Times New Roman" w:cs="Times New Roman"/>
          <w:sz w:val="20"/>
        </w:rPr>
        <w:t xml:space="preserve"> warrant shares issued in its September 2012 public offering that required classification as a liability due to certain registration rights and listing requirements in the agreements. These warrants expired in September 2017 with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value. The Company has also issued shares of restricted stock which vest over future periods. The value of these shares is required to be adjusted over the vesting period. See Note 6 for additional information related to these shares.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Fair Value of Financial Instruments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Company’s financial instruments are recorded at fair value. Fair value is defined as the exchange price that would be received for an asset or paid to transfer a liability (an exit price) in the principal or most advantageous market for the asset or liability in an orderly transaction between market participants on the measurement date. The valuation techniques are based on observable and unobservable inputs. Observable inputs reflect readily obtainable data from independent sources, while unobservable inputs reflect certain market assumptions. There are three levels of inputs that may be used to measure fair value: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720" w:firstLine="-360"/>
        <w:jc w:val="left"/>
        <w:spacing w:after="180" w:line="288" w:lineRule="auto"/>
        <w:rPr>
          <w:rFonts w:ascii="Times New Roman" w:hAnsi="Times New Roman" w:eastAsia="Times New Roman" w:cs="Times New Roman"/>
          <w:sz w:val="20"/>
          <w:rFonts w:ascii="Times New Roman" w:hAnsi="Times New Roman" w:eastAsia="Times New Roman" w:cs="Times New Roman"/>
          <w:sz w:val="20"/>
        </w:rPr>
        <w:numPr>
          <w:ilvl w:val="0"/>
          <w:numId w:val="9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Level 1 </w:t>
      </w:r>
      <w:r>
        <w:rPr>
          <w:rFonts w:ascii="Times New Roman" w:hAnsi="Times New Roman" w:eastAsia="Times New Roman" w:cs="Times New Roman"/>
          <w:sz w:val="20"/>
          <w:i w:val="true"/>
        </w:rPr>
        <w:t xml:space="preserve">–</w:t>
      </w:r>
      <w:r>
        <w:rPr>
          <w:rFonts w:ascii="Times New Roman" w:hAnsi="Times New Roman" w:eastAsia="Times New Roman" w:cs="Times New Roman"/>
          <w:sz w:val="20"/>
        </w:rPr>
        <w:t xml:space="preserve"> Valuation based on quoted market prices in active markets for identical assets and liabilities.</w:t>
      </w:r>
    </w:p>
    <w:p>
      <w:pPr>
        <w:ind w:left="720" w:firstLine="-360"/>
        <w:jc w:val="left"/>
        <w:spacing w:after="180" w:line="288" w:lineRule="auto"/>
        <w:rPr>
          <w:rFonts w:ascii="Times New Roman" w:hAnsi="Times New Roman" w:eastAsia="Times New Roman" w:cs="Times New Roman"/>
          <w:sz w:val="20"/>
          <w:rFonts w:ascii="Times New Roman" w:hAnsi="Times New Roman" w:eastAsia="Times New Roman" w:cs="Times New Roman"/>
          <w:sz w:val="20"/>
        </w:rPr>
        <w:numPr>
          <w:ilvl w:val="0"/>
          <w:numId w:val="9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Level 2 </w:t>
      </w:r>
      <w:r>
        <w:rPr>
          <w:rFonts w:ascii="Times New Roman" w:hAnsi="Times New Roman" w:eastAsia="Times New Roman" w:cs="Times New Roman"/>
          <w:sz w:val="20"/>
          <w:i w:val="true"/>
        </w:rPr>
        <w:t xml:space="preserve">–</w:t>
      </w:r>
      <w:r>
        <w:rPr>
          <w:rFonts w:ascii="Times New Roman" w:hAnsi="Times New Roman" w:eastAsia="Times New Roman" w:cs="Times New Roman"/>
          <w:sz w:val="20"/>
        </w:rPr>
        <w:t xml:space="preserve"> Valuation based on quoted market prices for similar assets and liabilities in active markets.</w:t>
      </w:r>
    </w:p>
    <w:p>
      <w:pPr>
        <w:ind w:left="720" w:firstLine="-360"/>
        <w:jc w:val="left"/>
        <w:spacing w:after="180" w:line="288" w:lineRule="auto"/>
        <w:rPr>
          <w:rFonts w:ascii="Times New Roman" w:hAnsi="Times New Roman" w:eastAsia="Times New Roman" w:cs="Times New Roman"/>
          <w:sz w:val="20"/>
          <w:rFonts w:ascii="Times New Roman" w:hAnsi="Times New Roman" w:eastAsia="Times New Roman" w:cs="Times New Roman"/>
          <w:sz w:val="20"/>
        </w:rPr>
        <w:numPr>
          <w:ilvl w:val="0"/>
          <w:numId w:val="9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Level 3 </w:t>
      </w:r>
      <w:r>
        <w:rPr>
          <w:rFonts w:ascii="Times New Roman" w:hAnsi="Times New Roman" w:eastAsia="Times New Roman" w:cs="Times New Roman"/>
          <w:sz w:val="20"/>
          <w:i w:val="true"/>
        </w:rPr>
        <w:t xml:space="preserve">–</w:t>
      </w:r>
      <w:r>
        <w:rPr>
          <w:rFonts w:ascii="Times New Roman" w:hAnsi="Times New Roman" w:eastAsia="Times New Roman" w:cs="Times New Roman"/>
          <w:sz w:val="20"/>
        </w:rPr>
        <w:t xml:space="preserve"> Valuation based on unobservable inputs that are supported by little or no market activity, therefore requiring management’s best estimate of what market participants would use as fair value.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Fair value estimates discussed herein are based upon certain market assumptions and pertinent information available to management. The Company does not have any Level 1 or 2 financial assets or liabilities. The Company’s Level 3 financial liabilities measured at fair value consisted of its acquisition cost liability (see Note 2)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Significant unobservable inputs used in the fair value measurement of the warrants include the estimated term and risk-adjusted interest rates. In developing its credit risk assumption used in the fair value of warrants, the Company considered publicly available bond rates and US Treasury Yields. However, since the Company does not have a formal credit-standing, management estimated its standing among various reported levels and grades for use in the model. During all periods, management estimated that the Company's standing was in the speculative to high-risk grades (BB- to CCC in the Standard and Poor's Rating). Significant increases or decreases in the estimated remaining period to exercise or the risk-adjusted interest rate could result in a significantly lower or higher fair value measurement.</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respective carrying value of certain on-balance-sheet financial instruments approximated their fair values due to the short-term nature of these instruments. These financial instruments include cash and cash equivalents, accounts receivable, accounts payable, unearned revenue, and accrued expenses. Unless otherwise disclosed, the fair value of the Company’s long-term debt obligations approximate their carrying value based upon current rates available to the Company.</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Stock-Based Compensation</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Stock-based compensation cost related to stock options granted under the 2011 Equity Incentive Plan and 2011 B Equity Incentive Plan (together, the “2011 Equity Incentive Plans”) (see Note 6) is measured at the grant date, based on the fair value of the award, and is recognized as a straight-lined expense over the employee’s requisite service period. The Company estimates the fair value of each option award on the date of grant using a Black-Scholes option-pricing model that uses the assumptions noted in the table below. The Company estimates the fair value of its common stock using the closing stock price of its common stock on the date of the grant. The Company estimates the volatility of its common stock at the date of grant based on the volatility of comparable peer companies that are publicly traded and have had a longer trading history than itself. The Company determines the expected life based on historical experience with similar awards, giving consideration to the contractual terms, vesting schedules and post-vesting forfeitures. The Company uses the risk-free interest rate on the implied yield currently available on U.S. Treasury issues with an equivalent remaining term approximately equal to the expected life of the award. The Company has never paid any cash dividends on its common stock and does not anticipate paying any cash dividends in the foreseeable future.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used the following assumptions for options granted under the 2011 Equity Incentive Plans during the </w:t>
      </w:r>
      <w:r>
        <w:rPr>
          <w:rFonts w:ascii="Times New Roman" w:hAnsi="Times New Roman" w:eastAsia="Times New Roman" w:cs="Times New Roman"/>
          <w:sz w:val="20"/>
        </w:rPr>
        <w:t xml:space="preserve">three and 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w:t>
      </w:r>
    </w:p>
    <w:tbl>
      <w:tblPr>
        <w:tblW w:type="dxa" w:w="10240"/>
        <w:tblLayout w:type="fixed"/>
        <w:jc w:val="left"/>
      </w:tblPr>
      <w:tblGrid>
        <w:gridCol w:w="4720"/>
        <w:gridCol w:w="80"/>
        <w:gridCol w:w="1300"/>
        <w:gridCol w:w="80"/>
        <w:gridCol w:w="1300"/>
        <w:gridCol w:w="80"/>
        <w:gridCol w:w="1300"/>
        <w:gridCol w:w="80"/>
        <w:gridCol w:w="1300"/>
      </w:tblGrid>
      <w:tr>
        <w:trPr>
          <w:trHeight w:hRule="exact" w:val="300"/>
        </w:trPr>
        <w:tc>
          <w:tcPr>
            <w:tcW w:type="dxa" w:w="4720"/>
            <w:tcMar>
              <w:left w:type="dxa" w:w="60"/>
              <w:right w:type="dxa" w:w="0"/>
            </w:tcMar>
            <w:tcBorders/>
            <w:vAlign w:val="bottom"/>
          </w:tcPr>
          <w:p>
            <w:pPr>
              <w:jc w:val="left"/>
              <w:keepNext/>
              <w:keepLines/>
              <w:spacing w:before="40" w:after="40" w:line="240" w:lineRule="auto"/>
              <w:rPr/>
            </w:pPr>
            <w:r>
              <w:rPr/>
            </w:r>
          </w:p>
        </w:tc>
        <w:tc>
          <w:tcPr>
            <w:tcW w:type="dxa" w:w="80"/>
            <w:tcMar>
              <w:left w:type="dxa" w:w="0"/>
              <w:right w:type="dxa" w:w="0"/>
            </w:tcMar>
            <w:tcBorders/>
            <w:vAlign w:val="bottom"/>
          </w:tcPr>
          <w:p>
            <w:pPr>
              <w:jc w:val="left"/>
              <w:keepNext/>
              <w:keepLines/>
              <w:spacing w:before="40" w:after="40" w:line="240" w:lineRule="auto"/>
              <w:rPr/>
            </w:pPr>
            <w:r>
              <w:rPr/>
            </w:r>
          </w:p>
        </w:tc>
        <w:tc>
          <w:tcPr>
            <w:tcW w:type="dxa" w:w="268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W w:type="dxa" w:w="0"/>
            <w:tcMar>
              <w:left w:type="dxa" w:w="60"/>
              <w:right w:type="dxa" w:w="60"/>
            </w:tcMar>
            <w:hMerge w:val="continue"/>
            <w:tcBorders/>
            <w:vAlign w:val="bottom"/>
          </w:tcPr>
          <w:p>
            <w:pPr>
              <w:jc w:val="left"/>
              <w:keepNext/>
              <w:keepLines/>
              <w:spacing w:before="40" w:after="40" w:line="240" w:lineRule="auto"/>
              <w:rPr/>
            </w:pPr>
            <w:r>
              <w:rPr/>
            </w: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268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W w:type="dxa" w:w="0"/>
            <w:tcMar>
              <w:left w:type="dxa" w:w="60"/>
              <w:right w:type="dxa" w:w="0"/>
            </w:tcMar>
            <w:hMerge w:val="continue"/>
            <w:tcBorders/>
            <w:vAlign w:val="bottom"/>
          </w:tcPr>
          <w:p>
            <w:pPr>
              <w:jc w:val="left"/>
              <w:keepNext/>
              <w:keepLines/>
              <w:spacing w:before="40" w:after="40" w:line="240" w:lineRule="auto"/>
              <w:rPr/>
            </w:pPr>
            <w:r>
              <w:rPr/>
            </w:r>
          </w:p>
        </w:tc>
      </w:tr>
      <w:tr>
        <w:trPr>
          <w:trHeight w:hRule="exact" w:val="500"/>
        </w:trPr>
        <w:tc>
          <w:tcPr>
            <w:tcW w:type="dxa" w:w="4720"/>
            <w:tcMar>
              <w:left w:type="dxa" w:w="60"/>
              <w:right w:type="dxa" w:w="40"/>
            </w:tcMar>
            <w:hMerge w:val="restart"/>
            <w:tcBorders>
              <w:bottom w:val="single" w:sz="8"/>
            </w:tcBorders>
            <w:vAlign w:val="bottom"/>
          </w:tcPr>
          <w:p>
            <w:pPr>
              <w:jc w:val="left"/>
              <w:keepNext/>
              <w:keepLines/>
              <w:spacing w:before="40" w:after="40" w:line="240"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color w:val="000000"/>
              </w:rPr>
              <w:t xml:space="preserve">2011 Equity Incentive Plans Assumptions</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2018</w:t>
            </w: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2017</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2018</w:t>
            </w:r>
          </w:p>
        </w:tc>
        <w:tc>
          <w:tcPr>
            <w:tcW w:type="dxa" w:w="80"/>
            <w:tcMar>
              <w:left w:type="dxa" w:w="0"/>
              <w:right w:type="dxa" w:w="0"/>
            </w:tcMar>
            <w:tcBorders>
              <w:top w:val="single" w:sz="8" w:space="0"/>
            </w:tcBorders>
            <w:vAlign w:val="top"/>
          </w:tcPr>
          <w:p>
            <w:pPr>
              <w:jc w:val="left"/>
              <w:keepNext/>
              <w:keepLines/>
              <w:spacing w:before="40" w:after="40" w:line="240" w:lineRule="auto"/>
              <w:rPr/>
            </w:pPr>
            <w:r>
              <w:rPr/>
            </w:r>
          </w:p>
        </w:tc>
        <w:tc>
          <w:tcPr>
            <w:tcW w:type="dxa" w:w="1300"/>
            <w:tcMar>
              <w:left w:type="dxa" w:w="60"/>
              <w:right w:type="dxa" w:w="60"/>
            </w:tcMar>
            <w:tcBorders>
              <w:top w:val="single" w:sz="8" w:space="0"/>
              <w:bottom w:val="single" w:sz="8"/>
            </w:tcBorders>
            <w:vAlign w:val="top"/>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2017</w:t>
            </w:r>
          </w:p>
        </w:tc>
      </w:tr>
      <w:tr>
        <w:trPr>
          <w:trHeight w:hRule="exact" w:val="300"/>
        </w:trPr>
        <w:tc>
          <w:tcPr>
            <w:tcW w:type="dxa" w:w="47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Expected term</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 years</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 years</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 years</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 years</w:t>
            </w:r>
          </w:p>
        </w:tc>
      </w:tr>
      <w:tr>
        <w:trPr>
          <w:trHeight w:hRule="exact" w:val="300"/>
        </w:trPr>
        <w:tc>
          <w:tcPr>
            <w:tcW w:type="dxa" w:w="47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 volatility</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65.65%</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43.08%</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63.40%</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43.49%</w:t>
            </w:r>
          </w:p>
        </w:tc>
      </w:tr>
      <w:tr>
        <w:trPr>
          <w:trHeight w:hRule="exact" w:val="300"/>
        </w:trPr>
        <w:tc>
          <w:tcPr>
            <w:tcW w:type="dxa" w:w="47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 risk free interest rate</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2.82%</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1.91%</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2.77%</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1.98%</w:t>
            </w:r>
          </w:p>
        </w:tc>
      </w:tr>
      <w:tr>
        <w:trPr>
          <w:trHeight w:hRule="exact" w:val="300"/>
        </w:trPr>
        <w:tc>
          <w:tcPr>
            <w:tcW w:type="dxa" w:w="472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Expected dividends</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estimates forfeitures when recognizing compensation expense and this estimate of forfeitures is adjusted over the requisite service period based on the extent to which actual forfeitures differ, or are expected to differ, from such estimates. Changes in estimated forfeitures are recognized through a cumulative catch-up adjustment, which is recognized in the period of change, and a revised amount of unamortized compensation expense to be recognized in future periods. Weighted average expected forfeiture rates were </w:t>
      </w:r>
      <w:r>
        <w:rPr>
          <w:rFonts w:ascii="Times New Roman" w:hAnsi="Times New Roman" w:eastAsia="Times New Roman" w:cs="Times New Roman"/>
          <w:sz w:val="20"/>
        </w:rPr>
        <w:t xml:space="preserve">8.23%</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6.79%</w:t>
      </w: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Weighted average expected forfeiture rates were </w:t>
      </w:r>
      <w:r>
        <w:rPr>
          <w:rFonts w:ascii="Times New Roman" w:hAnsi="Times New Roman" w:eastAsia="Times New Roman" w:cs="Times New Roman"/>
          <w:sz w:val="20"/>
        </w:rPr>
        <w:t xml:space="preserve">10.01%</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9.01%</w:t>
      </w: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Non-Employee Stock-Based Payments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Company's accounting policy for equity instruments issued to consultants and vendors in exchange for goods and services follows the provisions of ASC 505, </w:t>
      </w:r>
      <w:r>
        <w:rPr>
          <w:rFonts w:ascii="Times New Roman" w:hAnsi="Times New Roman" w:eastAsia="Times New Roman" w:cs="Times New Roman"/>
          <w:sz w:val="20"/>
          <w:i w:val="true"/>
        </w:rPr>
        <w:t xml:space="preserve">“Equity-Based Payments to Non-Employees.”</w:t>
      </w:r>
      <w:r>
        <w:rPr>
          <w:rFonts w:ascii="Times New Roman" w:hAnsi="Times New Roman" w:eastAsia="Times New Roman" w:cs="Times New Roman"/>
          <w:sz w:val="20"/>
        </w:rPr>
        <w:t xml:space="preserve">  The measurement date for the fair value of the equity instruments issued is determined at the earlier of (i) the date at which a commitment for performance by the consultant or vendor is reached or (ii) the date at which the consultant or vendor's performance is complete. The fair value of equity instruments issued to consultants that vest immediately is expensed when issued. The fair value of equity instruments issued to consultants that have future vesting and are subject to forfeiture if performance does not occur is recognized as expense over the vesting period. Fair values for the unvested portion of issued instruments are adjusted each reporting period. The change in fair value is recorded in the accompanying consolidated statements of operations. Stock-based payments related to non-employees is accounted for based on the fair value of the related stock or the fair value of the services, whichever is more readily determinable.</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Segment Information</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Prior to its merger with TapInfluence, the Company managed its operations as one segment for reporting purposes and evaluated operations and made business decisions based on consolidated results. Effective in the quarter ended September 30, 2018, and primarily as a result of the merger with TapInfluence, the Company has significantly expanded its operations related to license fees and marketplace spend fees. As a result, Company management is now actively evaluating operations under two reportable business segments (see Note 9).</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Use of Estimates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those estimates.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Reclassifications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Certain items have been reclassified in the 2017 financial statements to conform to the 2018 presentation.  In the Statements of Cash Flows, the Company has reclassified payments on acquisition liabilities as financing activities rather than as a change in accrued expenses in operating activities.</w:t>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Recent Accounting Pronouncements</w:t>
      </w: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In February 2016, the FASB issued ASU No. 2016-02,</w:t>
      </w:r>
      <w:r>
        <w:rPr>
          <w:rFonts w:ascii="Times New Roman" w:hAnsi="Times New Roman" w:eastAsia="Times New Roman" w:cs="Times New Roman"/>
          <w:sz w:val="20"/>
          <w:i w:val="true"/>
        </w:rPr>
        <w:t xml:space="preserve"> Leases (Topic 842)</w:t>
      </w:r>
      <w:r>
        <w:rPr>
          <w:rFonts w:ascii="Times New Roman" w:hAnsi="Times New Roman" w:eastAsia="Times New Roman" w:cs="Times New Roman"/>
          <w:sz w:val="20"/>
        </w:rPr>
        <w:t xml:space="preserve">. This ASU increases transparency and comparability among organizations by recognizing lease assets and lease liabilities on the balance sheet and disclosing key information about leasing arrangements. The new standard establishes a right-of-use model that requires a lessee to record a right-of-use asset and a lease liability on the balance sheet for all leases with terms longer than 12 months. Leases will be classified as either finance or operating, with classification affecting the pattern of expense recognition in the income statement. Since the issuance of the original standard, the FASB has issued a subsequent update, ASU No. 2018-01, </w:t>
      </w:r>
      <w:r>
        <w:rPr>
          <w:rFonts w:ascii="Times New Roman" w:hAnsi="Times New Roman" w:eastAsia="Times New Roman" w:cs="Times New Roman"/>
          <w:sz w:val="20"/>
          <w:i w:val="true"/>
        </w:rPr>
        <w:t xml:space="preserve">Land Easement Practical Expedient for Transition to Topic 842</w:t>
      </w:r>
      <w:r>
        <w:rPr>
          <w:rFonts w:ascii="Times New Roman" w:hAnsi="Times New Roman" w:eastAsia="Times New Roman" w:cs="Times New Roman"/>
          <w:sz w:val="20"/>
        </w:rPr>
        <w:t xml:space="preserve">, which provides a practical expedient for land easements. The new standard is effective for fiscal years, and interim periods within those fiscal years, beginning after December 15, 2018. Early adoption is permitted. A modified retrospective transition approach is required for lessees for capital and operating leases existing at, or entered into after, the beginning of the earliest comparative period presented in the financial statements, with certain practical expedients available. The Company is currently evaluating the impact that this ASU will have on its consolidated financial statements.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In January 2017, the FASB issued ASU No. 2017-04, </w:t>
      </w:r>
      <w:r>
        <w:rPr>
          <w:rFonts w:ascii="Times New Roman" w:hAnsi="Times New Roman" w:eastAsia="Times New Roman" w:cs="Times New Roman"/>
          <w:sz w:val="20"/>
          <w:i w:val="true"/>
        </w:rPr>
        <w:t xml:space="preserve">Intangibles—Goodwill and Other (Topic 350): Simplifying the Test for Goodwill Impairment </w:t>
      </w:r>
      <w:r>
        <w:rPr>
          <w:rFonts w:ascii="Times New Roman" w:hAnsi="Times New Roman" w:eastAsia="Times New Roman" w:cs="Times New Roman"/>
          <w:sz w:val="20"/>
        </w:rPr>
        <w:t xml:space="preserve">(“ASU 2017-04”)</w:t>
      </w:r>
      <w:r>
        <w:rPr>
          <w:rFonts w:ascii="Times New Roman" w:hAnsi="Times New Roman" w:eastAsia="Times New Roman" w:cs="Times New Roman"/>
          <w:sz w:val="20"/>
          <w:i w:val="true"/>
        </w:rPr>
        <w:t xml:space="preserve">. </w:t>
      </w:r>
      <w:r>
        <w:rPr>
          <w:rFonts w:ascii="Times New Roman" w:hAnsi="Times New Roman" w:eastAsia="Times New Roman" w:cs="Times New Roman"/>
          <w:sz w:val="20"/>
        </w:rPr>
        <w:t xml:space="preserve">To address concerns over the cost and complexity of the two-step goodwill impairment test, the new standard removes the requirement for the second step of the goodwill impairment test for certain entities. An entity may apply a one-step quantitative test and record the amount of goodwill impairment as the excess of a reporting unit's carrying amount over its fair value, not to exceed the total amount of goodwill allocated to the reporting unit. The new standard is effective for fiscal years beginning after December 15, 2019. Early adoption is permitted for testing dates after January 1, 2017. The Company is currently evaluating the impact that ASU 2017-04 will have on its consolidated financial statements.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1080" w:left="1000" w:right="1000" w:bottom="860" w:footer="460" w:gutter="0" w:header="160"/>
          <w:headerReference r:id="rId10" w:type="default"/>
          <w:footerReference r:id="rId12" w:type="default"/>
        </w:sect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2. 	BUSINESS COMBINATIONS</w:t>
      </w:r>
      <w:bookmarkStart w:id="51636" w:name="NOTE_2___Business_Acquisitions"/>
      <w:bookmarkEnd w:id="51636"/>
    </w:p>
    <w:p>
      <w:pPr>
        <w:jc w:val="both"/>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both"/>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TapInfluence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July 26, 2018, IZEA completed its merger with TapInfluence, Inc., pursuant to the terms of the Agreement and Plan of Merger, dated as of July 11, 2018, by and among IZEA, IZEA Merger Sub, Inc., TapInfluence, certain stockholders of TapInfluence and the stockholders’ representative, as amended by Amendment No. 1 thereto, dated as of July 20, 2018 (the "Merger Agreement"). The merger was consummated, in part, to further consolidate the influencer marketing industry for IZEA, and for IZEA to obtain benefits from the acquisition of the TapInfluence technology platform and existing customer base, particularly from TapInfluence's self-service customers.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At closing, IZEA paid to TapInfluence stockholders the sum of </w:t>
      </w:r>
      <w:r>
        <w:rPr>
          <w:rFonts w:ascii="Times New Roman" w:hAnsi="Times New Roman" w:eastAsia="Times New Roman" w:cs="Times New Roman"/>
          <w:sz w:val="20"/>
        </w:rPr>
        <w:t xml:space="preserve">$1,500,000</w:t>
      </w:r>
      <w:r>
        <w:rPr>
          <w:rFonts w:ascii="Times New Roman" w:hAnsi="Times New Roman" w:eastAsia="Times New Roman" w:cs="Times New Roman"/>
          <w:sz w:val="20"/>
        </w:rPr>
        <w:t xml:space="preserve"> in cash, less an estimated closing working capital adjustment of </w:t>
      </w:r>
      <w:r>
        <w:rPr>
          <w:rFonts w:ascii="Times New Roman" w:hAnsi="Times New Roman" w:eastAsia="Times New Roman" w:cs="Times New Roman"/>
          <w:sz w:val="20"/>
        </w:rPr>
        <w:t xml:space="preserve">$181,633</w:t>
      </w:r>
      <w:r>
        <w:rPr>
          <w:rFonts w:ascii="Times New Roman" w:hAnsi="Times New Roman" w:eastAsia="Times New Roman" w:cs="Times New Roman"/>
          <w:sz w:val="20"/>
        </w:rPr>
        <w:t xml:space="preserve">, along with other adjustments as defined in the Merger Agreement, and issued </w:t>
      </w:r>
      <w:r>
        <w:rPr>
          <w:rFonts w:ascii="Times New Roman" w:hAnsi="Times New Roman" w:eastAsia="Times New Roman" w:cs="Times New Roman"/>
          <w:sz w:val="20"/>
        </w:rPr>
        <w:t xml:space="preserve">1,150,000</w:t>
      </w:r>
      <w:r>
        <w:rPr>
          <w:rFonts w:ascii="Times New Roman" w:hAnsi="Times New Roman" w:eastAsia="Times New Roman" w:cs="Times New Roman"/>
          <w:sz w:val="20"/>
        </w:rPr>
        <w:t xml:space="preserve"> shares of IZEA's common stock valued at </w:t>
      </w:r>
      <w:r>
        <w:rPr>
          <w:rFonts w:ascii="Times New Roman" w:hAnsi="Times New Roman" w:eastAsia="Times New Roman" w:cs="Times New Roman"/>
          <w:sz w:val="20"/>
        </w:rPr>
        <w:t xml:space="preserve">$1,759,500</w:t>
      </w:r>
      <w:r>
        <w:rPr>
          <w:rFonts w:ascii="Times New Roman" w:hAnsi="Times New Roman" w:eastAsia="Times New Roman" w:cs="Times New Roman"/>
          <w:sz w:val="20"/>
        </w:rPr>
        <w:t xml:space="preserve"> based on the </w:t>
      </w:r>
      <w:r>
        <w:rPr>
          <w:rFonts w:ascii="Times New Roman" w:hAnsi="Times New Roman" w:eastAsia="Times New Roman" w:cs="Times New Roman"/>
          <w:sz w:val="20"/>
        </w:rPr>
        <w:t xml:space="preserve">$1.53</w:t>
      </w:r>
      <w:r>
        <w:rPr>
          <w:rFonts w:ascii="Times New Roman" w:hAnsi="Times New Roman" w:eastAsia="Times New Roman" w:cs="Times New Roman"/>
          <w:sz w:val="20"/>
        </w:rPr>
        <w:t xml:space="preserve"> closing market price of IZEA's common stock on July 26, 2018. IZEA has agreed to pay TapInfluence stockholders an additional </w:t>
      </w:r>
      <w:r>
        <w:rPr>
          <w:rFonts w:ascii="Times New Roman" w:hAnsi="Times New Roman" w:eastAsia="Times New Roman" w:cs="Times New Roman"/>
          <w:sz w:val="20"/>
        </w:rPr>
        <w:t xml:space="preserve">$4,500,000</w:t>
      </w:r>
      <w:r>
        <w:rPr>
          <w:rFonts w:ascii="Times New Roman" w:hAnsi="Times New Roman" w:eastAsia="Times New Roman" w:cs="Times New Roman"/>
          <w:sz w:val="20"/>
        </w:rPr>
        <w:t xml:space="preserve"> in the form of cash, common stock or a combination thereof, at IZEA’s option, in </w:t>
      </w:r>
      <w:r>
        <w:rPr>
          <w:rFonts w:ascii="Times New Roman" w:hAnsi="Times New Roman" w:eastAsia="Times New Roman" w:cs="Times New Roman"/>
          <w:sz w:val="20"/>
        </w:rPr>
        <w:t xml:space="preserve">two</w:t>
      </w:r>
      <w:r>
        <w:rPr>
          <w:rFonts w:ascii="Times New Roman" w:hAnsi="Times New Roman" w:eastAsia="Times New Roman" w:cs="Times New Roman"/>
          <w:sz w:val="20"/>
        </w:rPr>
        <w:t xml:space="preserve"> installments - </w:t>
      </w:r>
      <w:r>
        <w:rPr>
          <w:rFonts w:ascii="Times New Roman" w:hAnsi="Times New Roman" w:eastAsia="Times New Roman" w:cs="Times New Roman"/>
          <w:sz w:val="20"/>
        </w:rPr>
        <w:t xml:space="preserve">$1,000,000</w:t>
      </w:r>
      <w:r>
        <w:rPr>
          <w:rFonts w:ascii="Times New Roman" w:hAnsi="Times New Roman" w:eastAsia="Times New Roman" w:cs="Times New Roman"/>
          <w:sz w:val="20"/>
        </w:rPr>
        <w:t xml:space="preserve"> six months after the closing date of the merger and </w:t>
      </w:r>
      <w:r>
        <w:rPr>
          <w:rFonts w:ascii="Times New Roman" w:hAnsi="Times New Roman" w:eastAsia="Times New Roman" w:cs="Times New Roman"/>
          <w:sz w:val="20"/>
        </w:rPr>
        <w:t xml:space="preserve">$3,500,000</w:t>
      </w:r>
      <w:r>
        <w:rPr>
          <w:rFonts w:ascii="Times New Roman" w:hAnsi="Times New Roman" w:eastAsia="Times New Roman" w:cs="Times New Roman"/>
          <w:sz w:val="20"/>
        </w:rPr>
        <w:t xml:space="preserve"> twelve months after the closing date of the merger. Stock issuances, if any, will be determined based on the 30 trading day volume-weighted average price per share of IZEA's common stock prior to the payment date. </w:t>
      </w:r>
      <w:r>
        <w:rPr>
          <w:rFonts w:ascii="Times New Roman" w:hAnsi="Times New Roman" w:eastAsia="Times New Roman" w:cs="Times New Roman"/>
          <w:sz w:val="20"/>
        </w:rPr>
        <w:t xml:space="preserve">Future cash payments and stock issuances may be withheld from the six month or twelve month payment for post-closing working capital adjustments and to satisfy indemnifiable claims made by IZEA with respect to any misrepresentations or breaches of warranty under the Merger Agreement by TapInfluence or the stockholders of TapInfluence within 12 months after the closing date of the merger.</w:t>
      </w:r>
      <w:r>
        <w:rPr>
          <w:rFonts w:ascii="Times New Roman" w:hAnsi="Times New Roman" w:eastAsia="Times New Roman" w:cs="Times New Roman"/>
          <w:sz w:val="20"/>
        </w:rPr>
        <w:t xml:space="preserve"> Following the closing of the merger, IZEA calculated the final working capital as of the closing date to be </w:t>
      </w:r>
      <w:r>
        <w:rPr>
          <w:rFonts w:ascii="Times New Roman" w:hAnsi="Times New Roman" w:eastAsia="Times New Roman" w:cs="Times New Roman"/>
          <w:sz w:val="20"/>
        </w:rPr>
        <w:t xml:space="preserve">$297,049</w:t>
      </w:r>
      <w:r>
        <w:rPr>
          <w:rFonts w:ascii="Times New Roman" w:hAnsi="Times New Roman" w:eastAsia="Times New Roman" w:cs="Times New Roman"/>
          <w:sz w:val="20"/>
        </w:rPr>
        <w:t xml:space="preserve">.  Therefore, the purchase price was reduced by an additional </w:t>
      </w:r>
      <w:r>
        <w:rPr>
          <w:rFonts w:ascii="Times New Roman" w:hAnsi="Times New Roman" w:eastAsia="Times New Roman" w:cs="Times New Roman"/>
          <w:sz w:val="20"/>
        </w:rPr>
        <w:t xml:space="preserve">$115,416</w:t>
      </w:r>
      <w:r>
        <w:rPr>
          <w:rFonts w:ascii="Times New Roman" w:hAnsi="Times New Roman" w:eastAsia="Times New Roman" w:cs="Times New Roman"/>
          <w:sz w:val="20"/>
        </w:rPr>
        <w:t xml:space="preserve"> that will be deducted from the six-month installment payment.</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after="26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Purchase Price and Acquisition Costs Payable</w:t>
      </w:r>
    </w:p>
    <w:tbl>
      <w:tblPr>
        <w:tblW w:type="dxa" w:w="10220"/>
        <w:tblLayout w:type="fixed"/>
        <w:jc w:val="center"/>
      </w:tblPr>
      <w:tblGrid>
        <w:gridCol w:w="6600"/>
        <w:gridCol w:w="110"/>
        <w:gridCol w:w="1113"/>
        <w:gridCol w:w="77"/>
        <w:gridCol w:w="110"/>
        <w:gridCol w:w="973"/>
        <w:gridCol w:w="77"/>
        <w:gridCol w:w="110"/>
        <w:gridCol w:w="973"/>
        <w:gridCol w:w="77"/>
      </w:tblGrid>
      <w:tr>
        <w:trPr>
          <w:trHeight w:hRule="exact" w:val="900"/>
        </w:trPr>
        <w:tc>
          <w:tcPr>
            <w:tcW w:type="dxa" w:w="660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Estimated Gross Purchase Consideration</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Estimated Gross Purchase Consideration</w:t>
            </w:r>
          </w:p>
        </w:tc>
        <w:tc>
          <w:tcPr>
            <w:tcMar>
              <w:left w:type="dxa" w:w="0"/>
              <w:right w:type="dxa" w:w="60"/>
            </w:tcMar>
            <w:tcBorders/>
            <w:hMerge w:val="continue"/>
          </w:tcP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Estimated Initial Present and Fair Value</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Estimated Initial Present and Fair Value</w:t>
            </w:r>
          </w:p>
        </w:tc>
        <w:tc>
          <w:tcPr>
            <w:tcMar>
              <w:left w:type="dxa" w:w="0"/>
              <w:right w:type="dxa" w:w="60"/>
            </w:tcMar>
            <w:tcBorders/>
            <w:hMerge w:val="continue"/>
          </w:tcP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Estimated Remaining Present and Fair Value</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Estimated Remaining Present and Fair Value</w:t>
            </w:r>
          </w:p>
        </w:tc>
        <w:tc>
          <w:tcPr>
            <w:tcMar>
              <w:left w:type="dxa" w:w="0"/>
              <w:right w:type="dxa" w:w="60"/>
            </w:tcMar>
            <w:tcBorders/>
            <w:hMerge w:val="continue"/>
          </w:tcPr>
          <w:p/>
        </w:tc>
      </w:tr>
      <w:tr>
        <w:trPr>
          <w:trHeight w:hRule="exact" w:val="300"/>
        </w:trPr>
        <w:tc>
          <w:tcPr>
            <w:tcW w:type="dxa" w:w="6600"/>
            <w:tcMar>
              <w:left w:type="dxa" w:w="60"/>
              <w:right w:type="dxa" w:w="6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7/26/2018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7/26/2018</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7/26/2018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7/26/2018</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9/30/2018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9/30/2018</w:t>
            </w:r>
          </w:p>
        </w:tc>
        <w:tc>
          <w:tcPr>
            <w:tcMar>
              <w:left w:type="dxa" w:w="0"/>
              <w:right w:type="dxa" w:w="60"/>
            </w:tcMar>
            <w:tcBorders>
              <w:bottom w:val="single" w:sz="8"/>
            </w:tcBorders>
            <w:hMerge w:val="continue"/>
          </w:tcPr>
          <w:p/>
        </w:tc>
      </w:tr>
      <w:tr>
        <w:trPr>
          <w:trHeight w:hRule="exact" w:val="320"/>
        </w:trPr>
        <w:tc>
          <w:tcPr>
            <w:tcW w:type="dxa" w:w="66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Cash paid at closing (a)</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1,500,000</w:t>
            </w:r>
          </w:p>
        </w:tc>
        <w:tc>
          <w:tcPr>
            <w:tcW w:type="dxa" w:w="77"/>
            <w:tcMar>
              <w:left w:type="dxa" w:w="0"/>
              <w:right w:type="dxa" w:w="0"/>
            </w:tcMar>
            <w:tcBorders>
              <w:top w:val="single" w:sz="8" w:space="0"/>
            </w:tcBorders>
          </w:tcP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1,500,000</w:t>
            </w:r>
          </w:p>
        </w:tc>
        <w:tc>
          <w:tcPr>
            <w:tcW w:type="dxa" w:w="77"/>
            <w:tcMar>
              <w:left w:type="dxa" w:w="0"/>
              <w:right w:type="dxa" w:w="0"/>
            </w:tcMar>
            <w:tcBorders>
              <w:top w:val="single" w:sz="8" w:space="0"/>
            </w:tcBorders>
          </w:tcP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op w:val="single" w:sz="8" w:space="0"/>
            </w:tcBorders>
          </w:tcPr>
          <w:p/>
        </w:tc>
      </w:tr>
      <w:tr>
        <w:trPr>
          <w:trHeight w:hRule="exact" w:val="320"/>
        </w:trPr>
        <w:tc>
          <w:tcPr>
            <w:tcW w:type="dxa" w:w="66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Stock paid at closing (a)</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1,759,500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1,759,500</w:t>
            </w:r>
          </w:p>
        </w:tc>
        <w:tc>
          <w:tcPr>
            <w:tcW w:type="dxa" w:w="77"/>
            <w:tcMar>
              <w:left w:type="dxa" w:w="0"/>
              <w:right w:type="dxa" w:w="0"/>
            </w:tcMar>
            <w:tcBorders/>
          </w:tcP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1,759,500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1,759,500</w:t>
            </w:r>
          </w:p>
        </w:tc>
        <w:tc>
          <w:tcPr>
            <w:tcW w:type="dxa" w:w="77"/>
            <w:tcMar>
              <w:left w:type="dxa" w:w="0"/>
              <w:right w:type="dxa" w:w="0"/>
            </w:tcMar>
            <w:tcBorders/>
          </w:tcP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320"/>
        </w:trPr>
        <w:tc>
          <w:tcPr>
            <w:tcW w:type="dxa" w:w="66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Purchase price adjustment (b)</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(439,610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(439,610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(555,026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(555,026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20"/>
        </w:trPr>
        <w:tc>
          <w:tcPr>
            <w:tcW w:type="dxa" w:w="66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First deferred purchase price installment (c)</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1,000,000</w:t>
            </w:r>
          </w:p>
        </w:tc>
        <w:tc>
          <w:tcPr>
            <w:tcW w:type="dxa" w:w="77"/>
            <w:tcMar>
              <w:left w:type="dxa" w:w="0"/>
              <w:right w:type="dxa" w:w="0"/>
            </w:tcMar>
            <w:tcBorders/>
          </w:tcP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970,576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970,576</w:t>
            </w:r>
          </w:p>
        </w:tc>
        <w:tc>
          <w:tcPr>
            <w:tcW w:type="dxa" w:w="77"/>
            <w:tcMar>
              <w:left w:type="dxa" w:w="0"/>
              <w:right w:type="dxa" w:w="0"/>
            </w:tcMar>
            <w:tcBorders/>
          </w:tcP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980,384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980,384</w:t>
            </w:r>
          </w:p>
        </w:tc>
        <w:tc>
          <w:tcPr>
            <w:tcW w:type="dxa" w:w="77"/>
            <w:tcMar>
              <w:left w:type="dxa" w:w="0"/>
              <w:right w:type="dxa" w:w="0"/>
            </w:tcMar>
            <w:tcBorders/>
          </w:tcPr>
          <w:p/>
        </w:tc>
      </w:tr>
      <w:tr>
        <w:trPr>
          <w:trHeight w:hRule="exact" w:val="280"/>
        </w:trPr>
        <w:tc>
          <w:tcPr>
            <w:tcW w:type="dxa" w:w="66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Second deferred purchase price installment (c)</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3,500,000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3,500,000</w:t>
            </w:r>
          </w:p>
        </w:tc>
        <w:tc>
          <w:tcPr>
            <w:tcW w:type="dxa" w:w="77"/>
            <w:tcMar>
              <w:left w:type="dxa" w:w="0"/>
              <w:right w:type="dxa" w:w="0"/>
            </w:tcMar>
            <w:tcBorders>
              <w:bottom w:val="single" w:sz="8"/>
            </w:tcBorders>
          </w:tcPr>
          <w:p/>
        </w:tc>
        <w:tc>
          <w:tcPr>
            <w:tcW w:type="dxa" w:w="10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3,271,028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3,271,028</w:t>
            </w:r>
          </w:p>
        </w:tc>
        <w:tc>
          <w:tcPr>
            <w:tcW w:type="dxa" w:w="77"/>
            <w:tcMar>
              <w:left w:type="dxa" w:w="0"/>
              <w:right w:type="dxa" w:w="0"/>
            </w:tcMar>
            <w:tcBorders>
              <w:bottom w:val="single" w:sz="8"/>
            </w:tcBorders>
          </w:tcPr>
          <w:p/>
        </w:tc>
        <w:tc>
          <w:tcPr>
            <w:tcW w:type="dxa" w:w="10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3,309,190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3,309,190</w:t>
            </w:r>
          </w:p>
        </w:tc>
        <w:tc>
          <w:tcPr>
            <w:tcW w:type="dxa" w:w="77"/>
            <w:tcMar>
              <w:left w:type="dxa" w:w="0"/>
              <w:right w:type="dxa" w:w="0"/>
            </w:tcMar>
            <w:tcBorders>
              <w:bottom w:val="single" w:sz="8"/>
            </w:tcBorders>
          </w:tcPr>
          <w:p/>
        </w:tc>
      </w:tr>
      <w:tr>
        <w:trPr>
          <w:trHeight w:hRule="exact" w:val="280"/>
        </w:trPr>
        <w:tc>
          <w:tcPr>
            <w:tcW w:type="dxa" w:w="6600"/>
            <w:tcMar>
              <w:left w:type="dxa" w:w="300"/>
              <w:right w:type="dxa" w:w="4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estimated consideration</w:t>
            </w: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7,319,890</w:t>
            </w:r>
          </w:p>
        </w:tc>
        <w:tc>
          <w:tcPr>
            <w:tcW w:type="dxa" w:w="77"/>
            <w:tcMar>
              <w:left w:type="dxa" w:w="0"/>
              <w:right w:type="dxa" w:w="0"/>
            </w:tcMar>
            <w:tcBorders>
              <w:top w:val="single" w:sz="8" w:space="0"/>
              <w:bottom w:val="double" w:sz="4"/>
            </w:tcBorders>
          </w:tcP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6,946,078</w:t>
            </w:r>
          </w:p>
        </w:tc>
        <w:tc>
          <w:tcPr>
            <w:tcW w:type="dxa" w:w="77"/>
            <w:tcMar>
              <w:left w:type="dxa" w:w="0"/>
              <w:right w:type="dxa" w:w="0"/>
            </w:tcMar>
            <w:tcBorders>
              <w:top w:val="single" w:sz="8" w:space="0"/>
              <w:bottom w:val="double" w:sz="4"/>
            </w:tcBorders>
          </w:tcP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4,289,574</w:t>
            </w:r>
          </w:p>
        </w:tc>
        <w:tc>
          <w:tcPr>
            <w:tcW w:type="dxa" w:w="77"/>
            <w:tcMar>
              <w:left w:type="dxa" w:w="0"/>
              <w:right w:type="dxa" w:w="0"/>
            </w:tcMar>
            <w:tcBorders>
              <w:top w:val="single" w:sz="8" w:space="0"/>
              <w:bottom w:val="double" w:sz="4"/>
            </w:tcBorders>
          </w:tcPr>
          <w:p/>
        </w:tc>
      </w:tr>
      <w:tr>
        <w:trPr>
          <w:trHeight w:hRule="exact" w:val="280"/>
        </w:trPr>
        <w:tc>
          <w:tcPr>
            <w:tcW w:type="dxa" w:w="660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66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Current portion of acquisition costs payable</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4,174,158</w:t>
            </w:r>
          </w:p>
        </w:tc>
        <w:tc>
          <w:tcPr>
            <w:tcW w:type="dxa" w:w="77"/>
            <w:tcMar>
              <w:left w:type="dxa" w:w="0"/>
              <w:right w:type="dxa" w:w="0"/>
            </w:tcMar>
            <w:tcBorders/>
          </w:tcPr>
          <w:p/>
        </w:tc>
      </w:tr>
      <w:tr>
        <w:trPr>
          <w:trHeight w:hRule="exact" w:val="280"/>
        </w:trPr>
        <w:tc>
          <w:tcPr>
            <w:tcW w:type="dxa" w:w="66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Long-term portion of acquisition costs payable</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10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bottom w:val="single" w:sz="8"/>
            </w:tcBorders>
          </w:tcPr>
          <w:p/>
        </w:tc>
      </w:tr>
      <w:tr>
        <w:trPr>
          <w:trHeight w:hRule="exact" w:val="280"/>
        </w:trPr>
        <w:tc>
          <w:tcPr>
            <w:tcW w:type="dxa" w:w="6600"/>
            <w:tcMar>
              <w:left w:type="dxa" w:w="300"/>
              <w:right w:type="dxa" w:w="4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acquisition costs payable</w:t>
            </w:r>
          </w:p>
        </w:tc>
        <w:tc>
          <w:tcPr>
            <w:tcW w:type="dxa" w:w="0"/>
            <w:tcMar>
              <w:left w:type="dxa" w:w="0"/>
              <w:right w:type="dxa" w:w="60"/>
            </w:tcMar>
            <w:tcBorders>
              <w:top w:val="single" w:sz="8" w:space="0"/>
              <w:bottom w:val="double" w:sz="4"/>
            </w:tcBorders>
            <w:vAlign w:val="bottom"/>
            <w:hMerge w:val="restart"/>
          </w:tcPr>
          <w:p>
            <w:pPr>
              <w:jc w:val="left"/>
              <w:keepLines/>
              <w:spacing w:before="40" w:after="40" w:line="240" w:lineRule="auto"/>
              <w:rPr/>
            </w:pPr>
            <w:r>
              <w:rPr/>
            </w:r>
          </w:p>
        </w:tc>
        <w:tc>
          <w:tcPr>
            <w:tcMar>
              <w:left w:type="dxa" w:w="0"/>
              <w:right w:type="dxa" w:w="60"/>
            </w:tcMar>
            <w:tcBorders>
              <w:top w:val="single" w:sz="8" w:space="0"/>
              <w:bottom w:val="double" w:sz="4"/>
            </w:tcBorders>
            <w:hMerge w:val="continue"/>
          </w:tcPr>
          <w:p>
            <w:pPr>
              <w:jc w:val="left"/>
              <w:keepLines/>
              <w:spacing w:before="40" w:after="40" w:line="240" w:lineRule="auto"/>
              <w:rPr/>
            </w:pPr>
            <w:r>
              <w:rPr/>
            </w:r>
          </w:p>
        </w:tc>
        <w:tc>
          <w:tcPr>
            <w:tcMar>
              <w:left w:type="dxa" w:w="0"/>
              <w:right w:type="dxa" w:w="60"/>
            </w:tcMar>
            <w:tcBorders>
              <w:top w:val="single" w:sz="8" w:space="0"/>
              <w:bottom w:val="double" w:sz="4"/>
            </w:tcBorders>
            <w:hMerge w:val="continue"/>
          </w:tcPr>
          <w:p/>
        </w:tc>
        <w:tc>
          <w:tcPr>
            <w:tcW w:type="dxa" w:w="0"/>
            <w:tcMar>
              <w:left w:type="dxa" w:w="60"/>
              <w:right w:type="dxa" w:w="0"/>
            </w:tcMar>
            <w:tcBorders>
              <w:top w:val="single" w:sz="8" w:space="0"/>
              <w:bottom w:val="double" w:sz="4"/>
            </w:tcBorders>
            <w:vAlign w:val="bottom"/>
            <w:hMerge w:val="restart"/>
          </w:tcPr>
          <w:p>
            <w:pPr>
              <w:jc w:val="left"/>
              <w:keepLines/>
              <w:spacing w:before="40" w:after="40" w:line="240" w:lineRule="auto"/>
              <w:rPr/>
            </w:pPr>
            <w:r>
              <w:rPr/>
            </w:r>
          </w:p>
        </w:tc>
        <w:tc>
          <w:tcPr>
            <w:tcMar>
              <w:left w:type="dxa" w:w="60"/>
              <w:right w:type="dxa" w:w="0"/>
            </w:tcMar>
            <w:tcBorders>
              <w:top w:val="single" w:sz="8" w:space="0"/>
              <w:bottom w:val="double" w:sz="4"/>
            </w:tcBorders>
            <w:hMerge w:val="continue"/>
          </w:tcPr>
          <w:p>
            <w:pPr>
              <w:jc w:val="left"/>
              <w:keepLines/>
              <w:spacing w:before="40" w:after="40" w:line="240" w:lineRule="auto"/>
              <w:rPr/>
            </w:pPr>
            <w:r>
              <w:rPr/>
            </w:r>
          </w:p>
        </w:tc>
        <w:tc>
          <w:tcPr>
            <w:tcMar>
              <w:left w:type="dxa" w:w="0"/>
              <w:right w:type="dxa" w:w="0"/>
            </w:tcMar>
            <w:tcBorders>
              <w:top w:val="single" w:sz="8" w:space="0"/>
              <w:bottom w:val="double" w:sz="4"/>
            </w:tcBorders>
            <w:hMerge w:val="continue"/>
          </w:tcP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4,174,158</w:t>
            </w:r>
          </w:p>
        </w:tc>
        <w:tc>
          <w:tcPr>
            <w:tcW w:type="dxa" w:w="77"/>
            <w:tcMar>
              <w:left w:type="dxa" w:w="0"/>
              <w:right w:type="dxa" w:w="0"/>
            </w:tcMar>
            <w:tcBorders>
              <w:top w:val="single" w:sz="8" w:space="0"/>
              <w:bottom w:val="double" w:sz="4"/>
            </w:tcBorders>
          </w:tcPr>
          <w:p/>
        </w:tc>
      </w:tr>
    </w:tbl>
    <w:p>
      <w:pPr>
        <w:ind w:left="1080" w:firstLine="-360"/>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1080" w:firstLine="-36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 	The aggregate consideration paid at closing for the acquisition of TapInfluence consisted of a cash payment of $</w:t>
      </w:r>
      <w:r>
        <w:rPr>
          <w:rFonts w:ascii="Times New Roman" w:hAnsi="Times New Roman" w:eastAsia="Times New Roman" w:cs="Times New Roman"/>
          <w:sz w:val="20"/>
        </w:rPr>
        <w:t xml:space="preserve">1,500,000</w:t>
      </w:r>
      <w:r>
        <w:rPr>
          <w:rFonts w:ascii="Times New Roman" w:hAnsi="Times New Roman" w:eastAsia="Times New Roman" w:cs="Times New Roman"/>
          <w:sz w:val="20"/>
        </w:rPr>
        <w:t xml:space="preserve"> and the issuance of </w:t>
      </w:r>
      <w:r>
        <w:rPr>
          <w:rFonts w:ascii="Times New Roman" w:hAnsi="Times New Roman" w:eastAsia="Times New Roman" w:cs="Times New Roman"/>
          <w:sz w:val="20"/>
        </w:rPr>
        <w:t xml:space="preserve">1,150,000</w:t>
      </w:r>
      <w:r>
        <w:rPr>
          <w:rFonts w:ascii="Times New Roman" w:hAnsi="Times New Roman" w:eastAsia="Times New Roman" w:cs="Times New Roman"/>
          <w:sz w:val="20"/>
        </w:rPr>
        <w:t xml:space="preserve"> shares of IZEA common stock valued at $</w:t>
      </w:r>
      <w:r>
        <w:rPr>
          <w:rFonts w:ascii="Times New Roman" w:hAnsi="Times New Roman" w:eastAsia="Times New Roman" w:cs="Times New Roman"/>
          <w:sz w:val="20"/>
        </w:rPr>
        <w:t xml:space="preserve">1,759,500</w:t>
      </w:r>
      <w:r>
        <w:rPr>
          <w:rFonts w:ascii="Times New Roman" w:hAnsi="Times New Roman" w:eastAsia="Times New Roman" w:cs="Times New Roman"/>
          <w:sz w:val="20"/>
        </w:rPr>
        <w:t xml:space="preserve">, or </w:t>
      </w:r>
      <w:r>
        <w:rPr>
          <w:rFonts w:ascii="Times New Roman" w:hAnsi="Times New Roman" w:eastAsia="Times New Roman" w:cs="Times New Roman"/>
          <w:sz w:val="20"/>
        </w:rPr>
        <w:t xml:space="preserve">$1.53</w:t>
      </w:r>
      <w:r>
        <w:rPr>
          <w:rFonts w:ascii="Times New Roman" w:hAnsi="Times New Roman" w:eastAsia="Times New Roman" w:cs="Times New Roman"/>
          <w:sz w:val="20"/>
        </w:rPr>
        <w:t xml:space="preserve"> per share.</w:t>
      </w:r>
    </w:p>
    <w:p>
      <w:pPr>
        <w:ind w:left="1080" w:firstLine="-36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1080" w:firstLine="-360"/>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(b) 	Per the terms of the Merger Agreement, the initial cash payment due at closing of </w:t>
      </w:r>
      <w:r>
        <w:rPr>
          <w:rFonts w:ascii="Times New Roman" w:hAnsi="Times New Roman" w:eastAsia="Times New Roman" w:cs="Times New Roman"/>
          <w:sz w:val="20"/>
        </w:rPr>
        <w:t xml:space="preserve">$1,500,000</w:t>
      </w:r>
      <w:r>
        <w:rPr>
          <w:rFonts w:ascii="Times New Roman" w:hAnsi="Times New Roman" w:eastAsia="Times New Roman" w:cs="Times New Roman"/>
          <w:sz w:val="20"/>
        </w:rPr>
        <w:t xml:space="preserve"> was to be adjusted as follows: reduced for seller transaction expenses and closing date indebtedness, increased by closing date cash and cash equivalents of TapInfluence, and reduced or increased by an estimated working capital amount. These adjustments resulted in a net reduction in the purchase price of $</w:t>
      </w:r>
      <w:r>
        <w:rPr>
          <w:rFonts w:ascii="Times New Roman" w:hAnsi="Times New Roman" w:eastAsia="Times New Roman" w:cs="Times New Roman"/>
          <w:sz w:val="20"/>
        </w:rPr>
        <w:t xml:space="preserve">439,610</w:t>
      </w:r>
      <w:r>
        <w:rPr>
          <w:rFonts w:ascii="Times New Roman" w:hAnsi="Times New Roman" w:eastAsia="Times New Roman" w:cs="Times New Roman"/>
          <w:sz w:val="20"/>
        </w:rPr>
        <w:t xml:space="preserve">, which included a negative estimated working capital adjustment of </w:t>
      </w:r>
      <w:r>
        <w:rPr>
          <w:rFonts w:ascii="Times New Roman" w:hAnsi="Times New Roman" w:eastAsia="Times New Roman" w:cs="Times New Roman"/>
          <w:sz w:val="20"/>
        </w:rPr>
        <w:t xml:space="preserve">$181,633</w:t>
      </w:r>
      <w:r>
        <w:rPr>
          <w:rFonts w:ascii="Times New Roman" w:hAnsi="Times New Roman" w:eastAsia="Times New Roman" w:cs="Times New Roman"/>
          <w:sz w:val="20"/>
        </w:rPr>
        <w:t xml:space="preserve">.</w:t>
      </w:r>
    </w:p>
    <w:p>
      <w:pPr>
        <w:ind w:left="1080" w:firstLine="-360"/>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1080" w:firstLine="-360"/>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(c) 	Aggregate future consideration consists of additional payments totaling </w:t>
      </w:r>
      <w:r>
        <w:rPr>
          <w:rFonts w:ascii="Times New Roman" w:hAnsi="Times New Roman" w:eastAsia="Times New Roman" w:cs="Times New Roman"/>
          <w:sz w:val="20"/>
        </w:rPr>
        <w:t xml:space="preserve">$4,500,000</w:t>
      </w:r>
      <w:r>
        <w:rPr>
          <w:rFonts w:ascii="Times New Roman" w:hAnsi="Times New Roman" w:eastAsia="Times New Roman" w:cs="Times New Roman"/>
          <w:sz w:val="20"/>
        </w:rPr>
        <w:t xml:space="preserve">, less any remaining adjustment related to the final working capital adjustment calculation. The payments will be made in the form of cash, common stock or a combination thereof, at IZEA’s option, in two installments - </w:t>
      </w:r>
      <w:r>
        <w:rPr>
          <w:rFonts w:ascii="Times New Roman" w:hAnsi="Times New Roman" w:eastAsia="Times New Roman" w:cs="Times New Roman"/>
          <w:sz w:val="20"/>
        </w:rPr>
        <w:t xml:space="preserve">$1,000,000</w:t>
      </w:r>
      <w:r>
        <w:rPr>
          <w:rFonts w:ascii="Times New Roman" w:hAnsi="Times New Roman" w:eastAsia="Times New Roman" w:cs="Times New Roman"/>
          <w:sz w:val="20"/>
        </w:rPr>
        <w:t xml:space="preserve"> six months after the closing date of the merger and </w:t>
      </w:r>
      <w:r>
        <w:rPr>
          <w:rFonts w:ascii="Times New Roman" w:hAnsi="Times New Roman" w:eastAsia="Times New Roman" w:cs="Times New Roman"/>
          <w:sz w:val="20"/>
        </w:rPr>
        <w:t xml:space="preserve">$3,500,000</w:t>
      </w:r>
      <w:r>
        <w:rPr>
          <w:rFonts w:ascii="Times New Roman" w:hAnsi="Times New Roman" w:eastAsia="Times New Roman" w:cs="Times New Roman"/>
          <w:sz w:val="20"/>
        </w:rPr>
        <w:t xml:space="preserve"> twelve months after the closing date of the merger. Stock issuances, if any, will be determined based on the 30 trading day volume-weighted average price per share of IZEA's common stock prior to the payment date. Future cash payments and stock issuances may be withheld from the six month or twelve month payment for post closing working capital adjustments and to satisfy indemnifiable claims made by IZEA with respect to any misrepresentations or breaches of warranty under the Merger Agreement by TapInfluence or the stockholders of TapInfluence within 12 months after the closing date of the merger. Post closing, IZEA calculated the final working capital as of the closing date as a negative </w:t>
      </w:r>
      <w:r>
        <w:rPr>
          <w:rFonts w:ascii="Times New Roman" w:hAnsi="Times New Roman" w:eastAsia="Times New Roman" w:cs="Times New Roman"/>
          <w:sz w:val="20"/>
        </w:rPr>
        <w:t xml:space="preserve">$297,049</w:t>
      </w:r>
      <w:r>
        <w:rPr>
          <w:rFonts w:ascii="Times New Roman" w:hAnsi="Times New Roman" w:eastAsia="Times New Roman" w:cs="Times New Roman"/>
          <w:sz w:val="20"/>
        </w:rPr>
        <w:t xml:space="preserve">, which was </w:t>
      </w:r>
      <w:r>
        <w:rPr>
          <w:rFonts w:ascii="Times New Roman" w:hAnsi="Times New Roman" w:eastAsia="Times New Roman" w:cs="Times New Roman"/>
          <w:sz w:val="20"/>
        </w:rPr>
        <w:t xml:space="preserve">$115,416</w:t>
      </w:r>
      <w:r>
        <w:rPr>
          <w:rFonts w:ascii="Times New Roman" w:hAnsi="Times New Roman" w:eastAsia="Times New Roman" w:cs="Times New Roman"/>
          <w:sz w:val="20"/>
        </w:rPr>
        <w:t xml:space="preserve"> lower than the original estimate of negative </w:t>
      </w:r>
      <w:r>
        <w:rPr>
          <w:rFonts w:ascii="Times New Roman" w:hAnsi="Times New Roman" w:eastAsia="Times New Roman" w:cs="Times New Roman"/>
          <w:sz w:val="20"/>
        </w:rPr>
        <w:t xml:space="preserve">$181,633</w:t>
      </w:r>
      <w:r>
        <w:rPr>
          <w:rFonts w:ascii="Times New Roman" w:hAnsi="Times New Roman" w:eastAsia="Times New Roman" w:cs="Times New Roman"/>
          <w:sz w:val="20"/>
        </w:rPr>
        <w:t xml:space="preserve">.  Therefore, the purchase price was reduced by an additional </w:t>
      </w:r>
      <w:r>
        <w:rPr>
          <w:rFonts w:ascii="Times New Roman" w:hAnsi="Times New Roman" w:eastAsia="Times New Roman" w:cs="Times New Roman"/>
          <w:sz w:val="20"/>
        </w:rPr>
        <w:t xml:space="preserve">$115,416</w:t>
      </w:r>
      <w:r>
        <w:rPr>
          <w:rFonts w:ascii="Times New Roman" w:hAnsi="Times New Roman" w:eastAsia="Times New Roman" w:cs="Times New Roman"/>
          <w:sz w:val="20"/>
        </w:rPr>
        <w:t xml:space="preserve"> that will be deducted from the six-month installment payment.</w:t>
      </w:r>
    </w:p>
    <w:p>
      <w:pPr>
        <w:jc w:val="both"/>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before="120" w:after="26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table summarizes the preliminary amounts of net assets acquired at the merger date:</w:t>
      </w:r>
    </w:p>
    <w:tbl>
      <w:tblPr>
        <w:tblW w:type="dxa" w:w="10240"/>
        <w:tblLayout w:type="fixed"/>
        <w:jc w:val="center"/>
      </w:tblPr>
      <w:tblGrid>
        <w:gridCol w:w="8240"/>
        <w:gridCol w:w="110"/>
        <w:gridCol w:w="1813"/>
        <w:gridCol w:w="77"/>
      </w:tblGrid>
      <w:tr>
        <w:trPr>
          <w:trHeight w:hRule="exact" w:val="700"/>
        </w:trPr>
        <w:tc>
          <w:tcPr>
            <w:tcW w:type="dxa" w:w="824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Estimated Approximate Fair Value</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Estimated Approximate Fair Value</w:t>
            </w:r>
          </w:p>
        </w:tc>
        <w:tc>
          <w:tcPr>
            <w:tcMar>
              <w:left w:type="dxa" w:w="0"/>
              <w:right w:type="dxa" w:w="60"/>
            </w:tcMar>
            <w:tcBorders/>
            <w:hMerge w:val="continue"/>
          </w:tcPr>
          <w:p/>
        </w:tc>
      </w:tr>
      <w:tr>
        <w:trPr>
          <w:trHeight w:hRule="exact" w:val="300"/>
        </w:trPr>
        <w:tc>
          <w:tcPr>
            <w:tcW w:type="dxa" w:w="8240"/>
            <w:tcMar>
              <w:left w:type="dxa" w:w="60"/>
              <w:right w:type="dxa" w:w="6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7/26/2018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7/26/2018</w:t>
            </w:r>
          </w:p>
        </w:tc>
        <w:tc>
          <w:tcPr>
            <w:tcMar>
              <w:left w:type="dxa" w:w="0"/>
              <w:right w:type="dxa" w:w="60"/>
            </w:tcMar>
            <w:tcBorders>
              <w:bottom w:val="single" w:sz="8"/>
            </w:tcBorders>
            <w:hMerge w:val="continue"/>
          </w:tcPr>
          <w:p/>
        </w:tc>
      </w:tr>
      <w:tr>
        <w:trPr>
          <w:trHeight w:hRule="exact" w:val="300"/>
        </w:trPr>
        <w:tc>
          <w:tcPr>
            <w:tcW w:type="dxa" w:w="8240"/>
            <w:tcMar>
              <w:left w:type="dxa" w:w="60"/>
              <w:right w:type="dxa" w:w="4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Current assets</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8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4,337,334</w:t>
            </w:r>
          </w:p>
        </w:tc>
        <w:tc>
          <w:tcPr>
            <w:tcW w:type="dxa" w:w="77"/>
            <w:tcMar>
              <w:left w:type="dxa" w:w="0"/>
              <w:right w:type="dxa" w:w="0"/>
            </w:tcMar>
            <w:tcBorders>
              <w:top w:val="single" w:sz="8" w:space="0"/>
            </w:tcBorders>
          </w:tcPr>
          <w:p/>
        </w:tc>
      </w:tr>
      <w:tr>
        <w:trPr>
          <w:trHeight w:hRule="exact" w:val="300"/>
        </w:trPr>
        <w:tc>
          <w:tcPr>
            <w:tcW w:type="dxa" w:w="8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Property and equipment</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39,089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39,089</w:t>
            </w:r>
          </w:p>
        </w:tc>
        <w:tc>
          <w:tcPr>
            <w:tcW w:type="dxa" w:w="77"/>
            <w:tcMar>
              <w:left w:type="dxa" w:w="0"/>
              <w:right w:type="dxa" w:w="0"/>
            </w:tcMar>
            <w:tcBorders/>
          </w:tcPr>
          <w:p/>
        </w:tc>
      </w:tr>
      <w:tr>
        <w:trPr>
          <w:trHeight w:hRule="exact" w:val="300"/>
        </w:trPr>
        <w:tc>
          <w:tcPr>
            <w:tcW w:type="dxa" w:w="8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Identifiable intangible assets</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3,263,000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3,263,000</w:t>
            </w:r>
          </w:p>
        </w:tc>
        <w:tc>
          <w:tcPr>
            <w:tcW w:type="dxa" w:w="77"/>
            <w:tcMar>
              <w:left w:type="dxa" w:w="0"/>
              <w:right w:type="dxa" w:w="0"/>
            </w:tcMar>
            <w:tcBorders/>
          </w:tcPr>
          <w:p/>
        </w:tc>
      </w:tr>
      <w:tr>
        <w:trPr>
          <w:trHeight w:hRule="exact" w:val="300"/>
        </w:trPr>
        <w:tc>
          <w:tcPr>
            <w:tcW w:type="dxa" w:w="8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Goodwill</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4,711,999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4,711,999</w:t>
            </w:r>
          </w:p>
        </w:tc>
        <w:tc>
          <w:tcPr>
            <w:tcW w:type="dxa" w:w="77"/>
            <w:tcMar>
              <w:left w:type="dxa" w:w="0"/>
              <w:right w:type="dxa" w:w="0"/>
            </w:tcMar>
            <w:tcBorders/>
          </w:tcPr>
          <w:p/>
        </w:tc>
      </w:tr>
      <w:tr>
        <w:trPr>
          <w:trHeight w:hRule="exact" w:val="300"/>
        </w:trPr>
        <w:tc>
          <w:tcPr>
            <w:tcW w:type="dxa" w:w="8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Current liabilities</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(4,071,727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(4,071,727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824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Long-term debt</w:t>
            </w:r>
          </w:p>
        </w:tc>
        <w:tc>
          <w:tcPr>
            <w:tcW w:type="dxa" w:w="19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(1,333,617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(1,333,617</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8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net assets acquired</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6,946,078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6,946,078</w:t>
            </w:r>
          </w:p>
        </w:tc>
        <w:tc>
          <w:tcPr>
            <w:tcW w:type="dxa" w:w="77"/>
            <w:tcMar>
              <w:left w:type="dxa" w:w="0"/>
              <w:right w:type="dxa" w:w="0"/>
            </w:tcMar>
            <w:tcBorders/>
          </w:tcPr>
          <w:p/>
        </w:tc>
      </w:tr>
      <w:tr>
        <w:trPr>
          <w:trHeight w:hRule="exact" w:val="300"/>
        </w:trPr>
        <w:tc>
          <w:tcPr>
            <w:tcW w:type="dxa" w:w="82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Less: cash acquired</w:t>
            </w:r>
          </w:p>
        </w:tc>
        <w:tc>
          <w:tcPr>
            <w:tcW w:type="dxa" w:w="19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(1,071,656</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(1,071,656</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8240"/>
            <w:tcMar>
              <w:left w:type="dxa" w:w="60"/>
              <w:right w:type="dxa" w:w="4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Net purchase consideration</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8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5,874,422</w:t>
            </w:r>
          </w:p>
        </w:tc>
        <w:tc>
          <w:tcPr>
            <w:tcW w:type="dxa" w:w="77"/>
            <w:tcMar>
              <w:left w:type="dxa" w:w="0"/>
              <w:right w:type="dxa" w:w="0"/>
            </w:tcMar>
            <w:tcBorders>
              <w:top w:val="single" w:sz="8" w:space="0"/>
              <w:bottom w:val="double" w:sz="4"/>
            </w:tcBorders>
          </w:tcP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For the three and nine months ended September 30, 2018, $</w:t>
      </w:r>
      <w:r>
        <w:rPr>
          <w:rFonts w:ascii="Times New Roman" w:hAnsi="Times New Roman" w:eastAsia="Times New Roman" w:cs="Times New Roman"/>
          <w:sz w:val="20"/>
        </w:rPr>
        <w:t xml:space="preserve">797,244</w:t>
      </w:r>
      <w:r>
        <w:rPr>
          <w:rFonts w:ascii="Times New Roman" w:hAnsi="Times New Roman" w:eastAsia="Times New Roman" w:cs="Times New Roman"/>
          <w:sz w:val="20"/>
        </w:rPr>
        <w:t xml:space="preserve"> of the Company's consolidated revenue was associated with TapInfluence operations. The Company is unable to determine net loss specifically related to TapInfluence operations as the majority of operational resources were shared with IZEA.</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unaudited pro forma summary presents consolidated information of IZEA Worldwide, Inc. as if the business combination with TapInfluence, Inc. had occurred on January 1, 2017:</w:t>
      </w:r>
    </w:p>
    <w:tbl>
      <w:tblPr>
        <w:tblW w:type="dxa" w:w="10240"/>
        <w:tblLayout w:type="fixed"/>
        <w:jc w:val="center"/>
      </w:tblPr>
      <w:tblGrid>
        <w:gridCol w:w="6420"/>
        <w:gridCol w:w="240"/>
        <w:gridCol w:w="110"/>
        <w:gridCol w:w="1593"/>
        <w:gridCol w:w="77"/>
        <w:gridCol w:w="110"/>
        <w:gridCol w:w="1613"/>
        <w:gridCol w:w="77"/>
      </w:tblGrid>
      <w:tr>
        <w:trPr>
          <w:trHeight w:hRule="exact" w:val="600"/>
        </w:trPr>
        <w:tc>
          <w:tcPr>
            <w:tcW w:type="dxa" w:w="6420"/>
            <w:tcMar>
              <w:left w:type="dxa" w:w="60"/>
              <w:right w:type="dxa" w:w="60"/>
            </w:tcMar>
            <w:tcBorders/>
            <w:vAlign w:val="bottom"/>
          </w:tcPr>
          <w:p>
            <w:pPr>
              <w:jc w:val="left"/>
              <w:keepNext/>
              <w:keepLines/>
              <w:spacing w:before="40" w:after="40" w:line="240" w:lineRule="auto"/>
              <w:rPr/>
            </w:pPr>
            <w:r>
              <w:rPr/>
            </w:r>
          </w:p>
        </w:tc>
        <w:tc>
          <w:tcPr>
            <w:tcW w:type="dxa" w:w="24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Nine Months Ended</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Nine Months Ended</w:t>
            </w:r>
          </w:p>
        </w:tc>
        <w:tc>
          <w:tcPr>
            <w:tcMar>
              <w:left w:type="dxa" w:w="0"/>
              <w:right w:type="dxa" w:w="60"/>
            </w:tcMar>
            <w:tcBorders/>
            <w:hMerge w:val="continue"/>
          </w:tcP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Nine Months Ended</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Nine Months Ended</w:t>
            </w:r>
          </w:p>
        </w:tc>
        <w:tc>
          <w:tcPr>
            <w:tcMar>
              <w:left w:type="dxa" w:w="0"/>
              <w:right w:type="dxa" w:w="60"/>
            </w:tcMar>
            <w:tcBorders/>
            <w:hMerge w:val="continue"/>
          </w:tcPr>
          <w:p/>
        </w:tc>
      </w:tr>
      <w:tr>
        <w:trPr>
          <w:trHeight w:hRule="exact" w:val="300"/>
        </w:trPr>
        <w:tc>
          <w:tcPr>
            <w:tcW w:type="dxa" w:w="6420"/>
            <w:tcMar>
              <w:left w:type="dxa" w:w="60"/>
              <w:right w:type="dxa" w:w="60"/>
            </w:tcMar>
            <w:tcBorders>
              <w:bottom w:val="single" w:sz="8"/>
            </w:tcBorders>
            <w:vAlign w:val="bottom"/>
          </w:tcPr>
          <w:p>
            <w:pPr>
              <w:jc w:val="left"/>
              <w:keepNext/>
              <w:keepLines/>
              <w:spacing w:before="40" w:after="40" w:line="240" w:lineRule="auto"/>
              <w:rPr/>
            </w:pPr>
            <w:r>
              <w:rPr/>
            </w:r>
          </w:p>
        </w:tc>
        <w:tc>
          <w:tcPr>
            <w:tcW w:type="dxa" w:w="240"/>
            <w:tcMar>
              <w:left w:type="dxa" w:w="60"/>
              <w:right w:type="dxa" w:w="6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9/30/2018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9/30/2018</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9/30/2017</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9/30/2017</w:t>
            </w:r>
          </w:p>
        </w:tc>
        <w:tc>
          <w:tcPr>
            <w:tcMar>
              <w:left w:type="dxa" w:w="0"/>
              <w:right w:type="dxa" w:w="60"/>
            </w:tcMar>
            <w:tcBorders>
              <w:bottom w:val="single" w:sz="8"/>
            </w:tcBorders>
            <w:hMerge w:val="continue"/>
          </w:tcPr>
          <w:p/>
        </w:tc>
      </w:tr>
      <w:tr>
        <w:trPr>
          <w:trHeight w:hRule="exact" w:val="300"/>
        </w:trPr>
        <w:tc>
          <w:tcPr>
            <w:tcW w:type="dxa" w:w="6420"/>
            <w:tcMar>
              <w:left w:type="dxa" w:w="60"/>
              <w:right w:type="dxa" w:w="4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revenue</w:t>
            </w:r>
          </w:p>
        </w:tc>
        <w:tc>
          <w:tcPr>
            <w:tcW w:type="dxa" w:w="240"/>
            <w:tcMar>
              <w:left w:type="dxa" w:w="0"/>
              <w:right w:type="dxa" w:w="60"/>
            </w:tcMar>
            <w:tcBorders>
              <w:top w:val="single" w:sz="8" w:space="0"/>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59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16,344,003</w:t>
            </w:r>
          </w:p>
        </w:tc>
        <w:tc>
          <w:tcPr>
            <w:tcW w:type="dxa" w:w="77"/>
            <w:tcMar>
              <w:left w:type="dxa" w:w="0"/>
              <w:right w:type="dxa" w:w="0"/>
            </w:tcMar>
            <w:tcBorders>
              <w:top w:val="single" w:sz="8" w:space="0"/>
            </w:tcBorders>
          </w:tcP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6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21,960,003</w:t>
            </w:r>
          </w:p>
        </w:tc>
        <w:tc>
          <w:tcPr>
            <w:tcW w:type="dxa" w:w="77"/>
            <w:tcMar>
              <w:left w:type="dxa" w:w="0"/>
              <w:right w:type="dxa" w:w="0"/>
            </w:tcMar>
            <w:tcBorders>
              <w:top w:val="single" w:sz="8" w:space="0"/>
            </w:tcBorders>
          </w:tcPr>
          <w:p/>
        </w:tc>
      </w:tr>
      <w:tr>
        <w:trPr>
          <w:trHeight w:hRule="exact" w:val="300"/>
        </w:trPr>
        <w:tc>
          <w:tcPr>
            <w:tcW w:type="dxa" w:w="64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cost of revenue</w:t>
            </w:r>
          </w:p>
        </w:tc>
        <w:tc>
          <w:tcPr>
            <w:tcW w:type="dxa" w:w="24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59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6,867,048</w:t>
            </w:r>
          </w:p>
        </w:tc>
        <w:tc>
          <w:tcPr>
            <w:tcW w:type="dxa" w:w="77"/>
            <w:tcMar>
              <w:left w:type="dxa" w:w="0"/>
              <w:right w:type="dxa" w:w="0"/>
            </w:tcMar>
            <w:tcBorders/>
          </w:tcP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6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8,784,895</w:t>
            </w:r>
          </w:p>
        </w:tc>
        <w:tc>
          <w:tcPr>
            <w:tcW w:type="dxa" w:w="77"/>
            <w:tcMar>
              <w:left w:type="dxa" w:w="0"/>
              <w:right w:type="dxa" w:w="0"/>
            </w:tcMar>
            <w:tcBorders/>
          </w:tcPr>
          <w:p/>
        </w:tc>
      </w:tr>
      <w:tr>
        <w:trPr>
          <w:trHeight w:hRule="exact" w:val="300"/>
        </w:trPr>
        <w:tc>
          <w:tcPr>
            <w:tcW w:type="dxa" w:w="64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gross profit</w:t>
            </w:r>
          </w:p>
        </w:tc>
        <w:tc>
          <w:tcPr>
            <w:tcW w:type="dxa" w:w="24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59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9,476,955</w:t>
            </w:r>
          </w:p>
        </w:tc>
        <w:tc>
          <w:tcPr>
            <w:tcW w:type="dxa" w:w="77"/>
            <w:tcMar>
              <w:left w:type="dxa" w:w="0"/>
              <w:right w:type="dxa" w:w="0"/>
            </w:tcMar>
            <w:tcBorders/>
          </w:tcP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6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13,175,108</w:t>
            </w:r>
          </w:p>
        </w:tc>
        <w:tc>
          <w:tcPr>
            <w:tcW w:type="dxa" w:w="77"/>
            <w:tcMar>
              <w:left w:type="dxa" w:w="0"/>
              <w:right w:type="dxa" w:w="0"/>
            </w:tcMar>
            <w:tcBorders/>
          </w:tcPr>
          <w:p/>
        </w:tc>
      </w:tr>
      <w:tr>
        <w:trPr>
          <w:trHeight w:hRule="exact" w:val="200"/>
        </w:trPr>
        <w:tc>
          <w:tcPr>
            <w:tcW w:type="dxa" w:w="6420"/>
            <w:tcMar>
              <w:left w:type="dxa" w:w="60"/>
              <w:right w:type="dxa" w:w="0"/>
            </w:tcMar>
            <w:tcBorders/>
            <w:vAlign w:val="bottom"/>
          </w:tcPr>
          <w:p>
            <w:pPr>
              <w:jc w:val="left"/>
              <w:keepNext/>
              <w:keepLines/>
              <w:spacing w:before="40" w:after="40" w:line="240" w:lineRule="auto"/>
              <w:rPr/>
            </w:pPr>
            <w:r>
              <w:rPr/>
            </w:r>
          </w:p>
        </w:tc>
        <w:tc>
          <w:tcPr>
            <w:tcW w:type="dxa" w:w="24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64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net loss prior to adjustments</w:t>
            </w:r>
          </w:p>
        </w:tc>
        <w:tc>
          <w:tcPr>
            <w:tcW w:type="dxa" w:w="24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59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(6,377,521</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6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(7,418,941</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64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adjustment to net loss:</w:t>
            </w:r>
          </w:p>
        </w:tc>
        <w:tc>
          <w:tcPr>
            <w:tcW w:type="dxa" w:w="24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642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Amortization of acquired identifiable intangible assets</w:t>
            </w:r>
          </w:p>
        </w:tc>
        <w:tc>
          <w:tcPr>
            <w:tcW w:type="dxa" w:w="240"/>
            <w:tcMar>
              <w:left w:type="dxa" w:w="0"/>
              <w:right w:type="dxa" w:w="60"/>
            </w:tcMar>
            <w:tcBorders/>
            <w:vAlign w:val="bottom"/>
          </w:tcPr>
          <w:p>
            <w:pPr>
              <w:jc w:val="left"/>
              <w:keepNext/>
              <w:keepLines/>
              <w:spacing w:before="40" w:after="40" w:line="240" w:lineRule="auto"/>
              <w:rPr/>
            </w:pPr>
            <w:r>
              <w:rPr/>
            </w:r>
          </w:p>
        </w:tc>
        <w:tc>
          <w:tcPr>
            <w:tcW w:type="dxa" w:w="170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(583,722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(583,722</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(776,750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(776,750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642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Acquisition-related expenses</w:t>
            </w:r>
          </w:p>
        </w:tc>
        <w:tc>
          <w:tcPr>
            <w:tcW w:type="dxa" w:w="240"/>
            <w:tcMar>
              <w:left w:type="dxa" w:w="0"/>
              <w:right w:type="dxa" w:w="60"/>
            </w:tcMar>
            <w:tcBorders/>
            <w:vAlign w:val="bottom"/>
          </w:tcPr>
          <w:p>
            <w:pPr>
              <w:jc w:val="left"/>
              <w:keepNext/>
              <w:keepLines/>
              <w:spacing w:before="40" w:after="40" w:line="240" w:lineRule="auto"/>
              <w:rPr/>
            </w:pPr>
            <w:r>
              <w:rPr/>
            </w:r>
          </w:p>
        </w:tc>
        <w:tc>
          <w:tcPr>
            <w:tcW w:type="dxa" w:w="170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105,146</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105,146</w:t>
            </w:r>
          </w:p>
        </w:tc>
        <w:tc>
          <w:tcPr>
            <w:tcW w:type="dxa" w:w="77"/>
            <w:tcMar>
              <w:left w:type="dxa" w:w="0"/>
              <w:right w:type="dxa" w:w="0"/>
            </w:tcMar>
            <w:tcBorders>
              <w:bottom w:val="single" w:sz="8"/>
            </w:tcBorders>
          </w:tcPr>
          <w:p/>
        </w:tc>
        <w:tc>
          <w:tcPr>
            <w:tcW w:type="dxa" w:w="17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(149,625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(149,625</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642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 forma net loss combined</w:t>
            </w:r>
          </w:p>
        </w:tc>
        <w:tc>
          <w:tcPr>
            <w:tcW w:type="dxa" w:w="24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59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(6,856,097</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6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(8,345,316</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business combination was accounted for under the acquisition method of accounting in accordance with ASC Topic 805, </w:t>
      </w:r>
      <w:r>
        <w:rPr>
          <w:rFonts w:ascii="Times New Roman" w:hAnsi="Times New Roman" w:eastAsia="Times New Roman" w:cs="Times New Roman"/>
          <w:sz w:val="20"/>
          <w:i w:val="true"/>
        </w:rPr>
        <w:t xml:space="preserve">Business Combinations</w:t>
      </w:r>
      <w:r>
        <w:rPr>
          <w:rFonts w:ascii="Times New Roman" w:hAnsi="Times New Roman" w:eastAsia="Times New Roman" w:cs="Times New Roman"/>
          <w:sz w:val="20"/>
        </w:rPr>
        <w:t xml:space="preserve">. As the acquirer for accounting purposes, IZEA is in the process of estimating the fair value of TapInfluence’s assets acquired and liabilities assumed and conformed the accounting policies of TapInfluence to its own accounting policies. IZEA anticipates that all the information needed to identify and measure values assigned to the assets acquired and liabilities assumed will be obtained and finalized during the one-year measurement period following the merger date. Differences between these preliminary estimates and the final purchase price accounting may occur, and these differences could have a material impact on the Company's consolidated financial statements.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ZenContent</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July 31, 2016, the Company purchased all of the outstanding shares of capital stock of ZenContent pursuant to the terms of a Stock Purchase Agreement, by and among IZEA, ZenContent and the stockholders of ZenContent (the “ZenContent Stock Purchase Agreement”) for a maximum purchase price to be paid over the next </w:t>
      </w:r>
      <w:r>
        <w:rPr>
          <w:rFonts w:ascii="Times New Roman" w:hAnsi="Times New Roman" w:eastAsia="Times New Roman" w:cs="Times New Roman"/>
          <w:sz w:val="20"/>
        </w:rPr>
        <w:t xml:space="preserve">three years</w:t>
      </w:r>
      <w:r>
        <w:rPr>
          <w:rFonts w:ascii="Times New Roman" w:hAnsi="Times New Roman" w:eastAsia="Times New Roman" w:cs="Times New Roman"/>
          <w:sz w:val="20"/>
        </w:rPr>
        <w:t xml:space="preserve"> of </w:t>
      </w:r>
      <w:r>
        <w:rPr>
          <w:rFonts w:ascii="Times New Roman" w:hAnsi="Times New Roman" w:eastAsia="Times New Roman" w:cs="Times New Roman"/>
          <w:sz w:val="20"/>
        </w:rPr>
        <w:t xml:space="preserve">$4,500,000</w:t>
      </w:r>
      <w:r>
        <w:rPr>
          <w:rFonts w:ascii="Times New Roman" w:hAnsi="Times New Roman" w:eastAsia="Times New Roman" w:cs="Times New Roman"/>
          <w:sz w:val="20"/>
        </w:rPr>
        <w:t xml:space="preserve">. Upon closing the  Company paid a cash payment of </w:t>
      </w:r>
      <w:r>
        <w:rPr>
          <w:rFonts w:ascii="Times New Roman" w:hAnsi="Times New Roman" w:eastAsia="Times New Roman" w:cs="Times New Roman"/>
          <w:sz w:val="20"/>
        </w:rPr>
        <w:t xml:space="preserve">$400,000</w:t>
      </w:r>
      <w:r>
        <w:rPr>
          <w:rFonts w:ascii="Times New Roman" w:hAnsi="Times New Roman" w:eastAsia="Times New Roman" w:cs="Times New Roman"/>
          <w:sz w:val="20"/>
        </w:rPr>
        <w:t xml:space="preserve"> and issued </w:t>
      </w:r>
      <w:r>
        <w:rPr>
          <w:rFonts w:ascii="Times New Roman" w:hAnsi="Times New Roman" w:eastAsia="Times New Roman" w:cs="Times New Roman"/>
          <w:sz w:val="20"/>
        </w:rPr>
        <w:t xml:space="preserve">86,207</w:t>
      </w:r>
      <w:r>
        <w:rPr>
          <w:rFonts w:ascii="Times New Roman" w:hAnsi="Times New Roman" w:eastAsia="Times New Roman" w:cs="Times New Roman"/>
          <w:sz w:val="20"/>
        </w:rPr>
        <w:t xml:space="preserve"> shares of the Company's common stock valued at </w:t>
      </w:r>
      <w:r>
        <w:rPr>
          <w:rFonts w:ascii="Times New Roman" w:hAnsi="Times New Roman" w:eastAsia="Times New Roman" w:cs="Times New Roman"/>
          <w:sz w:val="20"/>
        </w:rPr>
        <w:t xml:space="preserve">$600,000</w:t>
      </w:r>
      <w:r>
        <w:rPr>
          <w:rFonts w:ascii="Times New Roman" w:hAnsi="Times New Roman" w:eastAsia="Times New Roman" w:cs="Times New Roman"/>
          <w:sz w:val="20"/>
        </w:rPr>
        <w:t xml:space="preserve">. The ZenContent Stock Purchase Agreement also requires (i) </w:t>
      </w:r>
      <w:r>
        <w:rPr>
          <w:rFonts w:ascii="Times New Roman" w:hAnsi="Times New Roman" w:eastAsia="Times New Roman" w:cs="Times New Roman"/>
          <w:sz w:val="20"/>
        </w:rPr>
        <w:t xml:space="preserve">three equal annual installment payments</w:t>
      </w:r>
      <w:r>
        <w:rPr>
          <w:rFonts w:ascii="Times New Roman" w:hAnsi="Times New Roman" w:eastAsia="Times New Roman" w:cs="Times New Roman"/>
          <w:sz w:val="20"/>
        </w:rPr>
        <w:t xml:space="preserve"> totaling </w:t>
      </w:r>
      <w:r>
        <w:rPr>
          <w:rFonts w:ascii="Times New Roman" w:hAnsi="Times New Roman" w:eastAsia="Times New Roman" w:cs="Times New Roman"/>
          <w:sz w:val="20"/>
        </w:rPr>
        <w:t xml:space="preserve">$1,000,000</w:t>
      </w:r>
      <w:r>
        <w:rPr>
          <w:rFonts w:ascii="Times New Roman" w:hAnsi="Times New Roman" w:eastAsia="Times New Roman" w:cs="Times New Roman"/>
          <w:sz w:val="20"/>
        </w:rPr>
        <w:t xml:space="preserve">, subject to a working capital adjustment, commencing 12 months following the closing and (ii) contingent performance payments of up to an aggregate of </w:t>
      </w:r>
      <w:r>
        <w:rPr>
          <w:rFonts w:ascii="Times New Roman" w:hAnsi="Times New Roman" w:eastAsia="Times New Roman" w:cs="Times New Roman"/>
          <w:sz w:val="20"/>
        </w:rPr>
        <w:t xml:space="preserve">$2,500,000</w:t>
      </w:r>
      <w:r>
        <w:rPr>
          <w:rFonts w:ascii="Times New Roman" w:hAnsi="Times New Roman" w:eastAsia="Times New Roman" w:cs="Times New Roman"/>
          <w:sz w:val="20"/>
        </w:rPr>
        <w:t xml:space="preserve"> over the three 12-month periods following the closing, based upon ZenContent achieving certain minimum revenue thresholds. Of these payments, </w:t>
      </w:r>
      <w:r>
        <w:rPr>
          <w:rFonts w:ascii="Times New Roman" w:hAnsi="Times New Roman" w:eastAsia="Times New Roman" w:cs="Times New Roman"/>
          <w:sz w:val="20"/>
        </w:rPr>
        <w:t xml:space="preserve">33%</w:t>
      </w:r>
      <w:r>
        <w:rPr>
          <w:rFonts w:ascii="Times New Roman" w:hAnsi="Times New Roman" w:eastAsia="Times New Roman" w:cs="Times New Roman"/>
          <w:sz w:val="20"/>
        </w:rPr>
        <w:t xml:space="preserve"> of each such annual installment or contingent performance payment will be in the form of cash and the remainder of such payment will be in the form of either cash or additional shares of the Company's common stock (determined at the Company's option). Additionally, these payments were subject to a downward adjustment of up to </w:t>
      </w:r>
      <w:r>
        <w:rPr>
          <w:rFonts w:ascii="Times New Roman" w:hAnsi="Times New Roman" w:eastAsia="Times New Roman" w:cs="Times New Roman"/>
          <w:sz w:val="20"/>
        </w:rPr>
        <w:t xml:space="preserve">30%</w:t>
      </w:r>
      <w:r>
        <w:rPr>
          <w:rFonts w:ascii="Times New Roman" w:hAnsi="Times New Roman" w:eastAsia="Times New Roman" w:cs="Times New Roman"/>
          <w:sz w:val="20"/>
        </w:rPr>
        <w:t xml:space="preserve"> if Brianna DeMike, ZenContent's co-founder, was terminated by IZEA for cause or she terminated her employment without good reason.</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amended the ZenContent Stock Purchase Agreement on October 21, 2016, to clarify definitions surrounding contingent performance payments and to provide for a contingent cash commission of </w:t>
      </w:r>
      <w:r>
        <w:rPr>
          <w:rFonts w:ascii="Times New Roman" w:hAnsi="Times New Roman" w:eastAsia="Times New Roman" w:cs="Times New Roman"/>
          <w:sz w:val="20"/>
        </w:rPr>
        <w:t xml:space="preserve">1%</w:t>
      </w:r>
      <w:r>
        <w:rPr>
          <w:rFonts w:ascii="Times New Roman" w:hAnsi="Times New Roman" w:eastAsia="Times New Roman" w:cs="Times New Roman"/>
          <w:sz w:val="20"/>
        </w:rPr>
        <w:t xml:space="preserve"> on certain IZEA legacy clients for which the Company used ZenContent technology to produce content for its Managed Services in the future. The Company entered into a second amendment to the ZenContent Stock Purchase Agreement on July 17, 2018 to further amend the terms of the contingent performance payments. The parties agreed to pay approximately </w:t>
      </w:r>
      <w:r>
        <w:rPr>
          <w:rFonts w:ascii="Times New Roman" w:hAnsi="Times New Roman" w:eastAsia="Times New Roman" w:cs="Times New Roman"/>
          <w:sz w:val="20"/>
        </w:rPr>
        <w:t xml:space="preserve">$9,818</w:t>
      </w:r>
      <w:r>
        <w:rPr>
          <w:rFonts w:ascii="Times New Roman" w:hAnsi="Times New Roman" w:eastAsia="Times New Roman" w:cs="Times New Roman"/>
          <w:sz w:val="20"/>
        </w:rPr>
        <w:t xml:space="preserve"> related to the historical </w:t>
      </w:r>
      <w:r>
        <w:rPr>
          <w:rFonts w:ascii="Times New Roman" w:hAnsi="Times New Roman" w:eastAsia="Times New Roman" w:cs="Times New Roman"/>
          <w:sz w:val="20"/>
        </w:rPr>
        <w:t xml:space="preserve">1%</w:t>
      </w:r>
      <w:r>
        <w:rPr>
          <w:rFonts w:ascii="Times New Roman" w:hAnsi="Times New Roman" w:eastAsia="Times New Roman" w:cs="Times New Roman"/>
          <w:sz w:val="20"/>
        </w:rPr>
        <w:t xml:space="preserve"> commission on IZEA legacy client calculations and to fix the amount payable for any further contingent performance payments at </w:t>
      </w:r>
      <w:r>
        <w:rPr>
          <w:rFonts w:ascii="Times New Roman" w:hAnsi="Times New Roman" w:eastAsia="Times New Roman" w:cs="Times New Roman"/>
          <w:sz w:val="20"/>
        </w:rPr>
        <w:t xml:space="preserve">$90,000</w:t>
      </w:r>
      <w:r>
        <w:rPr>
          <w:rFonts w:ascii="Times New Roman" w:hAnsi="Times New Roman" w:eastAsia="Times New Roman" w:cs="Times New Roman"/>
          <w:sz w:val="20"/>
        </w:rPr>
        <w:t xml:space="preserve"> due as </w:t>
      </w:r>
      <w:r>
        <w:rPr>
          <w:rFonts w:ascii="Times New Roman" w:hAnsi="Times New Roman" w:eastAsia="Times New Roman" w:cs="Times New Roman"/>
          <w:sz w:val="20"/>
        </w:rPr>
        <w:t xml:space="preserve">$45,000</w:t>
      </w:r>
      <w:r>
        <w:rPr>
          <w:rFonts w:ascii="Times New Roman" w:hAnsi="Times New Roman" w:eastAsia="Times New Roman" w:cs="Times New Roman"/>
          <w:sz w:val="20"/>
        </w:rPr>
        <w:t xml:space="preserve"> in cash on November 1, 2018 and as </w:t>
      </w:r>
      <w:r>
        <w:rPr>
          <w:rFonts w:ascii="Times New Roman" w:hAnsi="Times New Roman" w:eastAsia="Times New Roman" w:cs="Times New Roman"/>
          <w:sz w:val="20"/>
        </w:rPr>
        <w:t xml:space="preserve">$45,000</w:t>
      </w:r>
      <w:r>
        <w:rPr>
          <w:rFonts w:ascii="Times New Roman" w:hAnsi="Times New Roman" w:eastAsia="Times New Roman" w:cs="Times New Roman"/>
          <w:sz w:val="20"/>
        </w:rPr>
        <w:t xml:space="preserve"> in cash or stock, at the Company's option on November 1, 2019. In return for the fixed valuation of the contingent performance payments, the Company waived its rights to reduce the future guaranteed annual and contingent performance payments in the event that ZenContent's co-founder terminated her employment, after which she terminated her employment with the Company on July 20, 2018.</w:t>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after="1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Purchase Price and Acquisition Costs Payable</w:t>
      </w:r>
    </w:p>
    <w:tbl>
      <w:tblPr>
        <w:tblW w:type="dxa" w:w="10240"/>
        <w:tblLayout w:type="fixed"/>
        <w:jc w:val="left"/>
      </w:tblPr>
      <w:tblGrid>
        <w:gridCol w:w="5460"/>
        <w:gridCol w:w="110"/>
        <w:gridCol w:w="1113"/>
        <w:gridCol w:w="77"/>
        <w:gridCol w:w="110"/>
        <w:gridCol w:w="973"/>
        <w:gridCol w:w="77"/>
        <w:gridCol w:w="110"/>
        <w:gridCol w:w="973"/>
        <w:gridCol w:w="77"/>
        <w:gridCol w:w="110"/>
        <w:gridCol w:w="973"/>
        <w:gridCol w:w="77"/>
      </w:tblGrid>
      <w:tr>
        <w:trPr>
          <w:trHeight w:hRule="exact" w:val="900"/>
        </w:trPr>
        <w:tc>
          <w:tcPr>
            <w:tcW w:type="dxa" w:w="546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Estimated Gross Purchase Consideration</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Estimated Gross Purchase Consideration</w:t>
            </w:r>
          </w:p>
        </w:tc>
        <w:tc>
          <w:tcPr>
            <w:tcMar>
              <w:left w:type="dxa" w:w="0"/>
              <w:right w:type="dxa" w:w="60"/>
            </w:tcMar>
            <w:tcBorders/>
            <w:hMerge w:val="continue"/>
          </w:tcP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Initial Present and Fair Value</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Initial Present and Fair Value</w:t>
            </w:r>
          </w:p>
        </w:tc>
        <w:tc>
          <w:tcPr>
            <w:tcMar>
              <w:left w:type="dxa" w:w="0"/>
              <w:right w:type="dxa" w:w="60"/>
            </w:tcMar>
            <w:tcBorders/>
            <w:hMerge w:val="continue"/>
          </w:tcP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Remaining Present and Fair Value</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Remaining Present and Fair Value</w:t>
            </w:r>
          </w:p>
        </w:tc>
        <w:tc>
          <w:tcPr>
            <w:tcMar>
              <w:left w:type="dxa" w:w="0"/>
              <w:right w:type="dxa" w:w="60"/>
            </w:tcMar>
            <w:tcBorders/>
            <w:hMerge w:val="continue"/>
          </w:tcP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Remaining Present and Fair Value</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Remaining Present and Fair Value</w:t>
            </w:r>
          </w:p>
        </w:tc>
        <w:tc>
          <w:tcPr>
            <w:tcMar>
              <w:left w:type="dxa" w:w="0"/>
              <w:right w:type="dxa" w:w="60"/>
            </w:tcMar>
            <w:tcBorders/>
            <w:hMerge w:val="continue"/>
          </w:tcPr>
          <w:p/>
        </w:tc>
      </w:tr>
      <w:tr>
        <w:trPr>
          <w:trHeight w:hRule="exact" w:val="300"/>
        </w:trPr>
        <w:tc>
          <w:tcPr>
            <w:tcW w:type="dxa" w:w="5460"/>
            <w:tcMar>
              <w:left w:type="dxa" w:w="60"/>
              <w:right w:type="dxa" w:w="6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7/31/2016</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7/31/2016</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7/31/2016</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7/31/2016</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12/31/2017</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12/31/2017</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9/30/2018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9/30/2018</w:t>
            </w:r>
          </w:p>
        </w:tc>
        <w:tc>
          <w:tcPr>
            <w:tcMar>
              <w:left w:type="dxa" w:w="0"/>
              <w:right w:type="dxa" w:w="60"/>
            </w:tcMar>
            <w:tcBorders>
              <w:bottom w:val="single" w:sz="8"/>
            </w:tcBorders>
            <w:hMerge w:val="continue"/>
          </w:tcPr>
          <w:p/>
        </w:tc>
      </w:tr>
      <w:tr>
        <w:trPr>
          <w:trHeight w:hRule="exact" w:val="320"/>
        </w:trPr>
        <w:tc>
          <w:tcPr>
            <w:tcW w:type="dxa" w:w="54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Cash paid at closing (a)</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400,000</w:t>
            </w:r>
          </w:p>
        </w:tc>
        <w:tc>
          <w:tcPr>
            <w:tcW w:type="dxa" w:w="77"/>
            <w:tcMar>
              <w:left w:type="dxa" w:w="0"/>
              <w:right w:type="dxa" w:w="0"/>
            </w:tcMar>
            <w:tcBorders>
              <w:top w:val="single" w:sz="8" w:space="0"/>
            </w:tcBorders>
          </w:tcP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400,000</w:t>
            </w:r>
          </w:p>
        </w:tc>
        <w:tc>
          <w:tcPr>
            <w:tcW w:type="dxa" w:w="77"/>
            <w:tcMar>
              <w:left w:type="dxa" w:w="0"/>
              <w:right w:type="dxa" w:w="0"/>
            </w:tcMar>
            <w:tcBorders>
              <w:top w:val="single" w:sz="8" w:space="0"/>
            </w:tcBorders>
          </w:tcP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op w:val="single" w:sz="8" w:space="0"/>
            </w:tcBorders>
          </w:tcP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op w:val="single" w:sz="8" w:space="0"/>
            </w:tcBorders>
          </w:tcPr>
          <w:p/>
        </w:tc>
      </w:tr>
      <w:tr>
        <w:trPr>
          <w:trHeight w:hRule="exact" w:val="320"/>
        </w:trPr>
        <w:tc>
          <w:tcPr>
            <w:tcW w:type="dxa" w:w="54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Stock paid at closing (a)</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600,000</w:t>
            </w:r>
          </w:p>
        </w:tc>
        <w:tc>
          <w:tcPr>
            <w:tcW w:type="dxa" w:w="77"/>
            <w:tcMar>
              <w:left w:type="dxa" w:w="0"/>
              <w:right w:type="dxa" w:w="0"/>
            </w:tcMar>
            <w:tcBorders/>
          </w:tcP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600,000</w:t>
            </w:r>
          </w:p>
        </w:tc>
        <w:tc>
          <w:tcPr>
            <w:tcW w:type="dxa" w:w="77"/>
            <w:tcMar>
              <w:left w:type="dxa" w:w="0"/>
              <w:right w:type="dxa" w:w="0"/>
            </w:tcMar>
            <w:tcBorders/>
          </w:tcP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320"/>
        </w:trPr>
        <w:tc>
          <w:tcPr>
            <w:tcW w:type="dxa" w:w="54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Guaranteed purchase price (b)</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933,565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933,565</w:t>
            </w:r>
          </w:p>
        </w:tc>
        <w:tc>
          <w:tcPr>
            <w:tcW w:type="dxa" w:w="77"/>
            <w:tcMar>
              <w:left w:type="dxa" w:w="0"/>
              <w:right w:type="dxa" w:w="0"/>
            </w:tcMar>
            <w:tcBorders/>
          </w:tcP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566,547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566,547</w:t>
            </w:r>
          </w:p>
        </w:tc>
        <w:tc>
          <w:tcPr>
            <w:tcW w:type="dxa" w:w="77"/>
            <w:tcMar>
              <w:left w:type="dxa" w:w="0"/>
              <w:right w:type="dxa" w:w="0"/>
            </w:tcMar>
            <w:tcBorders/>
          </w:tcP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606,413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606,413</w:t>
            </w:r>
          </w:p>
        </w:tc>
        <w:tc>
          <w:tcPr>
            <w:tcW w:type="dxa" w:w="77"/>
            <w:tcMar>
              <w:left w:type="dxa" w:w="0"/>
              <w:right w:type="dxa" w:w="0"/>
            </w:tcMar>
            <w:tcBorders/>
          </w:tcP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316,772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316,772</w:t>
            </w:r>
          </w:p>
        </w:tc>
        <w:tc>
          <w:tcPr>
            <w:tcW w:type="dxa" w:w="77"/>
            <w:tcMar>
              <w:left w:type="dxa" w:w="0"/>
              <w:right w:type="dxa" w:w="0"/>
            </w:tcMar>
            <w:tcBorders/>
          </w:tcPr>
          <w:p/>
        </w:tc>
      </w:tr>
      <w:tr>
        <w:trPr>
          <w:trHeight w:hRule="exact" w:val="280"/>
        </w:trPr>
        <w:tc>
          <w:tcPr>
            <w:tcW w:type="dxa" w:w="54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Contingent performance payments (c)</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2,500,000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2,500,000</w:t>
            </w:r>
          </w:p>
        </w:tc>
        <w:tc>
          <w:tcPr>
            <w:tcW w:type="dxa" w:w="77"/>
            <w:tcMar>
              <w:left w:type="dxa" w:w="0"/>
              <w:right w:type="dxa" w:w="0"/>
            </w:tcMar>
            <w:tcBorders/>
          </w:tcP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230,000</w:t>
            </w:r>
          </w:p>
        </w:tc>
        <w:tc>
          <w:tcPr>
            <w:tcW w:type="dxa" w:w="77"/>
            <w:tcMar>
              <w:left w:type="dxa" w:w="0"/>
              <w:right w:type="dxa" w:w="0"/>
            </w:tcMar>
            <w:tcBorders/>
          </w:tcPr>
          <w:p/>
        </w:tc>
        <w:tc>
          <w:tcPr>
            <w:tcW w:type="dxa" w:w="10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744,510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744,510</w:t>
            </w:r>
          </w:p>
        </w:tc>
        <w:tc>
          <w:tcPr>
            <w:tcW w:type="dxa" w:w="77"/>
            <w:tcMar>
              <w:left w:type="dxa" w:w="0"/>
              <w:right w:type="dxa" w:w="0"/>
            </w:tcMar>
            <w:tcBorders>
              <w:bottom w:val="single" w:sz="8"/>
            </w:tcBorders>
          </w:tcPr>
          <w:p/>
        </w:tc>
        <w:tc>
          <w:tcPr>
            <w:tcW w:type="dxa" w:w="10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88,055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88,055</w:t>
            </w:r>
          </w:p>
        </w:tc>
        <w:tc>
          <w:tcPr>
            <w:tcW w:type="dxa" w:w="77"/>
            <w:tcMar>
              <w:left w:type="dxa" w:w="0"/>
              <w:right w:type="dxa" w:w="0"/>
            </w:tcMar>
            <w:tcBorders>
              <w:bottom w:val="single" w:sz="8"/>
            </w:tcBorders>
          </w:tcPr>
          <w:p/>
        </w:tc>
      </w:tr>
      <w:tr>
        <w:trPr>
          <w:trHeight w:hRule="exact" w:val="280"/>
        </w:trPr>
        <w:tc>
          <w:tcPr>
            <w:tcW w:type="dxa" w:w="5460"/>
            <w:tcMar>
              <w:left w:type="dxa" w:w="300"/>
              <w:right w:type="dxa" w:w="4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estimated consideration</w:t>
            </w: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4,433,565</w:t>
            </w:r>
          </w:p>
        </w:tc>
        <w:tc>
          <w:tcPr>
            <w:tcW w:type="dxa" w:w="77"/>
            <w:tcMar>
              <w:left w:type="dxa" w:w="0"/>
              <w:right w:type="dxa" w:w="0"/>
            </w:tcMar>
            <w:tcBorders>
              <w:top w:val="single" w:sz="8" w:space="0"/>
              <w:bottom w:val="double" w:sz="4"/>
            </w:tcBorders>
          </w:tcP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1,796,547</w:t>
            </w:r>
          </w:p>
        </w:tc>
        <w:tc>
          <w:tcPr>
            <w:tcW w:type="dxa" w:w="77"/>
            <w:tcMar>
              <w:left w:type="dxa" w:w="0"/>
              <w:right w:type="dxa" w:w="0"/>
            </w:tcMar>
            <w:tcBorders>
              <w:top w:val="single" w:sz="8" w:space="0"/>
              <w:bottom w:val="double" w:sz="4"/>
            </w:tcBorders>
          </w:tcP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1,350,923</w:t>
            </w:r>
          </w:p>
        </w:tc>
        <w:tc>
          <w:tcPr>
            <w:tcW w:type="dxa" w:w="77"/>
            <w:tcMar>
              <w:left w:type="dxa" w:w="0"/>
              <w:right w:type="dxa" w:w="0"/>
            </w:tcMar>
            <w:tcBorders>
              <w:bottom w:val="double" w:sz="4"/>
            </w:tcBorders>
          </w:tcP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404,827</w:t>
            </w:r>
          </w:p>
        </w:tc>
        <w:tc>
          <w:tcPr>
            <w:tcW w:type="dxa" w:w="77"/>
            <w:tcMar>
              <w:left w:type="dxa" w:w="0"/>
              <w:right w:type="dxa" w:w="0"/>
            </w:tcMar>
            <w:tcBorders>
              <w:top w:val="single" w:sz="8" w:space="0"/>
              <w:bottom w:val="double" w:sz="4"/>
            </w:tcBorders>
          </w:tcPr>
          <w:p/>
        </w:tc>
      </w:tr>
      <w:tr>
        <w:trPr>
          <w:trHeight w:hRule="exact" w:val="280"/>
        </w:trPr>
        <w:tc>
          <w:tcPr>
            <w:tcW w:type="dxa" w:w="546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54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Current portion of acquisition costs payable</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741,155</w:t>
            </w:r>
          </w:p>
        </w:tc>
        <w:tc>
          <w:tcPr>
            <w:tcW w:type="dxa" w:w="77"/>
            <w:tcMar>
              <w:left w:type="dxa" w:w="0"/>
              <w:right w:type="dxa" w:w="0"/>
            </w:tcMar>
            <w:tcBorders/>
          </w:tcP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361,772</w:t>
            </w:r>
          </w:p>
        </w:tc>
        <w:tc>
          <w:tcPr>
            <w:tcW w:type="dxa" w:w="77"/>
            <w:tcMar>
              <w:left w:type="dxa" w:w="0"/>
              <w:right w:type="dxa" w:w="0"/>
            </w:tcMar>
            <w:tcBorders/>
          </w:tcPr>
          <w:p/>
        </w:tc>
      </w:tr>
      <w:tr>
        <w:trPr>
          <w:trHeight w:hRule="exact" w:val="280"/>
        </w:trPr>
        <w:tc>
          <w:tcPr>
            <w:tcW w:type="dxa" w:w="54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Long-term portion of acquisition costs payable</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10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609,768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609,768</w:t>
            </w:r>
          </w:p>
        </w:tc>
        <w:tc>
          <w:tcPr>
            <w:tcW w:type="dxa" w:w="77"/>
            <w:tcMar>
              <w:left w:type="dxa" w:w="0"/>
              <w:right w:type="dxa" w:w="0"/>
            </w:tcMar>
            <w:tcBorders>
              <w:bottom w:val="single" w:sz="8"/>
            </w:tcBorders>
          </w:tcPr>
          <w:p/>
        </w:tc>
        <w:tc>
          <w:tcPr>
            <w:tcW w:type="dxa" w:w="10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43,055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43,055</w:t>
            </w:r>
          </w:p>
        </w:tc>
        <w:tc>
          <w:tcPr>
            <w:tcW w:type="dxa" w:w="77"/>
            <w:tcMar>
              <w:left w:type="dxa" w:w="0"/>
              <w:right w:type="dxa" w:w="0"/>
            </w:tcMar>
            <w:tcBorders>
              <w:bottom w:val="single" w:sz="8"/>
            </w:tcBorders>
          </w:tcPr>
          <w:p/>
        </w:tc>
      </w:tr>
      <w:tr>
        <w:trPr>
          <w:trHeight w:hRule="exact" w:val="280"/>
        </w:trPr>
        <w:tc>
          <w:tcPr>
            <w:tcW w:type="dxa" w:w="5460"/>
            <w:tcMar>
              <w:left w:type="dxa" w:w="60"/>
              <w:right w:type="dxa" w:w="4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acquisition costs payable</w:t>
            </w:r>
          </w:p>
        </w:tc>
        <w:tc>
          <w:tcPr>
            <w:tcW w:type="dxa" w:w="0"/>
            <w:tcMar>
              <w:left w:type="dxa" w:w="0"/>
              <w:right w:type="dxa" w:w="60"/>
            </w:tcMar>
            <w:tcBorders>
              <w:top w:val="single" w:sz="8" w:space="0"/>
              <w:bottom w:val="double" w:sz="4"/>
            </w:tcBorders>
            <w:vAlign w:val="bottom"/>
            <w:hMerge w:val="restart"/>
          </w:tcPr>
          <w:p>
            <w:pPr>
              <w:jc w:val="left"/>
              <w:keepLines/>
              <w:spacing w:before="40" w:after="40" w:line="240" w:lineRule="auto"/>
              <w:rPr/>
            </w:pPr>
            <w:r>
              <w:rPr/>
            </w:r>
          </w:p>
        </w:tc>
        <w:tc>
          <w:tcPr>
            <w:tcMar>
              <w:left w:type="dxa" w:w="0"/>
              <w:right w:type="dxa" w:w="60"/>
            </w:tcMar>
            <w:tcBorders>
              <w:top w:val="single" w:sz="8" w:space="0"/>
              <w:bottom w:val="double" w:sz="4"/>
            </w:tcBorders>
            <w:hMerge w:val="continue"/>
          </w:tcPr>
          <w:p>
            <w:pPr>
              <w:jc w:val="left"/>
              <w:keepLines/>
              <w:spacing w:before="40" w:after="40" w:line="240" w:lineRule="auto"/>
              <w:rPr/>
            </w:pPr>
            <w:r>
              <w:rPr/>
            </w:r>
          </w:p>
        </w:tc>
        <w:tc>
          <w:tcPr>
            <w:tcMar>
              <w:left w:type="dxa" w:w="0"/>
              <w:right w:type="dxa" w:w="60"/>
            </w:tcMar>
            <w:tcBorders>
              <w:top w:val="single" w:sz="8" w:space="0"/>
              <w:bottom w:val="double" w:sz="4"/>
            </w:tcBorders>
            <w:hMerge w:val="continue"/>
          </w:tcPr>
          <w:p/>
        </w:tc>
        <w:tc>
          <w:tcPr>
            <w:tcW w:type="dxa" w:w="0"/>
            <w:tcMar>
              <w:left w:type="dxa" w:w="60"/>
              <w:right w:type="dxa" w:w="0"/>
            </w:tcMar>
            <w:tcBorders>
              <w:top w:val="single" w:sz="8" w:space="0"/>
              <w:bottom w:val="double" w:sz="4"/>
            </w:tcBorders>
            <w:vAlign w:val="bottom"/>
            <w:hMerge w:val="restart"/>
          </w:tcPr>
          <w:p>
            <w:pPr>
              <w:jc w:val="left"/>
              <w:keepLines/>
              <w:spacing w:before="40" w:after="40" w:line="240" w:lineRule="auto"/>
              <w:rPr/>
            </w:pPr>
            <w:r>
              <w:rPr/>
            </w:r>
          </w:p>
        </w:tc>
        <w:tc>
          <w:tcPr>
            <w:tcMar>
              <w:left w:type="dxa" w:w="60"/>
              <w:right w:type="dxa" w:w="0"/>
            </w:tcMar>
            <w:tcBorders>
              <w:top w:val="single" w:sz="8" w:space="0"/>
              <w:bottom w:val="double" w:sz="4"/>
            </w:tcBorders>
            <w:hMerge w:val="continue"/>
          </w:tcPr>
          <w:p>
            <w:pPr>
              <w:jc w:val="left"/>
              <w:keepLines/>
              <w:spacing w:before="40" w:after="40" w:line="240" w:lineRule="auto"/>
              <w:rPr/>
            </w:pPr>
            <w:r>
              <w:rPr/>
            </w:r>
          </w:p>
        </w:tc>
        <w:tc>
          <w:tcPr>
            <w:tcMar>
              <w:left w:type="dxa" w:w="0"/>
              <w:right w:type="dxa" w:w="0"/>
            </w:tcMar>
            <w:tcBorders>
              <w:top w:val="single" w:sz="8" w:space="0"/>
              <w:bottom w:val="double" w:sz="4"/>
            </w:tcBorders>
            <w:hMerge w:val="continue"/>
          </w:tcP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1,350,923</w:t>
            </w:r>
          </w:p>
        </w:tc>
        <w:tc>
          <w:tcPr>
            <w:tcW w:type="dxa" w:w="77"/>
            <w:tcMar>
              <w:left w:type="dxa" w:w="0"/>
              <w:right w:type="dxa" w:w="0"/>
            </w:tcMar>
            <w:tcBorders>
              <w:top w:val="single" w:sz="8" w:space="0"/>
              <w:bottom w:val="double" w:sz="4"/>
            </w:tcBorders>
          </w:tcP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7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404,827</w:t>
            </w:r>
          </w:p>
        </w:tc>
        <w:tc>
          <w:tcPr>
            <w:tcW w:type="dxa" w:w="77"/>
            <w:tcMar>
              <w:left w:type="dxa" w:w="0"/>
              <w:right w:type="dxa" w:w="0"/>
            </w:tcMar>
            <w:tcBorders>
              <w:top w:val="single" w:sz="8" w:space="0"/>
              <w:bottom w:val="double" w:sz="4"/>
            </w:tcBorders>
          </w:tcPr>
          <w:p/>
        </w:tc>
      </w:tr>
    </w:tbl>
    <w:p>
      <w:pPr>
        <w:jc w:val="center"/>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1080" w:firstLine="-36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 	The aggregate consideration paid at closing for the acquisition of ZenContent consisted of a cash payment of </w:t>
      </w:r>
      <w:r>
        <w:rPr>
          <w:rFonts w:ascii="Times New Roman" w:hAnsi="Times New Roman" w:eastAsia="Times New Roman" w:cs="Times New Roman"/>
          <w:sz w:val="20"/>
        </w:rPr>
        <w:t xml:space="preserve">$400,000</w:t>
      </w:r>
      <w:r>
        <w:rPr>
          <w:rFonts w:ascii="Times New Roman" w:hAnsi="Times New Roman" w:eastAsia="Times New Roman" w:cs="Times New Roman"/>
          <w:sz w:val="20"/>
        </w:rPr>
        <w:t xml:space="preserve"> and the issuance of </w:t>
      </w:r>
      <w:r>
        <w:rPr>
          <w:rFonts w:ascii="Times New Roman" w:hAnsi="Times New Roman" w:eastAsia="Times New Roman" w:cs="Times New Roman"/>
          <w:sz w:val="20"/>
        </w:rPr>
        <w:t xml:space="preserve">86,207</w:t>
      </w:r>
      <w:r>
        <w:rPr>
          <w:rFonts w:ascii="Times New Roman" w:hAnsi="Times New Roman" w:eastAsia="Times New Roman" w:cs="Times New Roman"/>
          <w:sz w:val="20"/>
        </w:rPr>
        <w:t xml:space="preserve"> shares of IZEA common stock valued at </w:t>
      </w:r>
      <w:r>
        <w:rPr>
          <w:rFonts w:ascii="Times New Roman" w:hAnsi="Times New Roman" w:eastAsia="Times New Roman" w:cs="Times New Roman"/>
          <w:sz w:val="20"/>
        </w:rPr>
        <w:t xml:space="preserve">$600,000</w:t>
      </w:r>
      <w:r>
        <w:rPr>
          <w:rFonts w:ascii="Times New Roman" w:hAnsi="Times New Roman" w:eastAsia="Times New Roman" w:cs="Times New Roman"/>
          <w:sz w:val="20"/>
        </w:rPr>
        <w:t xml:space="preserve">.</w:t>
      </w:r>
    </w:p>
    <w:p>
      <w:pPr>
        <w:ind w:left="1080" w:firstLine="-36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1080" w:firstLine="-360"/>
        <w:jc w:val="both"/>
        <w:keepLines/>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(b) 	Aggregate deferred consideration consists of (i) </w:t>
      </w:r>
      <w:r>
        <w:rPr>
          <w:rFonts w:ascii="Times New Roman" w:hAnsi="Times New Roman" w:eastAsia="Times New Roman" w:cs="Times New Roman"/>
          <w:sz w:val="20"/>
        </w:rPr>
        <w:t xml:space="preserve">three equal annual installment payments totaling $1,000,000</w:t>
      </w:r>
      <w:r>
        <w:rPr>
          <w:rFonts w:ascii="Times New Roman" w:hAnsi="Times New Roman" w:eastAsia="Times New Roman" w:cs="Times New Roman"/>
          <w:sz w:val="20"/>
        </w:rPr>
        <w:t xml:space="preserve">, commencing 12 months following the closing, less a reduction of </w:t>
      </w:r>
      <w:r>
        <w:rPr>
          <w:rFonts w:ascii="Times New Roman" w:hAnsi="Times New Roman" w:eastAsia="Times New Roman" w:cs="Times New Roman"/>
          <w:sz w:val="20"/>
        </w:rPr>
        <w:t xml:space="preserve">$66,435</w:t>
      </w:r>
      <w:r>
        <w:rPr>
          <w:rFonts w:ascii="Times New Roman" w:hAnsi="Times New Roman" w:eastAsia="Times New Roman" w:cs="Times New Roman"/>
          <w:sz w:val="20"/>
        </w:rPr>
        <w:t xml:space="preserve"> due to a customary closing date working capital adjustment (“guaranteed purchase price”), and (ii) contingent performance payments up to an aggregate of </w:t>
      </w:r>
      <w:r>
        <w:rPr>
          <w:rFonts w:ascii="Times New Roman" w:hAnsi="Times New Roman" w:eastAsia="Times New Roman" w:cs="Times New Roman"/>
          <w:sz w:val="20"/>
        </w:rPr>
        <w:t xml:space="preserve">$2,500,000</w:t>
      </w:r>
      <w:r>
        <w:rPr>
          <w:rFonts w:ascii="Times New Roman" w:hAnsi="Times New Roman" w:eastAsia="Times New Roman" w:cs="Times New Roman"/>
          <w:sz w:val="20"/>
        </w:rPr>
        <w:t xml:space="preserve"> over the three 12-month periods following the closing. These payments were subject to a downward adjustment up to </w:t>
      </w:r>
      <w:r>
        <w:rPr>
          <w:rFonts w:ascii="Times New Roman" w:hAnsi="Times New Roman" w:eastAsia="Times New Roman" w:cs="Times New Roman"/>
          <w:sz w:val="20"/>
        </w:rPr>
        <w:t xml:space="preserve">30%</w:t>
      </w:r>
      <w:r>
        <w:rPr>
          <w:rFonts w:ascii="Times New Roman" w:hAnsi="Times New Roman" w:eastAsia="Times New Roman" w:cs="Times New Roman"/>
          <w:sz w:val="20"/>
        </w:rPr>
        <w:t xml:space="preserve"> if ZenContent’s co-founder was terminated by IZEA for cause or if she terminated her employment without good reason. As a result, the Company initially reduced its acquisition cost liability by </w:t>
      </w:r>
      <w:r>
        <w:rPr>
          <w:rFonts w:ascii="Times New Roman" w:hAnsi="Times New Roman" w:eastAsia="Times New Roman" w:cs="Times New Roman"/>
          <w:sz w:val="20"/>
        </w:rPr>
        <w:t xml:space="preserve">$300,000</w:t>
      </w:r>
      <w:r>
        <w:rPr>
          <w:rFonts w:ascii="Times New Roman" w:hAnsi="Times New Roman" w:eastAsia="Times New Roman" w:cs="Times New Roman"/>
          <w:sz w:val="20"/>
        </w:rPr>
        <w:t xml:space="preserve"> to be accrued as compensation expense over the </w:t>
      </w:r>
      <w:r>
        <w:rPr>
          <w:rFonts w:ascii="Times New Roman" w:hAnsi="Times New Roman" w:eastAsia="Times New Roman" w:cs="Times New Roman"/>
          <w:sz w:val="20"/>
        </w:rPr>
        <w:t xml:space="preserve">three-year</w:t>
      </w:r>
      <w:r>
        <w:rPr>
          <w:rFonts w:ascii="Times New Roman" w:hAnsi="Times New Roman" w:eastAsia="Times New Roman" w:cs="Times New Roman"/>
          <w:sz w:val="20"/>
        </w:rPr>
        <w:t xml:space="preserve"> term rather than allocated to the initial purchase price in accordance with ASC 805-10-55-25. Compensation expense added to the guaranteed acquisition costs payable and recorded as general and administrative expense in the Company's consolidated statement of operations was </w:t>
      </w:r>
      <w:r>
        <w:rPr>
          <w:rFonts w:ascii="Times New Roman" w:hAnsi="Times New Roman" w:eastAsia="Times New Roman" w:cs="Times New Roman"/>
          <w:sz w:val="20"/>
        </w:rPr>
        <w:t xml:space="preserve">$28,125</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$151,042</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Compensation expense added to the guaranteed acquisition costs payable and recorded as general and administrative expense in the Company's consolidated statement of operations was </w:t>
      </w:r>
      <w:r>
        <w:rPr>
          <w:rFonts w:ascii="Times New Roman" w:hAnsi="Times New Roman" w:eastAsia="Times New Roman" w:cs="Times New Roman"/>
          <w:sz w:val="20"/>
        </w:rPr>
        <w:t xml:space="preserve">$5,209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$28,125</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The initial guaranteed purchase price consideration was discounted to present value using the Company's borrowing rate of prime plus </w:t>
      </w:r>
      <w:r>
        <w:rPr>
          <w:rFonts w:ascii="Times New Roman" w:hAnsi="Times New Roman" w:eastAsia="Times New Roman" w:cs="Times New Roman"/>
          <w:sz w:val="20"/>
        </w:rPr>
        <w:t xml:space="preserve">2%</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5.5%</w:t>
      </w:r>
      <w:r>
        <w:rPr>
          <w:rFonts w:ascii="Times New Roman" w:hAnsi="Times New Roman" w:eastAsia="Times New Roman" w:cs="Times New Roman"/>
          <w:sz w:val="20"/>
        </w:rPr>
        <w:t xml:space="preserve"> on July 31, 2016). Interest expense imputed on the guaranteed acquisition costs payable in the accompanying consolidated statement of operations was </w:t>
      </w:r>
      <w:r>
        <w:rPr>
          <w:rFonts w:ascii="Times New Roman" w:hAnsi="Times New Roman" w:eastAsia="Times New Roman" w:cs="Times New Roman"/>
          <w:sz w:val="20"/>
        </w:rPr>
        <w:t xml:space="preserve">$15,567</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$22,616</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Interest expense imputed on the guaranteed acquisition costs payable in the accompanying consolidated statement of operations was </w:t>
      </w:r>
      <w:r>
        <w:rPr>
          <w:rFonts w:ascii="Times New Roman" w:hAnsi="Times New Roman" w:eastAsia="Times New Roman" w:cs="Times New Roman"/>
          <w:sz w:val="20"/>
        </w:rPr>
        <w:t xml:space="preserve">$3,872</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$6,572</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On July 31, 2017, the Company paid </w:t>
      </w:r>
      <w:r>
        <w:rPr>
          <w:rFonts w:ascii="Times New Roman" w:hAnsi="Times New Roman" w:eastAsia="Times New Roman" w:cs="Times New Roman"/>
          <w:sz w:val="20"/>
        </w:rPr>
        <w:t xml:space="preserve">$266,898</w:t>
      </w:r>
      <w:r>
        <w:rPr>
          <w:rFonts w:ascii="Times New Roman" w:hAnsi="Times New Roman" w:eastAsia="Times New Roman" w:cs="Times New Roman"/>
          <w:sz w:val="20"/>
        </w:rPr>
        <w:t xml:space="preserve"> in cash for the first annual installment of </w:t>
      </w:r>
      <w:r>
        <w:rPr>
          <w:rFonts w:ascii="Times New Roman" w:hAnsi="Times New Roman" w:eastAsia="Times New Roman" w:cs="Times New Roman"/>
          <w:sz w:val="20"/>
        </w:rPr>
        <w:t xml:space="preserve">$333,333</w:t>
      </w:r>
      <w:r>
        <w:rPr>
          <w:rFonts w:ascii="Times New Roman" w:hAnsi="Times New Roman" w:eastAsia="Times New Roman" w:cs="Times New Roman"/>
          <w:sz w:val="20"/>
        </w:rPr>
        <w:t xml:space="preserve"> less </w:t>
      </w:r>
      <w:r>
        <w:rPr>
          <w:rFonts w:ascii="Times New Roman" w:hAnsi="Times New Roman" w:eastAsia="Times New Roman" w:cs="Times New Roman"/>
          <w:sz w:val="20"/>
        </w:rPr>
        <w:t xml:space="preserve">$66,435</w:t>
      </w:r>
      <w:r>
        <w:rPr>
          <w:rFonts w:ascii="Times New Roman" w:hAnsi="Times New Roman" w:eastAsia="Times New Roman" w:cs="Times New Roman"/>
          <w:sz w:val="20"/>
        </w:rPr>
        <w:t xml:space="preserve"> in working capital adjustments. On July 31, 2018, the Company paid an additional $111,111 in cash and $222,222 using 98,765 shares of our common stock valued at $2.25 per share using a thirty (30) trading day volume-weighted average closing price as reported by the NASDAQ Capital Market prior to the issuance date, for the second annual installment.</w:t>
      </w:r>
    </w:p>
    <w:p>
      <w:pPr>
        <w:ind w:left="1080" w:firstLine="-36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1080" w:firstLine="-36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(c)	The contingent performance payments were subject to ZenContent achieving certain minimum revenue thresholds over </w:t>
      </w:r>
      <w:r>
        <w:rPr>
          <w:rFonts w:ascii="Times New Roman" w:hAnsi="Times New Roman" w:eastAsia="Times New Roman" w:cs="Times New Roman"/>
          <w:sz w:val="20"/>
        </w:rPr>
        <w:t xml:space="preserve">36 months</w:t>
      </w:r>
      <w:r>
        <w:rPr>
          <w:rFonts w:ascii="Times New Roman" w:hAnsi="Times New Roman" w:eastAsia="Times New Roman" w:cs="Times New Roman"/>
          <w:sz w:val="20"/>
        </w:rPr>
        <w:t xml:space="preserve">. ZenContent was required to meet minimum revenues of </w:t>
      </w:r>
      <w:r>
        <w:rPr>
          <w:rFonts w:ascii="Times New Roman" w:hAnsi="Times New Roman" w:eastAsia="Times New Roman" w:cs="Times New Roman"/>
          <w:sz w:val="20"/>
        </w:rPr>
        <w:t xml:space="preserve">$2.5 million</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$3.5 million</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$4.5 million</w:t>
      </w:r>
      <w:r>
        <w:rPr>
          <w:rFonts w:ascii="Times New Roman" w:hAnsi="Times New Roman" w:eastAsia="Times New Roman" w:cs="Times New Roman"/>
          <w:sz w:val="20"/>
        </w:rPr>
        <w:t xml:space="preserve"> in the first, second and third respective 12-month periods following the closing in order to receive any portion of the contingent performance payments. Of these payments, </w:t>
      </w:r>
      <w:r>
        <w:rPr>
          <w:rFonts w:ascii="Times New Roman" w:hAnsi="Times New Roman" w:eastAsia="Times New Roman" w:cs="Times New Roman"/>
          <w:sz w:val="20"/>
        </w:rPr>
        <w:t xml:space="preserve">33%</w:t>
      </w:r>
      <w:r>
        <w:rPr>
          <w:rFonts w:ascii="Times New Roman" w:hAnsi="Times New Roman" w:eastAsia="Times New Roman" w:cs="Times New Roman"/>
          <w:sz w:val="20"/>
        </w:rPr>
        <w:t xml:space="preserve"> of each such annual installment or contingent performance payment was to be in the form of cash and the remainder of such payment was to be in the form of either cash or additional shares of IZEA common stock, at the Company's option. The value of the Company's common stock would be valued using a thirty (30) trading day volume-weighted average closing price as reported by the NASDAQ Capital Market. These contingent performance payments were subject to downward adjustment of up to </w:t>
      </w:r>
      <w:r>
        <w:rPr>
          <w:rFonts w:ascii="Times New Roman" w:hAnsi="Times New Roman" w:eastAsia="Times New Roman" w:cs="Times New Roman"/>
          <w:sz w:val="20"/>
        </w:rPr>
        <w:t xml:space="preserve">30%</w:t>
      </w:r>
      <w:r>
        <w:rPr>
          <w:rFonts w:ascii="Times New Roman" w:hAnsi="Times New Roman" w:eastAsia="Times New Roman" w:cs="Times New Roman"/>
          <w:sz w:val="20"/>
        </w:rPr>
        <w:t xml:space="preserve"> if ZenContent's co-founder was terminated by IZEA for cause or she terminated her employment without good reason. On July 31, 2016, the Company initially determined the fair value of the </w:t>
      </w:r>
      <w:r>
        <w:rPr>
          <w:rFonts w:ascii="Times New Roman" w:hAnsi="Times New Roman" w:eastAsia="Times New Roman" w:cs="Times New Roman"/>
          <w:sz w:val="20"/>
        </w:rPr>
        <w:t xml:space="preserve">$2,500,000</w:t>
      </w:r>
      <w:r>
        <w:rPr>
          <w:rFonts w:ascii="Times New Roman" w:hAnsi="Times New Roman" w:eastAsia="Times New Roman" w:cs="Times New Roman"/>
          <w:sz w:val="20"/>
        </w:rPr>
        <w:t xml:space="preserve"> contingent payments to be </w:t>
      </w:r>
      <w:r>
        <w:rPr>
          <w:rFonts w:ascii="Times New Roman" w:hAnsi="Times New Roman" w:eastAsia="Times New Roman" w:cs="Times New Roman"/>
          <w:sz w:val="20"/>
        </w:rPr>
        <w:t xml:space="preserve">$230,000</w:t>
      </w:r>
      <w:r>
        <w:rPr>
          <w:rFonts w:ascii="Times New Roman" w:hAnsi="Times New Roman" w:eastAsia="Times New Roman" w:cs="Times New Roman"/>
          <w:sz w:val="20"/>
        </w:rPr>
        <w:t xml:space="preserve">. The fair value of the contingent performance payments is required to be revalued each quarter and is calculated using a Monte-Carlo simulation to simulate revenue over the future periods. Since the contingent consideration has an option like structure, a risk-neutral framework is considered appropriate for the valuation. The Company started with a risk-adjusted measure of forecasted revenue (using a risk-adjusted discount rate of </w:t>
      </w:r>
      <w:r>
        <w:rPr>
          <w:rFonts w:ascii="Times New Roman" w:hAnsi="Times New Roman" w:eastAsia="Times New Roman" w:cs="Times New Roman"/>
          <w:sz w:val="20"/>
        </w:rPr>
        <w:t xml:space="preserve">17%</w:t>
      </w:r>
      <w:r>
        <w:rPr>
          <w:rFonts w:ascii="Times New Roman" w:hAnsi="Times New Roman" w:eastAsia="Times New Roman" w:cs="Times New Roman"/>
          <w:sz w:val="20"/>
        </w:rPr>
        <w:t xml:space="preserve">) and assumed it will follow geometric Brownian motion to simulate the revenue at future dates. Once the initial revenue was estimated based off of projections, payout was calculated for each year and present valued to incorporate the credit risk associated with these payments. The Company's fair value conclusion was based on the average payment from </w:t>
      </w:r>
      <w:r>
        <w:rPr>
          <w:rFonts w:ascii="Times New Roman" w:hAnsi="Times New Roman" w:eastAsia="Times New Roman" w:cs="Times New Roman"/>
          <w:sz w:val="20"/>
        </w:rPr>
        <w:t xml:space="preserve">250,000</w:t>
      </w:r>
      <w:r>
        <w:rPr>
          <w:rFonts w:ascii="Times New Roman" w:hAnsi="Times New Roman" w:eastAsia="Times New Roman" w:cs="Times New Roman"/>
          <w:sz w:val="20"/>
        </w:rPr>
        <w:t xml:space="preserve"> simulation trials. The volatility used for the simulation was </w:t>
      </w:r>
      <w:r>
        <w:rPr>
          <w:rFonts w:ascii="Times New Roman" w:hAnsi="Times New Roman" w:eastAsia="Times New Roman" w:cs="Times New Roman"/>
          <w:sz w:val="20"/>
        </w:rPr>
        <w:t xml:space="preserve">45%</w:t>
      </w:r>
      <w:r>
        <w:rPr>
          <w:rFonts w:ascii="Times New Roman" w:hAnsi="Times New Roman" w:eastAsia="Times New Roman" w:cs="Times New Roman"/>
          <w:sz w:val="20"/>
        </w:rPr>
        <w:t xml:space="preserve">. The interest rate used for the simulation was the Company's current borrowing rate of prime plus </w:t>
      </w:r>
      <w:r>
        <w:rPr>
          <w:rFonts w:ascii="Times New Roman" w:hAnsi="Times New Roman" w:eastAsia="Times New Roman" w:cs="Times New Roman"/>
          <w:sz w:val="20"/>
        </w:rPr>
        <w:t xml:space="preserve">2%</w:t>
      </w:r>
      <w:r>
        <w:rPr>
          <w:rFonts w:ascii="Times New Roman" w:hAnsi="Times New Roman" w:eastAsia="Times New Roman" w:cs="Times New Roman"/>
          <w:sz w:val="20"/>
        </w:rPr>
        <w:t xml:space="preserve"> at the time of valuation. Due to the adjustment in payments pursuant to the second amendment to the ZenContent Stock Purchase Agreement, the Company revalued its estimate of the contingent performance payment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to be </w:t>
      </w:r>
      <w:r>
        <w:rPr>
          <w:rFonts w:ascii="Times New Roman" w:hAnsi="Times New Roman" w:eastAsia="Times New Roman" w:cs="Times New Roman"/>
          <w:sz w:val="20"/>
        </w:rPr>
        <w:t xml:space="preserve">$99,818</w:t>
      </w:r>
      <w:r>
        <w:rPr>
          <w:rFonts w:ascii="Times New Roman" w:hAnsi="Times New Roman" w:eastAsia="Times New Roman" w:cs="Times New Roman"/>
          <w:sz w:val="20"/>
        </w:rPr>
        <w:t xml:space="preserve"> and determined that current fair value of the contingent performance payments was </w:t>
      </w:r>
      <w:r>
        <w:rPr>
          <w:rFonts w:ascii="Times New Roman" w:hAnsi="Times New Roman" w:eastAsia="Times New Roman" w:cs="Times New Roman"/>
          <w:sz w:val="20"/>
        </w:rPr>
        <w:t xml:space="preserve">$88,055</w:t>
      </w:r>
      <w:r>
        <w:rPr>
          <w:rFonts w:ascii="Times New Roman" w:hAnsi="Times New Roman" w:eastAsia="Times New Roman" w:cs="Times New Roman"/>
          <w:sz w:val="20"/>
        </w:rPr>
        <w:t xml:space="preserve"> compared to </w:t>
      </w:r>
      <w:r>
        <w:rPr>
          <w:rFonts w:ascii="Times New Roman" w:hAnsi="Times New Roman" w:eastAsia="Times New Roman" w:cs="Times New Roman"/>
          <w:sz w:val="20"/>
        </w:rPr>
        <w:t xml:space="preserve">$744,510</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December 31, 2017</w:t>
      </w:r>
      <w:r>
        <w:rPr>
          <w:rFonts w:ascii="Times New Roman" w:hAnsi="Times New Roman" w:eastAsia="Times New Roman" w:cs="Times New Roman"/>
          <w:sz w:val="20"/>
        </w:rPr>
        <w:t xml:space="preserve">.  The change in the estimated fair value of contingent performance payable resulted in a </w:t>
      </w:r>
      <w:r>
        <w:rPr>
          <w:rFonts w:ascii="Times New Roman" w:hAnsi="Times New Roman" w:eastAsia="Times New Roman" w:cs="Times New Roman"/>
          <w:sz w:val="20"/>
        </w:rPr>
        <w:t xml:space="preserve">$646,637</w:t>
      </w:r>
      <w:r>
        <w:rPr>
          <w:rFonts w:ascii="Times New Roman" w:hAnsi="Times New Roman" w:eastAsia="Times New Roman" w:cs="Times New Roman"/>
          <w:sz w:val="20"/>
        </w:rPr>
        <w:t xml:space="preserve"> decrease in general and administrative expense in the Company's consolidated statement of operations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Of this amount, </w:t>
      </w:r>
      <w:r>
        <w:rPr>
          <w:rFonts w:ascii="Times New Roman" w:hAnsi="Times New Roman" w:eastAsia="Times New Roman" w:cs="Times New Roman"/>
          <w:sz w:val="20"/>
        </w:rPr>
        <w:t xml:space="preserve">$160,890</w:t>
      </w:r>
      <w:r>
        <w:rPr>
          <w:rFonts w:ascii="Times New Roman" w:hAnsi="Times New Roman" w:eastAsia="Times New Roman" w:cs="Times New Roman"/>
          <w:sz w:val="20"/>
        </w:rPr>
        <w:t xml:space="preserve"> was allocated to compensation expense and </w:t>
      </w:r>
      <w:r>
        <w:rPr>
          <w:rFonts w:ascii="Times New Roman" w:hAnsi="Times New Roman" w:eastAsia="Times New Roman" w:cs="Times New Roman"/>
          <w:sz w:val="20"/>
        </w:rPr>
        <w:t xml:space="preserve">$485,747</w:t>
      </w:r>
      <w:r>
        <w:rPr>
          <w:rFonts w:ascii="Times New Roman" w:hAnsi="Times New Roman" w:eastAsia="Times New Roman" w:cs="Times New Roman"/>
          <w:sz w:val="20"/>
        </w:rPr>
        <w:t xml:space="preserve"> was allocated as a change in the fair value of the contingent performance payments. The Company revalued its estimate of the contingent performance payment as of </w:t>
      </w:r>
      <w:r>
        <w:rPr>
          <w:rFonts w:ascii="Times New Roman" w:hAnsi="Times New Roman" w:eastAsia="Times New Roman" w:cs="Times New Roman"/>
          <w:sz w:val="20"/>
        </w:rPr>
        <w:t xml:space="preserve">September 30, 2017</w:t>
      </w:r>
      <w:r>
        <w:rPr>
          <w:rFonts w:ascii="Times New Roman" w:hAnsi="Times New Roman" w:eastAsia="Times New Roman" w:cs="Times New Roman"/>
          <w:sz w:val="20"/>
        </w:rPr>
        <w:t xml:space="preserve"> based on actual results and projections at the time and determined that current fair value of the contingent performance payments was </w:t>
      </w:r>
      <w:r>
        <w:rPr>
          <w:rFonts w:ascii="Times New Roman" w:hAnsi="Times New Roman" w:eastAsia="Times New Roman" w:cs="Times New Roman"/>
          <w:sz w:val="20"/>
        </w:rPr>
        <w:t xml:space="preserve">$342,861</w:t>
      </w:r>
      <w:r>
        <w:rPr>
          <w:rFonts w:ascii="Times New Roman" w:hAnsi="Times New Roman" w:eastAsia="Times New Roman" w:cs="Times New Roman"/>
          <w:sz w:val="20"/>
        </w:rPr>
        <w:t xml:space="preserve"> compared to </w:t>
      </w:r>
      <w:r>
        <w:rPr>
          <w:rFonts w:ascii="Times New Roman" w:hAnsi="Times New Roman" w:eastAsia="Times New Roman" w:cs="Times New Roman"/>
          <w:sz w:val="20"/>
        </w:rPr>
        <w:t xml:space="preserve">$324,000</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December 31, 2016</w:t>
      </w:r>
      <w:r>
        <w:rPr>
          <w:rFonts w:ascii="Times New Roman" w:hAnsi="Times New Roman" w:eastAsia="Times New Roman" w:cs="Times New Roman"/>
          <w:sz w:val="20"/>
        </w:rPr>
        <w:t xml:space="preserve">. The change in the estimated fair value of contingent performance payable resulted in a </w:t>
      </w:r>
      <w:r>
        <w:rPr>
          <w:rFonts w:ascii="Times New Roman" w:hAnsi="Times New Roman" w:eastAsia="Times New Roman" w:cs="Times New Roman"/>
          <w:sz w:val="20"/>
        </w:rPr>
        <w:t xml:space="preserve">$184,444</w:t>
      </w:r>
      <w:r>
        <w:rPr>
          <w:rFonts w:ascii="Times New Roman" w:hAnsi="Times New Roman" w:eastAsia="Times New Roman" w:cs="Times New Roman"/>
          <w:sz w:val="20"/>
        </w:rPr>
        <w:t xml:space="preserve"> increase in general and administrative expense in the Company's consolidated statement of operations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2017</w:t>
      </w:r>
      <w:r>
        <w:rPr>
          <w:rFonts w:ascii="Times New Roman" w:hAnsi="Times New Roman" w:eastAsia="Times New Roman" w:cs="Times New Roman"/>
          <w:sz w:val="20"/>
        </w:rPr>
        <w:t xml:space="preserve">.  Of this amount, </w:t>
      </w:r>
      <w:r>
        <w:rPr>
          <w:rFonts w:ascii="Times New Roman" w:hAnsi="Times New Roman" w:eastAsia="Times New Roman" w:cs="Times New Roman"/>
          <w:sz w:val="20"/>
        </w:rPr>
        <w:t xml:space="preserve">$122,444</w:t>
      </w:r>
      <w:r>
        <w:rPr>
          <w:rFonts w:ascii="Times New Roman" w:hAnsi="Times New Roman" w:eastAsia="Times New Roman" w:cs="Times New Roman"/>
          <w:sz w:val="20"/>
        </w:rPr>
        <w:t xml:space="preserve"> was allocated to compensation expense and a gain of </w:t>
      </w:r>
      <w:r>
        <w:rPr>
          <w:rFonts w:ascii="Times New Roman" w:hAnsi="Times New Roman" w:eastAsia="Times New Roman" w:cs="Times New Roman"/>
          <w:sz w:val="20"/>
        </w:rPr>
        <w:t xml:space="preserve">$62,000</w:t>
      </w:r>
      <w:r>
        <w:rPr>
          <w:rFonts w:ascii="Times New Roman" w:hAnsi="Times New Roman" w:eastAsia="Times New Roman" w:cs="Times New Roman"/>
          <w:sz w:val="20"/>
        </w:rPr>
        <w:t xml:space="preserve"> was allocated as a change in the fair value of the contingent performance payments.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3" w:type="default"/>
          <w:footerReference r:id="rId14" w:type="default"/>
        </w:sect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bookmarkStart w:id="42612" w:name="NOTE_3___Intangible_Assets"/>
      <w:bookmarkEnd w:id="42612"/>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3. 	INTANGIBLE ASSETS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identifiable intangible assets consists of the following assets:	</w:t>
      </w:r>
    </w:p>
    <w:tbl>
      <w:tblPr>
        <w:tblW w:type="dxa" w:w="10240"/>
        <w:tblLayout w:type="fixed"/>
        <w:jc w:val="center"/>
      </w:tblPr>
      <w:tblGrid>
        <w:gridCol w:w="4580"/>
        <w:gridCol w:w="110"/>
        <w:gridCol w:w="1013"/>
        <w:gridCol w:w="77"/>
        <w:gridCol w:w="110"/>
        <w:gridCol w:w="1013"/>
        <w:gridCol w:w="77"/>
        <w:gridCol w:w="80"/>
        <w:gridCol w:w="110"/>
        <w:gridCol w:w="1013"/>
        <w:gridCol w:w="77"/>
        <w:gridCol w:w="110"/>
        <w:gridCol w:w="1013"/>
        <w:gridCol w:w="77"/>
        <w:gridCol w:w="80"/>
        <w:gridCol w:w="700"/>
      </w:tblGrid>
      <w:tr>
        <w:trPr>
          <w:trHeight w:hRule="exact" w:val="560"/>
        </w:trPr>
        <w:tc>
          <w:tcPr>
            <w:tcW w:type="dxa" w:w="45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Balance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Balance</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Accumulated Amortization</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Accumulated Amortization</w:t>
            </w:r>
          </w:p>
        </w:tc>
        <w:tc>
          <w:tcPr>
            <w:tcMar>
              <w:left w:type="dxa" w:w="0"/>
              <w:right w:type="dxa" w:w="60"/>
            </w:tcMar>
            <w:tcBorders>
              <w:bottom w:val="single" w:sz="8"/>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Balance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Balance</w:t>
            </w:r>
          </w:p>
        </w:tc>
        <w:tc>
          <w:tcPr>
            <w:tcMar>
              <w:left w:type="dxa" w:w="0"/>
              <w:right w:type="dxa" w:w="60"/>
            </w:tcMar>
            <w:tcBorders>
              <w:bottom w:val="single" w:sz="8"/>
            </w:tcBorders>
            <w:hMerge w:val="continue"/>
          </w:tcPr>
          <w:p/>
        </w:tc>
        <w:tc>
          <w:tcPr>
            <w:tcW w:type="dxa" w:w="0"/>
            <w:tcMar>
              <w:left w:type="dxa" w:w="60"/>
              <w:right w:type="dxa" w:w="40"/>
            </w:tcMar>
            <w:tcBorders>
              <w:bottom w:val="single" w:sz="8"/>
            </w:tcBorders>
            <w:vAlign w:val="bottom"/>
            <w:hMerge w:val="restart"/>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Accumulated Amortization</w:t>
            </w:r>
          </w:p>
        </w:tc>
        <w:tc>
          <w:tcPr>
            <w:tcMar>
              <w:left w:type="dxa" w:w="60"/>
              <w:right w:type="dxa" w:w="40"/>
            </w:tcMar>
            <w:tcBorders>
              <w:bottom w:val="single" w:sz="8"/>
            </w:tcBorders>
            <w:hMerge w:val="continue"/>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Accumulated Amortization</w:t>
            </w:r>
          </w:p>
        </w:tc>
        <w:tc>
          <w:tcPr>
            <w:tcMar>
              <w:left w:type="dxa" w:w="0"/>
              <w:right w:type="dxa" w:w="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700"/>
            <w:tcMar>
              <w:left w:type="dxa" w:w="60"/>
              <w:right w:type="dxa" w:w="60"/>
            </w:tcMar>
            <w:v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Useful Life         (in years)</w:t>
            </w:r>
          </w:p>
        </w:tc>
      </w:tr>
      <w:tr>
        <w:trPr>
          <w:trHeight w:hRule="exact" w:val="320"/>
        </w:trPr>
        <w:tc>
          <w:tcPr>
            <w:tcW w:type="dxa" w:w="4580"/>
            <w:tcMar>
              <w:left w:type="dxa" w:w="6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2018</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2018</w:t>
            </w:r>
          </w:p>
        </w:tc>
        <w:tc>
          <w:tcPr>
            <w:tcMar>
              <w:left w:type="dxa" w:w="0"/>
              <w:right w:type="dxa" w:w="6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 2017</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 2017</w:t>
            </w:r>
          </w:p>
        </w:tc>
        <w:tc>
          <w:tcPr>
            <w:tcMar>
              <w:left w:type="dxa" w:w="0"/>
              <w:right w:type="dxa" w:w="6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700"/>
            <w:tcMar>
              <w:left w:type="dxa" w:w="60"/>
              <w:right w:type="dxa" w:w="0"/>
            </w:tcMar>
            <w:vMerge w:val="continue"/>
            <w:tcBorders>
              <w:bottom w:val="single" w:sz="8"/>
            </w:tcBorders>
            <w:vAlign w:val="bottom"/>
          </w:tcPr>
          <w:p>
            <w:pPr>
              <w:jc w:val="left"/>
              <w:keepNext/>
              <w:keepLines/>
              <w:spacing w:before="40" w:after="40" w:line="240" w:lineRule="auto"/>
              <w:rPr/>
            </w:pPr>
            <w:r>
              <w:rPr/>
            </w:r>
          </w:p>
        </w:tc>
      </w:tr>
      <w:tr>
        <w:trPr>
          <w:trHeight w:hRule="exact" w:val="280"/>
        </w:trPr>
        <w:tc>
          <w:tcPr>
            <w:tcW w:type="dxa" w:w="4580"/>
            <w:tcMar>
              <w:left w:type="dxa" w:w="60"/>
              <w:right w:type="dxa" w:w="40"/>
            </w:tcMar>
            <w:vMerge w:val="restart"/>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Content provider networks</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160,000</w:t>
            </w:r>
          </w:p>
        </w:tc>
        <w:tc>
          <w:tcPr>
            <w:tcW w:type="dxa" w:w="77"/>
            <w:tcMar>
              <w:left w:type="dxa" w:w="0"/>
              <w:right w:type="dxa" w:w="0"/>
            </w:tcMar>
            <w:tcBorders>
              <w:top w:val="single" w:sz="8" w:space="0"/>
            </w:tcBorders>
          </w:tcP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160,000</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160,000</w:t>
            </w:r>
          </w:p>
        </w:tc>
        <w:tc>
          <w:tcPr>
            <w:tcW w:type="dxa" w:w="77"/>
            <w:tcMar>
              <w:left w:type="dxa" w:w="0"/>
              <w:right w:type="dxa" w:w="0"/>
            </w:tcMar>
            <w:tcBorders>
              <w:top w:val="single" w:sz="8" w:space="0"/>
            </w:tcBorders>
          </w:tcP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122,083</w:t>
            </w:r>
          </w:p>
        </w:tc>
        <w:tc>
          <w:tcPr>
            <w:tcW w:type="dxa" w:w="77"/>
            <w:tcMar>
              <w:left w:type="dxa" w:w="0"/>
              <w:right w:type="dxa" w:w="0"/>
            </w:tcMar>
            <w:tcBorders>
              <w:top w:val="single" w:sz="8" w:space="0"/>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700"/>
            <w:tcMar>
              <w:left w:type="dxa" w:w="0"/>
              <w:right w:type="dxa" w:w="60"/>
            </w:tcMar>
            <w:tcBorders>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r>
      <w:tr>
        <w:trPr>
          <w:trHeight w:hRule="exact" w:val="280"/>
        </w:trPr>
        <w:tc>
          <w:tcPr>
            <w:tcW w:type="dxa" w:w="45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Trade names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87,000</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57,834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57,834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52,000</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52,000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70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r>
      <w:tr>
        <w:trPr>
          <w:trHeight w:hRule="exact" w:val="280"/>
        </w:trPr>
        <w:tc>
          <w:tcPr>
            <w:tcW w:type="dxa" w:w="45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Developed technology</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1,130,000</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339,667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339,667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530,000</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240,167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240,167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70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w:t>
            </w:r>
          </w:p>
        </w:tc>
      </w:tr>
      <w:tr>
        <w:trPr>
          <w:trHeight w:hRule="exact" w:val="280"/>
        </w:trPr>
        <w:tc>
          <w:tcPr>
            <w:tcW w:type="dxa" w:w="45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Self-service content customers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2,810,000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2,810,000</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354,444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354,444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210,000</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204,167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204,167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70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w:t>
            </w:r>
          </w:p>
        </w:tc>
      </w:tr>
      <w:tr>
        <w:trPr>
          <w:trHeight w:hRule="exact" w:val="280"/>
        </w:trPr>
        <w:tc>
          <w:tcPr>
            <w:tcW w:type="dxa" w:w="45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Managed content customers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2,140,000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2,140,000</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2,042,778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2,042,778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2,140,000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2,140,000</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1,905,555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1,905,555</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70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w:t>
            </w:r>
          </w:p>
        </w:tc>
      </w:tr>
      <w:tr>
        <w:trPr>
          <w:trHeight w:hRule="exact" w:val="280"/>
        </w:trPr>
        <w:tc>
          <w:tcPr>
            <w:tcW w:type="dxa" w:w="45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Domains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91,558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91,558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66,588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66,588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70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w:t>
            </w:r>
          </w:p>
        </w:tc>
      </w:tr>
      <w:tr>
        <w:trPr>
          <w:trHeight w:hRule="exact" w:val="300"/>
        </w:trPr>
        <w:tc>
          <w:tcPr>
            <w:tcW w:type="dxa" w:w="45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Embedded non-compete provision</w:t>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28,000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28,000</w:t>
            </w:r>
          </w:p>
        </w:tc>
        <w:tc>
          <w:tcPr>
            <w:tcW w:type="dxa" w:w="77"/>
            <w:tcMar>
              <w:left w:type="dxa" w:w="0"/>
              <w:right w:type="dxa" w:w="0"/>
            </w:tcMar>
            <w:tcBorders>
              <w:bottom w:val="single" w:sz="8"/>
            </w:tcBorders>
          </w:tcP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2,333</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2,333</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bottom w:val="single" w:sz="8"/>
            </w:tcBorders>
          </w:tcP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70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r>
      <w:tr>
        <w:trPr>
          <w:trHeight w:hRule="exact" w:val="500"/>
        </w:trPr>
        <w:tc>
          <w:tcPr>
            <w:tcW w:type="dxa" w:w="458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identifiable intangible assets</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6,521,469</w:t>
            </w:r>
          </w:p>
        </w:tc>
        <w:tc>
          <w:tcPr>
            <w:tcW w:type="dxa" w:w="77"/>
            <w:tcMar>
              <w:left w:type="dxa" w:w="0"/>
              <w:right w:type="dxa" w:w="0"/>
            </w:tcMar>
            <w:tcBorders>
              <w:top w:val="single" w:sz="8" w:space="0"/>
              <w:bottom w:val="double" w:sz="4"/>
            </w:tcBorders>
          </w:tcP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3,048,614</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3,258,469</w:t>
            </w:r>
          </w:p>
        </w:tc>
        <w:tc>
          <w:tcPr>
            <w:tcW w:type="dxa" w:w="77"/>
            <w:tcMar>
              <w:left w:type="dxa" w:w="0"/>
              <w:right w:type="dxa" w:w="0"/>
            </w:tcMar>
            <w:tcBorders>
              <w:top w:val="single" w:sz="8" w:space="0"/>
              <w:bottom w:val="double" w:sz="4"/>
            </w:tcBorders>
          </w:tcP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2,590,560</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700"/>
            <w:tcMar>
              <w:left w:type="dxa" w:w="0"/>
              <w:right w:type="dxa" w:w="60"/>
            </w:tcMar>
            <w:tcBorders/>
            <w:vAlign w:val="bottom"/>
          </w:tcPr>
          <w:p>
            <w:pPr>
              <w:jc w:val="left"/>
              <w:keepLines/>
              <w:spacing w:before="40" w:after="40" w:line="240" w:lineRule="auto"/>
              <w:rPr/>
            </w:pPr>
            <w:r>
              <w:rPr/>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Total identifiable intangible assets from the purchase price allocations from the Company's acquisitions and other acquired assets net of accumulated amortization thereon consists of the following:</w:t>
      </w:r>
    </w:p>
    <w:tbl>
      <w:tblPr>
        <w:tblW w:type="dxa" w:w="10240"/>
        <w:tblLayout w:type="fixed"/>
        <w:jc w:val="center"/>
      </w:tblPr>
      <w:tblGrid>
        <w:gridCol w:w="7560"/>
        <w:gridCol w:w="110"/>
        <w:gridCol w:w="1113"/>
        <w:gridCol w:w="77"/>
        <w:gridCol w:w="80"/>
        <w:gridCol w:w="110"/>
        <w:gridCol w:w="1113"/>
        <w:gridCol w:w="77"/>
      </w:tblGrid>
      <w:tr>
        <w:trPr>
          <w:trHeight w:hRule="exact" w:val="500"/>
        </w:trPr>
        <w:tc>
          <w:tcPr>
            <w:tcW w:type="dxa" w:w="756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2018</w:t>
            </w:r>
          </w:p>
        </w:tc>
        <w:tc>
          <w:tcPr>
            <w:tcMar>
              <w:left w:type="dxa" w:w="0"/>
              <w:right w:type="dxa" w:w="60"/>
            </w:tcMar>
            <w:tcBorders>
              <w:bottom w:val="single" w:sz="8"/>
            </w:tcBorders>
            <w:hMerge w:val="continue"/>
          </w:tcPr>
          <w:p/>
        </w:tc>
        <w:tc>
          <w:tcPr>
            <w:tcW w:type="dxa" w:w="80"/>
            <w:tcMar>
              <w:left w:type="dxa" w:w="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w:t>
              <w:br w:type="textWrapping"/>
              <w:t xml:space="preserve"> 2017</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w:t>
              <w:br w:type="textWrapping"/>
              <w:t xml:space="preserve"> 2017</w:t>
            </w:r>
          </w:p>
        </w:tc>
        <w:tc>
          <w:tcPr>
            <w:tcMar>
              <w:left w:type="dxa" w:w="0"/>
              <w:right w:type="dxa" w:w="60"/>
            </w:tcMar>
            <w:tcBorders>
              <w:bottom w:val="single" w:sz="8"/>
            </w:tcBorders>
            <w:hMerge w:val="continue"/>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Ebyline Intangible Assets</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2,370,000</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2,370,000</w:t>
            </w:r>
          </w:p>
        </w:tc>
        <w:tc>
          <w:tcPr>
            <w:tcW w:type="dxa" w:w="77"/>
            <w:tcMar>
              <w:left w:type="dxa" w:w="0"/>
              <w:right w:type="dxa" w:w="0"/>
            </w:tcMar>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ZenContent Intangible Assets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722,000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722,000</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722,000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722,000</w:t>
            </w:r>
          </w:p>
        </w:tc>
        <w:tc>
          <w:tcPr>
            <w:tcW w:type="dxa" w:w="77"/>
            <w:tcMar>
              <w:left w:type="dxa" w:w="0"/>
              <w:right w:type="dxa" w:w="0"/>
            </w:tcMar>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TapInfluence Intangible Assets (preliminary)</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3,263,000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3,263,000</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Domains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166,469</w:t>
            </w:r>
          </w:p>
        </w:tc>
        <w:tc>
          <w:tcPr>
            <w:tcW w:type="dxa" w:w="77"/>
            <w:tcMar>
              <w:left w:type="dxa" w:w="0"/>
              <w:right w:type="dxa" w:w="0"/>
            </w:tcMar>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Intangible Assets</w:t>
            </w:r>
          </w:p>
        </w:tc>
        <w:tc>
          <w:tcPr>
            <w:tcW w:type="dxa" w:w="12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6,521,469</w:t>
            </w:r>
          </w:p>
        </w:tc>
        <w:tc>
          <w:tcPr>
            <w:tcMar>
              <w:left w:type="dxa" w:w="0"/>
              <w:right w:type="dxa" w:w="0"/>
            </w:tcMar>
            <w:tcBorders>
              <w:top w:val="single" w:sz="8" w:space="0"/>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6,521,469</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3,258,469</w:t>
            </w:r>
          </w:p>
        </w:tc>
        <w:tc>
          <w:tcPr>
            <w:tcMar>
              <w:left w:type="dxa" w:w="0"/>
              <w:right w:type="dxa" w:w="0"/>
            </w:tcMar>
            <w:tcBorders>
              <w:top w:val="single" w:sz="8" w:space="0"/>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3,258,469</w:t>
            </w:r>
          </w:p>
        </w:tc>
        <w:tc>
          <w:tcPr>
            <w:tcW w:type="dxa" w:w="77"/>
            <w:tcMar>
              <w:left w:type="dxa" w:w="0"/>
              <w:right w:type="dxa" w:w="0"/>
            </w:tcMar>
            <w:tcBorders>
              <w:top w:val="single" w:sz="8" w:space="0"/>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Accumulated amortization</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(3,048,614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(3,048,614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(2,590,560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(2,590,560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756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Intangible Assets, net</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3,472,855</w:t>
            </w:r>
          </w:p>
        </w:tc>
        <w:tc>
          <w:tcPr>
            <w:tcW w:type="dxa" w:w="77"/>
            <w:tcMar>
              <w:left w:type="dxa" w:w="0"/>
              <w:right w:type="dxa" w:w="0"/>
            </w:tcMar>
            <w:tcBorders>
              <w:top w:val="single" w:sz="8" w:space="0"/>
              <w:bottom w:val="double" w:sz="4"/>
            </w:tcBorders>
          </w:tcPr>
          <w:p/>
        </w:tc>
        <w:tc>
          <w:tcPr>
            <w:tcW w:type="dxa" w:w="8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667,909</w:t>
            </w:r>
          </w:p>
        </w:tc>
        <w:tc>
          <w:tcPr>
            <w:tcW w:type="dxa" w:w="77"/>
            <w:tcMar>
              <w:left w:type="dxa" w:w="0"/>
              <w:right w:type="dxa" w:w="0"/>
            </w:tcMar>
            <w:tcBorders>
              <w:top w:val="single" w:sz="8" w:space="0"/>
              <w:bottom w:val="double" w:sz="4"/>
            </w:tcBorders>
          </w:tcP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is amortizing the identifiable intangible assets over a weighted average period of </w:t>
      </w:r>
      <w:r>
        <w:rPr>
          <w:rFonts w:ascii="Times New Roman" w:hAnsi="Times New Roman" w:eastAsia="Times New Roman" w:cs="Times New Roman"/>
          <w:sz w:val="20"/>
        </w:rPr>
        <w:t xml:space="preserve">three years</w:t>
      </w:r>
      <w:r>
        <w:rPr>
          <w:rFonts w:ascii="Times New Roman" w:hAnsi="Times New Roman" w:eastAsia="Times New Roman" w:cs="Times New Roman"/>
          <w:sz w:val="20"/>
        </w:rPr>
        <w:t xml:space="preserve">. Amortization expense recorded in depreciation and amortization expense in the accompanying consolidated statements of operations was </w:t>
      </w:r>
      <w:r>
        <w:rPr>
          <w:rFonts w:ascii="Times New Roman" w:hAnsi="Times New Roman" w:eastAsia="Times New Roman" w:cs="Times New Roman"/>
          <w:sz w:val="20"/>
        </w:rPr>
        <w:t xml:space="preserve">$242,018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$247,907</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Amortization expense recorded in depreciation and amortization expense in the accompanying consolidated statements of operations was </w:t>
      </w:r>
      <w:r>
        <w:rPr>
          <w:rFonts w:ascii="Times New Roman" w:hAnsi="Times New Roman" w:eastAsia="Times New Roman" w:cs="Times New Roman"/>
          <w:sz w:val="20"/>
        </w:rPr>
        <w:t xml:space="preserve">$458,054</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$747,720</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The portion of this amortization expense specifically related to the costs of acquired technology for its platforms that is presented separately from cost of services was </w:t>
      </w:r>
      <w:r>
        <w:rPr>
          <w:rFonts w:ascii="Times New Roman" w:hAnsi="Times New Roman" w:eastAsia="Times New Roman" w:cs="Times New Roman"/>
          <w:sz w:val="20"/>
        </w:rPr>
        <w:t xml:space="preserve">$99,500</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The portion of this amortization expense specifically related to the costs of acquired technology for its platforms that is presented separately from cost of services was </w:t>
      </w:r>
      <w:r>
        <w:rPr>
          <w:rFonts w:ascii="Times New Roman" w:hAnsi="Times New Roman" w:eastAsia="Times New Roman" w:cs="Times New Roman"/>
          <w:sz w:val="20"/>
        </w:rPr>
        <w:t xml:space="preserve">$46,500</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future estimated amortization expense related to identifiable intangible assets over the next five years is set forth in the following schedule:</w:t>
      </w:r>
    </w:p>
    <w:tbl>
      <w:tblPr>
        <w:tblW w:type="dxa" w:w="10240"/>
        <w:tblLayout w:type="fixed"/>
        <w:jc w:val="justify"/>
      </w:tblPr>
      <w:tblGrid>
        <w:gridCol w:w="8640"/>
        <w:gridCol w:w="110"/>
        <w:gridCol w:w="1413"/>
        <w:gridCol w:w="77"/>
      </w:tblGrid>
      <w:tr>
        <w:trPr>
          <w:trHeight w:hRule="exact" w:val="500"/>
        </w:trPr>
        <w:tc>
          <w:tcPr>
            <w:tcW w:type="dxa" w:w="864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Year ending December 31:</w:t>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Amortization Expense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Amortization Expense</w:t>
            </w:r>
          </w:p>
        </w:tc>
        <w:tc>
          <w:tcPr>
            <w:tcMar>
              <w:left w:type="dxa" w:w="0"/>
              <w:right w:type="dxa" w:w="60"/>
            </w:tcMar>
            <w:tcBorders>
              <w:bottom w:val="single" w:sz="8"/>
            </w:tcBorders>
            <w:hMerge w:val="continue"/>
          </w:tcPr>
          <w:p/>
        </w:tc>
      </w:tr>
      <w:tr>
        <w:trPr>
          <w:trHeight w:hRule="exact" w:val="300"/>
        </w:trPr>
        <w:tc>
          <w:tcPr>
            <w:tcW w:type="dxa" w:w="86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 (three months remaining)</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4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322,907</w:t>
            </w:r>
          </w:p>
        </w:tc>
        <w:tc>
          <w:tcPr>
            <w:tcW w:type="dxa" w:w="77"/>
            <w:tcMar>
              <w:left w:type="dxa" w:w="0"/>
              <w:right w:type="dxa" w:w="0"/>
            </w:tcMar>
            <w:tcBorders>
              <w:top w:val="single" w:sz="8" w:space="0"/>
            </w:tcBorders>
          </w:tcPr>
          <w:p/>
        </w:tc>
      </w:tr>
      <w:tr>
        <w:trPr>
          <w:trHeight w:hRule="exact" w:val="300"/>
        </w:trPr>
        <w:tc>
          <w:tcPr>
            <w:tcW w:type="dxa" w:w="86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W w:type="dxa" w:w="1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1,228,432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1,228,432</w:t>
            </w:r>
          </w:p>
        </w:tc>
        <w:tc>
          <w:tcPr>
            <w:tcW w:type="dxa" w:w="77"/>
            <w:tcMar>
              <w:left w:type="dxa" w:w="0"/>
              <w:right w:type="dxa" w:w="0"/>
            </w:tcMar>
            <w:tcBorders/>
          </w:tcPr>
          <w:p/>
        </w:tc>
      </w:tr>
      <w:tr>
        <w:trPr>
          <w:trHeight w:hRule="exact" w:val="300"/>
        </w:trPr>
        <w:tc>
          <w:tcPr>
            <w:tcW w:type="dxa" w:w="86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2020</w:t>
            </w:r>
          </w:p>
        </w:tc>
        <w:tc>
          <w:tcPr>
            <w:tcW w:type="dxa" w:w="1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1,079,126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1,079,126</w:t>
            </w:r>
          </w:p>
        </w:tc>
        <w:tc>
          <w:tcPr>
            <w:tcW w:type="dxa" w:w="77"/>
            <w:tcMar>
              <w:left w:type="dxa" w:w="0"/>
              <w:right w:type="dxa" w:w="0"/>
            </w:tcMar>
            <w:tcBorders/>
          </w:tcPr>
          <w:p/>
        </w:tc>
      </w:tr>
      <w:tr>
        <w:trPr>
          <w:trHeight w:hRule="exact" w:val="300"/>
        </w:trPr>
        <w:tc>
          <w:tcPr>
            <w:tcW w:type="dxa" w:w="86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2021</w:t>
            </w:r>
          </w:p>
        </w:tc>
        <w:tc>
          <w:tcPr>
            <w:tcW w:type="dxa" w:w="1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652,390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652,390</w:t>
            </w:r>
          </w:p>
        </w:tc>
        <w:tc>
          <w:tcPr>
            <w:tcW w:type="dxa" w:w="77"/>
            <w:tcMar>
              <w:left w:type="dxa" w:w="0"/>
              <w:right w:type="dxa" w:w="0"/>
            </w:tcMar>
            <w:tcBorders/>
          </w:tcPr>
          <w:p/>
        </w:tc>
      </w:tr>
      <w:tr>
        <w:trPr>
          <w:trHeight w:hRule="exact" w:val="300"/>
        </w:trPr>
        <w:tc>
          <w:tcPr>
            <w:tcW w:type="dxa" w:w="86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2022</w:t>
            </w:r>
          </w:p>
        </w:tc>
        <w:tc>
          <w:tcPr>
            <w:tcW w:type="dxa" w:w="1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120,000</w:t>
            </w:r>
          </w:p>
        </w:tc>
        <w:tc>
          <w:tcPr>
            <w:tcW w:type="dxa" w:w="77"/>
            <w:tcMar>
              <w:left w:type="dxa" w:w="0"/>
              <w:right w:type="dxa" w:w="0"/>
            </w:tcMar>
            <w:tcBorders/>
          </w:tcPr>
          <w:p/>
        </w:tc>
      </w:tr>
      <w:tr>
        <w:trPr>
          <w:trHeight w:hRule="exact" w:val="300"/>
        </w:trPr>
        <w:tc>
          <w:tcPr>
            <w:tcW w:type="dxa" w:w="86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2023</w:t>
            </w:r>
          </w:p>
        </w:tc>
        <w:tc>
          <w:tcPr>
            <w:tcW w:type="dxa" w:w="1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70,000</w:t>
            </w:r>
          </w:p>
        </w:tc>
        <w:tc>
          <w:tcPr>
            <w:tcW w:type="dxa" w:w="77"/>
            <w:tcMar>
              <w:left w:type="dxa" w:w="0"/>
              <w:right w:type="dxa" w:w="0"/>
            </w:tcMar>
            <w:tcBorders/>
          </w:tcPr>
          <w:p/>
        </w:tc>
      </w:tr>
      <w:tr>
        <w:trPr>
          <w:trHeight w:hRule="exact" w:val="300"/>
        </w:trPr>
        <w:tc>
          <w:tcPr>
            <w:tcW w:type="dxa" w:w="864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4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3,472,855</w:t>
            </w:r>
          </w:p>
        </w:tc>
        <w:tc>
          <w:tcPr>
            <w:tcW w:type="dxa" w:w="77"/>
            <w:tcMar>
              <w:left w:type="dxa" w:w="0"/>
              <w:right w:type="dxa" w:w="0"/>
            </w:tcMar>
            <w:tcBorders>
              <w:top w:val="single" w:sz="8" w:space="0"/>
              <w:bottom w:val="double" w:sz="4"/>
            </w:tcBorders>
          </w:tcP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3" w:type="default"/>
          <w:footerReference r:id="rId15" w:type="default"/>
        </w:sect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4.  	SOFTWARE DEVELOPMENT COSTS</w:t>
      </w:r>
      <w:bookmarkStart w:id="15347" w:name="NOTE_4___Software_Development_Costs"/>
      <w:bookmarkEnd w:id="15347"/>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Software development costs consists of the following:</w:t>
      </w:r>
    </w:p>
    <w:tbl>
      <w:tblPr>
        <w:tblW w:type="dxa" w:w="10240"/>
        <w:tblLayout w:type="fixed"/>
        <w:jc w:val="center"/>
      </w:tblPr>
      <w:tblGrid>
        <w:gridCol w:w="7560"/>
        <w:gridCol w:w="110"/>
        <w:gridCol w:w="1113"/>
        <w:gridCol w:w="77"/>
        <w:gridCol w:w="80"/>
        <w:gridCol w:w="110"/>
        <w:gridCol w:w="1113"/>
        <w:gridCol w:w="77"/>
      </w:tblGrid>
      <w:tr>
        <w:trPr>
          <w:trHeight w:hRule="exact" w:val="500"/>
        </w:trPr>
        <w:tc>
          <w:tcPr>
            <w:tcW w:type="dxa" w:w="756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2018</w:t>
            </w:r>
          </w:p>
        </w:tc>
        <w:tc>
          <w:tcPr>
            <w:tcMar>
              <w:left w:type="dxa" w:w="0"/>
              <w:right w:type="dxa" w:w="60"/>
            </w:tcMar>
            <w:tcBorders>
              <w:bottom w:val="single" w:sz="8"/>
            </w:tcBorders>
            <w:hMerge w:val="continue"/>
          </w:tcPr>
          <w:p/>
        </w:tc>
        <w:tc>
          <w:tcPr>
            <w:tcW w:type="dxa" w:w="80"/>
            <w:tcMar>
              <w:left w:type="dxa" w:w="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w:t>
              <w:br w:type="textWrapping"/>
              <w:t xml:space="preserve"> 2017</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w:t>
              <w:br w:type="textWrapping"/>
              <w:t xml:space="preserve"> 2017</w:t>
            </w:r>
          </w:p>
        </w:tc>
        <w:tc>
          <w:tcPr>
            <w:tcMar>
              <w:left w:type="dxa" w:w="0"/>
              <w:right w:type="dxa" w:w="60"/>
            </w:tcMar>
            <w:tcBorders>
              <w:bottom w:val="single" w:sz="8"/>
            </w:tcBorders>
            <w:hMerge w:val="continue"/>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Software development costs</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2,048,278</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1,561,351</w:t>
            </w:r>
          </w:p>
        </w:tc>
        <w:tc>
          <w:tcPr>
            <w:tcW w:type="dxa" w:w="77"/>
            <w:tcMar>
              <w:left w:type="dxa" w:w="0"/>
              <w:right w:type="dxa" w:w="0"/>
            </w:tcMar>
            <w:tcBorders/>
          </w:tcPr>
          <w:p/>
        </w:tc>
      </w:tr>
      <w:tr>
        <w:trPr>
          <w:trHeight w:hRule="exact" w:val="300"/>
        </w:trPr>
        <w:tc>
          <w:tcPr>
            <w:tcW w:type="dxa" w:w="75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Less accumulated depreciation and amortization</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(814,290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(814,290</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(593,424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(593,424</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756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Software development costs, net</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1,233,988</w:t>
            </w:r>
          </w:p>
        </w:tc>
        <w:tc>
          <w:tcPr>
            <w:tcW w:type="dxa" w:w="77"/>
            <w:tcMar>
              <w:left w:type="dxa" w:w="0"/>
              <w:right w:type="dxa" w:w="0"/>
            </w:tcMar>
            <w:tcBorders>
              <w:top w:val="single" w:sz="8" w:space="0"/>
              <w:bottom w:val="double" w:sz="4"/>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967,927</w:t>
            </w:r>
          </w:p>
        </w:tc>
        <w:tc>
          <w:tcPr>
            <w:tcW w:type="dxa" w:w="77"/>
            <w:tcMar>
              <w:left w:type="dxa" w:w="0"/>
              <w:right w:type="dxa" w:w="0"/>
            </w:tcMar>
            <w:tcBorders>
              <w:top w:val="single" w:sz="8" w:space="0"/>
              <w:bottom w:val="double" w:sz="4"/>
            </w:tcBorders>
          </w:tcP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developed its web-based advertising and content exchange platform, </w:t>
      </w:r>
      <w:r>
        <w:rPr>
          <w:rFonts w:ascii="Times New Roman" w:hAnsi="Times New Roman" w:eastAsia="Times New Roman" w:cs="Times New Roman"/>
          <w:sz w:val="20"/>
          <w:i w:val="true"/>
        </w:rPr>
        <w:t xml:space="preserve">IZEAx, </w:t>
      </w:r>
      <w:r>
        <w:rPr>
          <w:rFonts w:ascii="Times New Roman" w:hAnsi="Times New Roman" w:eastAsia="Times New Roman" w:cs="Times New Roman"/>
          <w:sz w:val="20"/>
        </w:rPr>
        <w:t xml:space="preserve">to enable native advertising campaigns on a greater scale. The Company continues to add new features and additional functionality to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to facilitate the contracting, workflow, and delivery of direct content as well as provide for invoicing, collaborating, and direct payments for the Company's self-service customers. Research and planning phase costs are expensed as incurred. Costs incurred in the application and infrastructure development stage, including significant enhancements and upgrades, are capitalized. These costs include personnel and related employee benefits expenses for employees or consultants who are directly associated with and who devote time to software projects, and external direct costs of materials obtained in developing the software. We incurred and capitalized software development costs of </w:t>
      </w:r>
      <w:r>
        <w:rPr>
          <w:rFonts w:ascii="Times New Roman" w:hAnsi="Times New Roman" w:eastAsia="Times New Roman" w:cs="Times New Roman"/>
          <w:sz w:val="20"/>
        </w:rPr>
        <w:t xml:space="preserve">$486,927</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$85,460</w:t>
      </w: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As a result, the Company has capitalized a total of </w:t>
      </w:r>
      <w:r>
        <w:rPr>
          <w:rFonts w:ascii="Times New Roman" w:hAnsi="Times New Roman" w:eastAsia="Times New Roman" w:cs="Times New Roman"/>
          <w:sz w:val="20"/>
        </w:rPr>
        <w:t xml:space="preserve">$2,048,278</w:t>
      </w:r>
      <w:r>
        <w:rPr>
          <w:rFonts w:ascii="Times New Roman" w:hAnsi="Times New Roman" w:eastAsia="Times New Roman" w:cs="Times New Roman"/>
          <w:sz w:val="20"/>
        </w:rPr>
        <w:t xml:space="preserve"> in direct materials, consulting, payroll and benefit costs to its internal use software development costs in the consolidated balance sheet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The Company amortizes its software development costs, upon initial release of the software or additional features, on a straight-line basis over the estimated the useful life of </w:t>
      </w:r>
      <w:r>
        <w:rPr>
          <w:rFonts w:ascii="Times New Roman" w:hAnsi="Times New Roman" w:eastAsia="Times New Roman" w:cs="Times New Roman"/>
          <w:sz w:val="20"/>
        </w:rPr>
        <w:t xml:space="preserve">five years</w:t>
      </w:r>
      <w:r>
        <w:rPr>
          <w:rFonts w:ascii="Times New Roman" w:hAnsi="Times New Roman" w:eastAsia="Times New Roman" w:cs="Times New Roman"/>
          <w:sz w:val="20"/>
        </w:rPr>
        <w:t xml:space="preserve">, which is consistent with the amount of time its legacy platforms were in service.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Amortization expense on software development costs that is presented separately from cost of services and recorded in depreciation and amortization expense in the accompanying consolidated statements of operations was </w:t>
      </w:r>
      <w:r>
        <w:rPr>
          <w:rFonts w:ascii="Times New Roman" w:hAnsi="Times New Roman" w:eastAsia="Times New Roman" w:cs="Times New Roman"/>
          <w:sz w:val="20"/>
        </w:rPr>
        <w:t xml:space="preserve">$73,622</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$76,890</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Amortization expense on software development costs that is presented separately from cost of services and recorded in depreciation and amortization expense in the accompanying consolidated statements of operations was </w:t>
      </w:r>
      <w:r>
        <w:rPr>
          <w:rFonts w:ascii="Times New Roman" w:hAnsi="Times New Roman" w:eastAsia="Times New Roman" w:cs="Times New Roman"/>
          <w:sz w:val="20"/>
        </w:rPr>
        <w:t xml:space="preserve">$220,866</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$184,514</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future estimated amortization expense related to software development costs over the next five years is set forth in the following schedule:</w:t>
      </w:r>
    </w:p>
    <w:tbl>
      <w:tblPr>
        <w:tblW w:type="dxa" w:w="10240"/>
        <w:tblLayout w:type="fixed"/>
        <w:jc w:val="justify"/>
      </w:tblPr>
      <w:tblGrid>
        <w:gridCol w:w="8240"/>
        <w:gridCol w:w="110"/>
        <w:gridCol w:w="1813"/>
        <w:gridCol w:w="77"/>
      </w:tblGrid>
      <w:tr>
        <w:trPr>
          <w:trHeight w:hRule="exact" w:val="500"/>
        </w:trPr>
        <w:tc>
          <w:tcPr>
            <w:tcW w:type="dxa" w:w="824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Year ending December 31:</w:t>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Software Amortization Expense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Software Amortization Expense</w:t>
            </w:r>
          </w:p>
        </w:tc>
        <w:tc>
          <w:tcPr>
            <w:tcMar>
              <w:left w:type="dxa" w:w="0"/>
              <w:right w:type="dxa" w:w="60"/>
            </w:tcMar>
            <w:tcBorders>
              <w:bottom w:val="single" w:sz="8"/>
            </w:tcBorders>
            <w:hMerge w:val="continue"/>
          </w:tcPr>
          <w:p/>
        </w:tc>
      </w:tr>
      <w:tr>
        <w:trPr>
          <w:trHeight w:hRule="exact" w:val="300"/>
        </w:trPr>
        <w:tc>
          <w:tcPr>
            <w:tcW w:type="dxa" w:w="8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 (three months remaining)</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8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73,622</w:t>
            </w:r>
          </w:p>
        </w:tc>
        <w:tc>
          <w:tcPr>
            <w:tcW w:type="dxa" w:w="77"/>
            <w:tcMar>
              <w:left w:type="dxa" w:w="0"/>
              <w:right w:type="dxa" w:w="0"/>
            </w:tcMar>
            <w:tcBorders/>
          </w:tcPr>
          <w:p/>
        </w:tc>
      </w:tr>
      <w:tr>
        <w:trPr>
          <w:trHeight w:hRule="exact" w:val="300"/>
        </w:trPr>
        <w:tc>
          <w:tcPr>
            <w:tcW w:type="dxa" w:w="82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2019</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324,324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324,324</w:t>
            </w:r>
          </w:p>
        </w:tc>
        <w:tc>
          <w:tcPr>
            <w:tcW w:type="dxa" w:w="77"/>
            <w:tcMar>
              <w:left w:type="dxa" w:w="0"/>
              <w:right w:type="dxa" w:w="0"/>
            </w:tcMar>
            <w:tcBorders/>
          </w:tcPr>
          <w:p/>
        </w:tc>
      </w:tr>
      <w:tr>
        <w:trPr>
          <w:trHeight w:hRule="exact" w:val="300"/>
        </w:trPr>
        <w:tc>
          <w:tcPr>
            <w:tcW w:type="dxa" w:w="82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2020</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290,996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290,996</w:t>
            </w:r>
          </w:p>
        </w:tc>
        <w:tc>
          <w:tcPr>
            <w:tcW w:type="dxa" w:w="77"/>
            <w:tcMar>
              <w:left w:type="dxa" w:w="0"/>
              <w:right w:type="dxa" w:w="0"/>
            </w:tcMar>
            <w:tcBorders/>
          </w:tcPr>
          <w:p/>
        </w:tc>
      </w:tr>
      <w:tr>
        <w:trPr>
          <w:trHeight w:hRule="exact" w:val="300"/>
        </w:trPr>
        <w:tc>
          <w:tcPr>
            <w:tcW w:type="dxa" w:w="82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2021</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249,601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249,601</w:t>
            </w:r>
          </w:p>
        </w:tc>
        <w:tc>
          <w:tcPr>
            <w:tcW w:type="dxa" w:w="77"/>
            <w:tcMar>
              <w:left w:type="dxa" w:w="0"/>
              <w:right w:type="dxa" w:w="0"/>
            </w:tcMar>
            <w:tcBorders/>
          </w:tcPr>
          <w:p/>
        </w:tc>
      </w:tr>
      <w:tr>
        <w:trPr>
          <w:trHeight w:hRule="exact" w:val="300"/>
        </w:trPr>
        <w:tc>
          <w:tcPr>
            <w:tcW w:type="dxa" w:w="8240"/>
            <w:tcMar>
              <w:left w:type="dxa" w:w="6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2022</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180,276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180,276</w:t>
            </w:r>
          </w:p>
        </w:tc>
        <w:tc>
          <w:tcPr>
            <w:tcW w:type="dxa" w:w="77"/>
            <w:tcMar>
              <w:left w:type="dxa" w:w="0"/>
              <w:right w:type="dxa" w:w="0"/>
            </w:tcMar>
            <w:tcBorders/>
          </w:tcPr>
          <w:p/>
        </w:tc>
      </w:tr>
      <w:tr>
        <w:trPr>
          <w:trHeight w:hRule="exact" w:val="300"/>
        </w:trPr>
        <w:tc>
          <w:tcPr>
            <w:tcW w:type="dxa" w:w="8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Thereafter</w:t>
            </w:r>
          </w:p>
        </w:tc>
        <w:tc>
          <w:tcPr>
            <w:tcW w:type="dxa" w:w="19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115,169</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115,169</w:t>
            </w:r>
          </w:p>
        </w:tc>
        <w:tc>
          <w:tcPr>
            <w:tcW w:type="dxa" w:w="77"/>
            <w:tcMar>
              <w:left w:type="dxa" w:w="0"/>
              <w:right w:type="dxa" w:w="0"/>
            </w:tcMar>
            <w:tcBorders>
              <w:bottom w:val="single" w:sz="8"/>
            </w:tcBorders>
          </w:tcPr>
          <w:p/>
        </w:tc>
      </w:tr>
      <w:tr>
        <w:trPr>
          <w:trHeight w:hRule="exact" w:val="300"/>
        </w:trPr>
        <w:tc>
          <w:tcPr>
            <w:tcW w:type="dxa" w:w="824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8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1,233,988</w:t>
            </w:r>
          </w:p>
        </w:tc>
        <w:tc>
          <w:tcPr>
            <w:tcW w:type="dxa" w:w="77"/>
            <w:tcMar>
              <w:left w:type="dxa" w:w="0"/>
              <w:right w:type="dxa" w:w="0"/>
            </w:tcMar>
            <w:tcBorders>
              <w:bottom w:val="double" w:sz="4"/>
            </w:tcBorders>
          </w:tcP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3" w:type="default"/>
          <w:footerReference r:id="rId16" w:type="default"/>
        </w:sectPr>
      </w:pPr>
    </w:p>
    <w:p>
      <w:pPr>
        <w:tabs>
          <w:tab w:val="left" w:pos="1440"/>
        </w:tabs>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5.	COMMITMENTS &amp; CONTINGENCIES</w:t>
      </w:r>
      <w:bookmarkStart w:id="3875" w:name="NOTE__5___COMMITMENTS___CONTINGENCIES"/>
      <w:bookmarkEnd w:id="3875"/>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Credit Agreement</w:t>
      </w:r>
    </w:p>
    <w:p>
      <w:pPr>
        <w:tabs>
          <w:tab w:val="left" w:pos="684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has a secured credit facility agreement with Western Alliance Bank, the parent company of Bridge Bank, N.A. of San Jose, California, which it obtained on March 1, 2013 and expanded on April 13, 2015. Effective August 30, 2018, as a result of IZEA's merger with TapInfluence, Inc., the Company entered into a Business Financing Modification Agreement and Consent with Western Alliance Bank to add TapInfluence, Inc. as an additional borrower on the credit facility. Pursuant to this agreement, the Company may submit requests for funding up to </w:t>
      </w:r>
      <w:r>
        <w:rPr>
          <w:rFonts w:ascii="Times New Roman" w:hAnsi="Times New Roman" w:eastAsia="Times New Roman" w:cs="Times New Roman"/>
          <w:sz w:val="20"/>
        </w:rPr>
        <w:t xml:space="preserve">80%</w:t>
      </w:r>
      <w:r>
        <w:rPr>
          <w:rFonts w:ascii="Times New Roman" w:hAnsi="Times New Roman" w:eastAsia="Times New Roman" w:cs="Times New Roman"/>
          <w:sz w:val="20"/>
        </w:rPr>
        <w:t xml:space="preserve"> of its eligible accounts receivable up to a maximum credit limit of </w:t>
      </w:r>
      <w:r>
        <w:rPr>
          <w:rFonts w:ascii="Times New Roman" w:hAnsi="Times New Roman" w:eastAsia="Times New Roman" w:cs="Times New Roman"/>
          <w:sz w:val="20"/>
        </w:rPr>
        <w:t xml:space="preserve">$5 million</w:t>
      </w:r>
      <w:r>
        <w:rPr>
          <w:rFonts w:ascii="Times New Roman" w:hAnsi="Times New Roman" w:eastAsia="Times New Roman" w:cs="Times New Roman"/>
          <w:sz w:val="20"/>
        </w:rPr>
        <w:t xml:space="preserve">. This agreement is secured by the Company's accounts receivable and substantially all of the Company's other assets. The agreement renews annually and requires the Company to pay an annual facility fee of </w:t>
      </w:r>
      <w:r>
        <w:rPr>
          <w:rFonts w:ascii="Times New Roman" w:hAnsi="Times New Roman" w:eastAsia="Times New Roman" w:cs="Times New Roman"/>
          <w:sz w:val="20"/>
        </w:rPr>
        <w:t xml:space="preserve">$20,000</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0.4%</w:t>
      </w:r>
      <w:r>
        <w:rPr>
          <w:rFonts w:ascii="Times New Roman" w:hAnsi="Times New Roman" w:eastAsia="Times New Roman" w:cs="Times New Roman"/>
          <w:sz w:val="20"/>
        </w:rPr>
        <w:t xml:space="preserve"> of the credit limit) and an annual due diligence fee of </w:t>
      </w:r>
      <w:r>
        <w:rPr>
          <w:rFonts w:ascii="Times New Roman" w:hAnsi="Times New Roman" w:eastAsia="Times New Roman" w:cs="Times New Roman"/>
          <w:sz w:val="20"/>
        </w:rPr>
        <w:t xml:space="preserve">$1,000</w:t>
      </w:r>
      <w:r>
        <w:rPr>
          <w:rFonts w:ascii="Times New Roman" w:hAnsi="Times New Roman" w:eastAsia="Times New Roman" w:cs="Times New Roman"/>
          <w:sz w:val="20"/>
        </w:rPr>
        <w:t xml:space="preserve">. Interest accrued on the advances at the rate of </w:t>
      </w:r>
      <w:r>
        <w:rPr>
          <w:rFonts w:ascii="Times New Roman" w:hAnsi="Times New Roman" w:eastAsia="Times New Roman" w:cs="Times New Roman"/>
          <w:sz w:val="20"/>
        </w:rPr>
        <w:t xml:space="preserve">prime plus 2% per annum</w:t>
      </w:r>
      <w:r>
        <w:rPr>
          <w:rFonts w:ascii="Times New Roman" w:hAnsi="Times New Roman" w:eastAsia="Times New Roman" w:cs="Times New Roman"/>
          <w:sz w:val="20"/>
        </w:rPr>
        <w:t xml:space="preserve"> through August 29, 2018, at which time the rate was amended to </w:t>
      </w:r>
      <w:r>
        <w:rPr>
          <w:rFonts w:ascii="Times New Roman" w:hAnsi="Times New Roman" w:eastAsia="Times New Roman" w:cs="Times New Roman"/>
          <w:sz w:val="20"/>
        </w:rPr>
        <w:t xml:space="preserve">1.5%</w:t>
      </w:r>
      <w:r>
        <w:rPr>
          <w:rFonts w:ascii="Times New Roman" w:hAnsi="Times New Roman" w:eastAsia="Times New Roman" w:cs="Times New Roman"/>
          <w:sz w:val="20"/>
        </w:rPr>
        <w:t xml:space="preserve"> per annum in conjunction with the August 30, 2018 modification agreement. The default rate of interest is </w:t>
      </w:r>
      <w:r>
        <w:rPr>
          <w:rFonts w:ascii="Times New Roman" w:hAnsi="Times New Roman" w:eastAsia="Times New Roman" w:cs="Times New Roman"/>
          <w:sz w:val="20"/>
        </w:rPr>
        <w:t xml:space="preserve">prime plus 7%</w:t>
      </w:r>
      <w:r>
        <w:rPr>
          <w:rFonts w:ascii="Times New Roman" w:hAnsi="Times New Roman" w:eastAsia="Times New Roman" w:cs="Times New Roman"/>
          <w:sz w:val="20"/>
        </w:rPr>
        <w:t xml:space="preserve">. The Company had </w:t>
      </w:r>
      <w:r>
        <w:rPr>
          <w:rFonts w:ascii="Times New Roman" w:hAnsi="Times New Roman" w:eastAsia="Times New Roman" w:cs="Times New Roman"/>
          <w:sz w:val="20"/>
        </w:rPr>
        <w:t xml:space="preserve">$1,733,420</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$500,550</w:t>
      </w:r>
      <w:r>
        <w:rPr>
          <w:rFonts w:ascii="Times New Roman" w:hAnsi="Times New Roman" w:eastAsia="Times New Roman" w:cs="Times New Roman"/>
          <w:sz w:val="20"/>
        </w:rPr>
        <w:t xml:space="preserve"> outstanding under this line of credit agreement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December 31, 2017</w:t>
      </w:r>
      <w:r>
        <w:rPr>
          <w:rFonts w:ascii="Times New Roman" w:hAnsi="Times New Roman" w:eastAsia="Times New Roman" w:cs="Times New Roman"/>
          <w:sz w:val="20"/>
        </w:rPr>
        <w:t xml:space="preserve">, respectively.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the Company had a net accounts receivable balance of </w:t>
      </w:r>
      <w:r>
        <w:rPr>
          <w:rFonts w:ascii="Times New Roman" w:hAnsi="Times New Roman" w:eastAsia="Times New Roman" w:cs="Times New Roman"/>
          <w:sz w:val="20"/>
        </w:rPr>
        <w:t xml:space="preserve">$6,811,029</w:t>
      </w:r>
      <w:r>
        <w:rPr>
          <w:rFonts w:ascii="Times New Roman" w:hAnsi="Times New Roman" w:eastAsia="Times New Roman" w:cs="Times New Roman"/>
          <w:sz w:val="20"/>
        </w:rPr>
        <w:t xml:space="preserve">. Assuming that all of the Company's accounts receivable balance was eligible for funding, it had </w:t>
      </w:r>
      <w:r>
        <w:rPr>
          <w:rFonts w:ascii="Times New Roman" w:hAnsi="Times New Roman" w:eastAsia="Times New Roman" w:cs="Times New Roman"/>
          <w:sz w:val="20"/>
        </w:rPr>
        <w:t xml:space="preserve">$3,266,580</w:t>
      </w:r>
      <w:r>
        <w:rPr>
          <w:rFonts w:ascii="Times New Roman" w:hAnsi="Times New Roman" w:eastAsia="Times New Roman" w:cs="Times New Roman"/>
          <w:sz w:val="20"/>
        </w:rPr>
        <w:t xml:space="preserve"> in remaining available credit under the agreement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w:t>
      </w:r>
    </w:p>
    <w:p>
      <w:pPr>
        <w:tabs>
          <w:tab w:val="left" w:pos="684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684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annual fees are capitalized in the Company's consolidated balance sheet within other current assets and are amortized to interest expense over </w:t>
      </w:r>
      <w:r>
        <w:rPr>
          <w:rFonts w:ascii="Times New Roman" w:hAnsi="Times New Roman" w:eastAsia="Times New Roman" w:cs="Times New Roman"/>
          <w:sz w:val="20"/>
        </w:rPr>
        <w:t xml:space="preserve">one year</w:t>
      </w:r>
      <w:r>
        <w:rPr>
          <w:rFonts w:ascii="Times New Roman" w:hAnsi="Times New Roman" w:eastAsia="Times New Roman" w:cs="Times New Roman"/>
          <w:sz w:val="20"/>
        </w:rPr>
        <w:t xml:space="preserve">. The Company amortized </w:t>
      </w:r>
      <w:r>
        <w:rPr>
          <w:rFonts w:ascii="Times New Roman" w:hAnsi="Times New Roman" w:eastAsia="Times New Roman" w:cs="Times New Roman"/>
          <w:sz w:val="20"/>
        </w:rPr>
        <w:t xml:space="preserve">$15,750</w:t>
      </w:r>
      <w:r>
        <w:rPr>
          <w:rFonts w:ascii="Times New Roman" w:hAnsi="Times New Roman" w:eastAsia="Times New Roman" w:cs="Times New Roman"/>
          <w:sz w:val="20"/>
        </w:rPr>
        <w:t xml:space="preserve"> of the annual costs through interest expense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The Company amortized </w:t>
      </w:r>
      <w:r>
        <w:rPr>
          <w:rFonts w:ascii="Times New Roman" w:hAnsi="Times New Roman" w:eastAsia="Times New Roman" w:cs="Times New Roman"/>
          <w:sz w:val="20"/>
        </w:rPr>
        <w:t xml:space="preserve">$5,250</w:t>
      </w:r>
      <w:r>
        <w:rPr>
          <w:rFonts w:ascii="Times New Roman" w:hAnsi="Times New Roman" w:eastAsia="Times New Roman" w:cs="Times New Roman"/>
          <w:sz w:val="20"/>
        </w:rPr>
        <w:t xml:space="preserve"> of the annual costs through interest expense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The remaining value of the capitalized loan costs related to this agreement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is </w:t>
      </w:r>
      <w:r>
        <w:rPr>
          <w:rFonts w:ascii="Times New Roman" w:hAnsi="Times New Roman" w:eastAsia="Times New Roman" w:cs="Times New Roman"/>
          <w:sz w:val="20"/>
        </w:rPr>
        <w:t xml:space="preserve">$12,250</w:t>
      </w:r>
      <w:r>
        <w:rPr>
          <w:rFonts w:ascii="Times New Roman" w:hAnsi="Times New Roman" w:eastAsia="Times New Roman" w:cs="Times New Roman"/>
          <w:sz w:val="20"/>
        </w:rPr>
        <w:t xml:space="preserve">. This amount will be amortized to interest expense over the next </w:t>
      </w:r>
      <w:r>
        <w:rPr>
          <w:rFonts w:ascii="Times New Roman" w:hAnsi="Times New Roman" w:eastAsia="Times New Roman" w:cs="Times New Roman"/>
          <w:sz w:val="20"/>
        </w:rPr>
        <w:t xml:space="preserve">ten months</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Litigation</w:t>
      </w:r>
      <w:r>
        <w:rPr>
          <w:rFonts w:ascii="Times New Roman" w:hAnsi="Times New Roman" w:eastAsia="Times New Roman" w:cs="Times New Roman"/>
          <w:sz w:val="20"/>
          <w:b w:val="true"/>
        </w:rPr>
      </w:r>
    </w:p>
    <w:p>
      <w:pPr>
        <w:jc w:val="both"/>
        <w:spacing w:after="2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April 4, 2018, a securities lawsuit, Julian Perez v. IZEA, Inc., et al., case number 2:18-cv-02784-SVW-GJS was instituted in the U.S. District Court for the Central District of California against the Company and certain of its executive officers on behalf of certain purchasers of the Company’s common stock. The plaintiffs seek to recover damages for investors under federal securities laws.  The Company believes that the plaintiffs’ allegations are without merit and intends to vigorously defend against the claims.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July 3, 2018, a shareholder derivative lawsuit, Korene Stuart v. Edward H. Murphy et al., case number A-18-777135-C was instituted in the Eighth Judicial District Court of the State of Nevada, Clark County against certain executive officers and members of the Board of Directors for IZEA. IZEA has been named as a nominal defendant. The plaintiff seeks to recover damages on behalf of the company for purported breaches of the individual defendants’ fiduciary duties as directors and/or officers of IZEA, unjust enrichment, abuse of control, gross mismanagement, and waste of corporate assets in violation of state common law. The individual defendants and the Company believe that the plaintiff’s allegations are without merit and intend to vigorously defend against the claims.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had determined that it is probable that amounts payable by the Company in respect of the litigation proceedings described above and other litigation proceedings involving the Company will be in excess of the maximum retention amount under its insurance policy of </w:t>
      </w:r>
      <w:r>
        <w:rPr>
          <w:rFonts w:ascii="Times New Roman" w:hAnsi="Times New Roman" w:eastAsia="Times New Roman" w:cs="Times New Roman"/>
          <w:sz w:val="20"/>
        </w:rPr>
        <w:t xml:space="preserve">$500,000</w:t>
      </w:r>
      <w:r>
        <w:rPr>
          <w:rFonts w:ascii="Times New Roman" w:hAnsi="Times New Roman" w:eastAsia="Times New Roman" w:cs="Times New Roman"/>
          <w:sz w:val="20"/>
        </w:rPr>
        <w:t xml:space="preserve">. As a result, the Company has recorded a liability reflecting the payment of such amount, less related legal fees incurred to date of approximately </w:t>
      </w:r>
      <w:r>
        <w:rPr>
          <w:rFonts w:ascii="Times New Roman" w:hAnsi="Times New Roman" w:eastAsia="Times New Roman" w:cs="Times New Roman"/>
          <w:sz w:val="20"/>
        </w:rPr>
        <w:t xml:space="preserve">$62,000</w:t>
      </w:r>
      <w:r>
        <w:rPr>
          <w:rFonts w:ascii="Times New Roman" w:hAnsi="Times New Roman" w:eastAsia="Times New Roman" w:cs="Times New Roman"/>
          <w:sz w:val="20"/>
        </w:rPr>
        <w:t xml:space="preserve"> that the Company expects to count against the retention amount.</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From time to time, the Company may become involved in various lawsuits and legal proceedings that arise in the ordinary course of the Company's business. Litigation is, however, subject to inherent uncertainties, and an adverse result in these or other matters may arise from time to time that may harm the Company's business. The Company is currently not aware of any other legal proceedings or claims that it believes would or could have, individually or in the aggregate, a material adverse effect on its operations or financial position.</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3" w:type="default"/>
          <w:footerReference r:id="rId17" w:type="default"/>
        </w:sectPr>
      </w:pPr>
    </w:p>
    <w:p>
      <w:pPr>
        <w:tabs>
          <w:tab w:val="left" w:pos="1440"/>
        </w:tabs>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6.	STOCKHOLDERS' EQUITY</w:t>
      </w:r>
      <w:bookmarkStart w:id="5461" w:name="NOTE_6___Stockholders__Equity"/>
      <w:bookmarkEnd w:id="5461"/>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Authorized Shares</w:t>
      </w:r>
    </w:p>
    <w:p>
      <w:pPr>
        <w:jc w:val="both"/>
        <w:spacing w:after="2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has </w:t>
      </w:r>
      <w:r>
        <w:rPr>
          <w:rFonts w:ascii="Times New Roman" w:hAnsi="Times New Roman" w:eastAsia="Times New Roman" w:cs="Times New Roman"/>
          <w:sz w:val="20"/>
        </w:rPr>
        <w:t xml:space="preserve">200,000,000</w:t>
      </w:r>
      <w:r>
        <w:rPr>
          <w:rFonts w:ascii="Times New Roman" w:hAnsi="Times New Roman" w:eastAsia="Times New Roman" w:cs="Times New Roman"/>
          <w:sz w:val="20"/>
        </w:rPr>
        <w:t xml:space="preserve"> authorized shares of common stock and </w:t>
      </w:r>
      <w:r>
        <w:rPr>
          <w:rFonts w:ascii="Times New Roman" w:hAnsi="Times New Roman" w:eastAsia="Times New Roman" w:cs="Times New Roman"/>
          <w:sz w:val="20"/>
        </w:rPr>
        <w:t xml:space="preserve">10,000,000</w:t>
      </w:r>
      <w:r>
        <w:rPr>
          <w:rFonts w:ascii="Times New Roman" w:hAnsi="Times New Roman" w:eastAsia="Times New Roman" w:cs="Times New Roman"/>
          <w:sz w:val="20"/>
        </w:rPr>
        <w:t xml:space="preserve"> authorized shares of preferred stock, each with a par value of </w:t>
      </w:r>
      <w:r>
        <w:rPr>
          <w:rFonts w:ascii="Times New Roman" w:hAnsi="Times New Roman" w:eastAsia="Times New Roman" w:cs="Times New Roman"/>
          <w:sz w:val="20"/>
        </w:rPr>
        <w:t xml:space="preserve">$0.0001</w:t>
      </w:r>
      <w:r>
        <w:rPr>
          <w:rFonts w:ascii="Times New Roman" w:hAnsi="Times New Roman" w:eastAsia="Times New Roman" w:cs="Times New Roman"/>
          <w:sz w:val="20"/>
        </w:rPr>
        <w:t xml:space="preserve"> per share.</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Stock Issued for Acquisitions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January 30, 2017, the Company issued </w:t>
      </w:r>
      <w:r>
        <w:rPr>
          <w:rFonts w:ascii="Times New Roman" w:hAnsi="Times New Roman" w:eastAsia="Times New Roman" w:cs="Times New Roman"/>
          <w:sz w:val="20"/>
        </w:rPr>
        <w:t xml:space="preserve">200,542</w:t>
      </w:r>
      <w:r>
        <w:rPr>
          <w:rFonts w:ascii="Times New Roman" w:hAnsi="Times New Roman" w:eastAsia="Times New Roman" w:cs="Times New Roman"/>
          <w:sz w:val="20"/>
        </w:rPr>
        <w:t xml:space="preserve"> shares of its common stock to satisfy the final annual guaranteed purchase price payment of </w:t>
      </w:r>
      <w:r>
        <w:rPr>
          <w:rFonts w:ascii="Times New Roman" w:hAnsi="Times New Roman" w:eastAsia="Times New Roman" w:cs="Times New Roman"/>
          <w:sz w:val="20"/>
        </w:rPr>
        <w:t xml:space="preserve">$938,532</w:t>
      </w:r>
      <w:r>
        <w:rPr>
          <w:rFonts w:ascii="Times New Roman" w:hAnsi="Times New Roman" w:eastAsia="Times New Roman" w:cs="Times New Roman"/>
          <w:sz w:val="20"/>
        </w:rPr>
        <w:t xml:space="preserve"> per the terms of a Stock Purchase Agreement dated as of January 27, 2015, by and among IZEA, Ebyline and the stockholders of Ebyline (the “Ebyline Stock Purchase Agreement”).  The Company recorded a </w:t>
      </w:r>
      <w:r>
        <w:rPr>
          <w:rFonts w:ascii="Times New Roman" w:hAnsi="Times New Roman" w:eastAsia="Times New Roman" w:cs="Times New Roman"/>
          <w:sz w:val="20"/>
        </w:rPr>
        <w:t xml:space="preserve">$10,491</w:t>
      </w:r>
      <w:r>
        <w:rPr>
          <w:rFonts w:ascii="Times New Roman" w:hAnsi="Times New Roman" w:eastAsia="Times New Roman" w:cs="Times New Roman"/>
          <w:sz w:val="20"/>
        </w:rPr>
        <w:t xml:space="preserve"> gain on the settlement of the acquisition costs payable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2017</w:t>
      </w:r>
      <w:r>
        <w:rPr>
          <w:rFonts w:ascii="Times New Roman" w:hAnsi="Times New Roman" w:eastAsia="Times New Roman" w:cs="Times New Roman"/>
          <w:sz w:val="20"/>
        </w:rPr>
        <w:t xml:space="preserve"> in the accompanying consolidated statements of operations as a result of the difference between the market price of the stock on the settlement date and the </w:t>
      </w:r>
      <w:r>
        <w:rPr>
          <w:rFonts w:ascii="Times New Roman" w:hAnsi="Times New Roman" w:eastAsia="Times New Roman" w:cs="Times New Roman"/>
          <w:sz w:val="20"/>
        </w:rPr>
        <w:t xml:space="preserve">30</w:t>
      </w:r>
      <w:r>
        <w:rPr>
          <w:rFonts w:ascii="Times New Roman" w:hAnsi="Times New Roman" w:eastAsia="Times New Roman" w:cs="Times New Roman"/>
          <w:sz w:val="20"/>
        </w:rPr>
        <w:t xml:space="preserve">-day average price of the stock required by the Ebyline Stock Purchase Agreement. The guaranteed purchase price consideration was originally recorded on the Company's balance sheet discounted to present value using the Company's borrowing rate of prime plus </w:t>
      </w:r>
      <w:r>
        <w:rPr>
          <w:rFonts w:ascii="Times New Roman" w:hAnsi="Times New Roman" w:eastAsia="Times New Roman" w:cs="Times New Roman"/>
          <w:sz w:val="20"/>
        </w:rPr>
        <w:t xml:space="preserve">2%</w:t>
      </w:r>
      <w:r>
        <w:rPr>
          <w:rFonts w:ascii="Times New Roman" w:hAnsi="Times New Roman" w:eastAsia="Times New Roman" w:cs="Times New Roman"/>
          <w:sz w:val="20"/>
        </w:rPr>
        <w:t xml:space="preserve">. Interest expense imputed on the remaining acquisition costs payable was </w:t>
      </w:r>
      <w:r>
        <w:rPr>
          <w:rFonts w:ascii="Times New Roman" w:hAnsi="Times New Roman" w:eastAsia="Times New Roman" w:cs="Times New Roman"/>
          <w:sz w:val="20"/>
        </w:rPr>
        <w:t xml:space="preserve">$3,804</w:t>
      </w:r>
      <w:r>
        <w:rPr>
          <w:rFonts w:ascii="Times New Roman" w:hAnsi="Times New Roman" w:eastAsia="Times New Roman" w:cs="Times New Roman"/>
          <w:sz w:val="20"/>
        </w:rPr>
        <w:t xml:space="preserve"> in the accompanying consolidated statements of operations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2017</w:t>
      </w:r>
      <w:r>
        <w:rPr>
          <w:rFonts w:ascii="Times New Roman" w:hAnsi="Times New Roman" w:eastAsia="Times New Roman" w:cs="Times New Roman"/>
          <w:sz w:val="20"/>
        </w:rPr>
        <w:t xml:space="preserve"> prior to the final guaranteed payment made on January 30, 2017.</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July 26, 2018, pursuant to its merger agreement with TapInfluence (see Note 2) the Company issued </w:t>
      </w:r>
      <w:r>
        <w:rPr>
          <w:rFonts w:ascii="Times New Roman" w:hAnsi="Times New Roman" w:eastAsia="Times New Roman" w:cs="Times New Roman"/>
          <w:sz w:val="20"/>
        </w:rPr>
        <w:t xml:space="preserve">1,150,000</w:t>
      </w:r>
      <w:r>
        <w:rPr>
          <w:rFonts w:ascii="Times New Roman" w:hAnsi="Times New Roman" w:eastAsia="Times New Roman" w:cs="Times New Roman"/>
          <w:sz w:val="20"/>
        </w:rPr>
        <w:t xml:space="preserve"> shares of IZEA's common stock valued at </w:t>
      </w:r>
      <w:r>
        <w:rPr>
          <w:rFonts w:ascii="Times New Roman" w:hAnsi="Times New Roman" w:eastAsia="Times New Roman" w:cs="Times New Roman"/>
          <w:sz w:val="20"/>
        </w:rPr>
        <w:t xml:space="preserve">$1,759,500</w:t>
      </w:r>
      <w:r>
        <w:rPr>
          <w:rFonts w:ascii="Times New Roman" w:hAnsi="Times New Roman" w:eastAsia="Times New Roman" w:cs="Times New Roman"/>
          <w:sz w:val="20"/>
        </w:rPr>
        <w:t xml:space="preserve"> based on the </w:t>
      </w:r>
      <w:r>
        <w:rPr>
          <w:rFonts w:ascii="Times New Roman" w:hAnsi="Times New Roman" w:eastAsia="Times New Roman" w:cs="Times New Roman"/>
          <w:sz w:val="20"/>
        </w:rPr>
        <w:t xml:space="preserve">$1.53</w:t>
      </w:r>
      <w:r>
        <w:rPr>
          <w:rFonts w:ascii="Times New Roman" w:hAnsi="Times New Roman" w:eastAsia="Times New Roman" w:cs="Times New Roman"/>
          <w:sz w:val="20"/>
        </w:rPr>
        <w:t xml:space="preserve"> closing market price of IZEA's common stock on July 26, 2018.</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Underwritten Public Offerings of Common Stock</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July 2, 2018 Public Offering</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July 2, 2018, the Company completed an underwritten public offering of </w:t>
      </w:r>
      <w:r>
        <w:rPr>
          <w:rFonts w:ascii="Times New Roman" w:hAnsi="Times New Roman" w:eastAsia="Times New Roman" w:cs="Times New Roman"/>
          <w:sz w:val="20"/>
        </w:rPr>
        <w:t xml:space="preserve">3,556,000</w:t>
      </w:r>
      <w:r>
        <w:rPr>
          <w:rFonts w:ascii="Times New Roman" w:hAnsi="Times New Roman" w:eastAsia="Times New Roman" w:cs="Times New Roman"/>
          <w:sz w:val="20"/>
        </w:rPr>
        <w:t xml:space="preserve"> shares of the Company's common stock at a public offering price of </w:t>
      </w:r>
      <w:r>
        <w:rPr>
          <w:rFonts w:ascii="Times New Roman" w:hAnsi="Times New Roman" w:eastAsia="Times New Roman" w:cs="Times New Roman"/>
          <w:sz w:val="20"/>
        </w:rPr>
        <w:t xml:space="preserve">$1.00</w:t>
      </w:r>
      <w:r>
        <w:rPr>
          <w:rFonts w:ascii="Times New Roman" w:hAnsi="Times New Roman" w:eastAsia="Times New Roman" w:cs="Times New Roman"/>
          <w:sz w:val="20"/>
        </w:rPr>
        <w:t xml:space="preserve"> per share. The net proceeds for all shares sold by us in the public offering were approximately </w:t>
      </w:r>
      <w:r>
        <w:rPr>
          <w:rFonts w:ascii="Times New Roman" w:hAnsi="Times New Roman" w:eastAsia="Times New Roman" w:cs="Times New Roman"/>
          <w:sz w:val="20"/>
        </w:rPr>
        <w:t xml:space="preserve">$3.1 million</w:t>
      </w:r>
      <w:r>
        <w:rPr>
          <w:rFonts w:ascii="Times New Roman" w:hAnsi="Times New Roman" w:eastAsia="Times New Roman" w:cs="Times New Roman"/>
          <w:sz w:val="20"/>
        </w:rPr>
        <w:t xml:space="preserve"> after deducting underwriting discounts and commissions and estimated offering expenses payable by the Company totaling approximately </w:t>
      </w:r>
      <w:r>
        <w:rPr>
          <w:rFonts w:ascii="Times New Roman" w:hAnsi="Times New Roman" w:eastAsia="Times New Roman" w:cs="Times New Roman"/>
          <w:sz w:val="20"/>
        </w:rPr>
        <w:t xml:space="preserve">$418,000</w:t>
      </w:r>
      <w:r>
        <w:rPr>
          <w:rFonts w:ascii="Times New Roman" w:hAnsi="Times New Roman" w:eastAsia="Times New Roman" w:cs="Times New Roman"/>
          <w:sz w:val="20"/>
        </w:rPr>
        <w:t xml:space="preserve">. Mr. Edward Murphy, the Company's Chief Executive Officer and a Company director, Mr. Brian Brady, a Company director, and Mr. Lindsay Gardner, a Company director participated in the public offering and purchased </w:t>
      </w:r>
      <w:r>
        <w:rPr>
          <w:rFonts w:ascii="Times New Roman" w:hAnsi="Times New Roman" w:eastAsia="Times New Roman" w:cs="Times New Roman"/>
          <w:sz w:val="20"/>
        </w:rPr>
        <w:t xml:space="preserve">100,000</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500,000</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20,000</w:t>
      </w:r>
      <w:r>
        <w:rPr>
          <w:rFonts w:ascii="Times New Roman" w:hAnsi="Times New Roman" w:eastAsia="Times New Roman" w:cs="Times New Roman"/>
          <w:sz w:val="20"/>
        </w:rPr>
        <w:t xml:space="preserve"> shares of stock, respectively. The Company intends to use the net proceeds from the offering to finance the costs of acquiring competitive and complementary companies, technologies and assets as part of its growth strategy, including the merger with TapInfluence on July 25, 2018, and for working capital and general corporate purposes.</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September 21, 2018 Public Offering</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September 21, 2018, the Company completed an underwritten public offering of </w:t>
      </w:r>
      <w:r>
        <w:rPr>
          <w:rFonts w:ascii="Times New Roman" w:hAnsi="Times New Roman" w:eastAsia="Times New Roman" w:cs="Times New Roman"/>
          <w:sz w:val="20"/>
        </w:rPr>
        <w:t xml:space="preserve">1,407,333</w:t>
      </w:r>
      <w:r>
        <w:rPr>
          <w:rFonts w:ascii="Times New Roman" w:hAnsi="Times New Roman" w:eastAsia="Times New Roman" w:cs="Times New Roman"/>
          <w:sz w:val="20"/>
        </w:rPr>
        <w:t xml:space="preserve"> shares of the Company's common stock at a public offering price of </w:t>
      </w:r>
      <w:r>
        <w:rPr>
          <w:rFonts w:ascii="Times New Roman" w:hAnsi="Times New Roman" w:eastAsia="Times New Roman" w:cs="Times New Roman"/>
          <w:sz w:val="20"/>
        </w:rPr>
        <w:t xml:space="preserve">$1.50</w:t>
      </w:r>
      <w:r>
        <w:rPr>
          <w:rFonts w:ascii="Times New Roman" w:hAnsi="Times New Roman" w:eastAsia="Times New Roman" w:cs="Times New Roman"/>
          <w:sz w:val="20"/>
        </w:rPr>
        <w:t xml:space="preserve"> per share. The net proceeds for all shares sold by us in the public offering were approximately </w:t>
      </w:r>
      <w:r>
        <w:rPr>
          <w:rFonts w:ascii="Times New Roman" w:hAnsi="Times New Roman" w:eastAsia="Times New Roman" w:cs="Times New Roman"/>
          <w:sz w:val="20"/>
        </w:rPr>
        <w:t xml:space="preserve">$1.8 million</w:t>
      </w:r>
      <w:r>
        <w:rPr>
          <w:rFonts w:ascii="Times New Roman" w:hAnsi="Times New Roman" w:eastAsia="Times New Roman" w:cs="Times New Roman"/>
          <w:sz w:val="20"/>
        </w:rPr>
        <w:t xml:space="preserve"> after deducting underwriting discounts and commissions and estimated offering expenses payable by the Company totaling approximately </w:t>
      </w:r>
      <w:r>
        <w:rPr>
          <w:rFonts w:ascii="Times New Roman" w:hAnsi="Times New Roman" w:eastAsia="Times New Roman" w:cs="Times New Roman"/>
          <w:sz w:val="20"/>
        </w:rPr>
        <w:t xml:space="preserve">$290,000</w:t>
      </w:r>
      <w:r>
        <w:rPr>
          <w:rFonts w:ascii="Times New Roman" w:hAnsi="Times New Roman" w:eastAsia="Times New Roman" w:cs="Times New Roman"/>
          <w:sz w:val="20"/>
        </w:rPr>
        <w:t xml:space="preserve">. Mr. Edward Murphy, the Company's Chief Executive Officer and a Company director, participated in the public offering and purchased </w:t>
      </w:r>
      <w:r>
        <w:rPr>
          <w:rFonts w:ascii="Times New Roman" w:hAnsi="Times New Roman" w:eastAsia="Times New Roman" w:cs="Times New Roman"/>
          <w:sz w:val="20"/>
        </w:rPr>
        <w:t xml:space="preserve">3,000</w:t>
      </w:r>
      <w:r>
        <w:rPr>
          <w:rFonts w:ascii="Times New Roman" w:hAnsi="Times New Roman" w:eastAsia="Times New Roman" w:cs="Times New Roman"/>
          <w:sz w:val="20"/>
        </w:rPr>
        <w:t xml:space="preserve"> shares of stock. The Company intends to use the net proceeds from the offering to finance the costs of acquiring competitive and complementary companies, technologies and assets as part of its growth strategy, and for working capital and general corporate purposes.</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above offerings were made pursuant to a shelf registration statement on Form S-3 (File No. 333-212247) filed with the U.S. Securities and Exchange Commission (the “SEC”) on June 24, 2016, which became effective on June 30, 2016.</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Stock Issued for Services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During the twelve months ended December 31, 2017, the Company issued its </w:t>
      </w:r>
      <w:r>
        <w:rPr>
          <w:rFonts w:ascii="Times New Roman" w:hAnsi="Times New Roman" w:eastAsia="Times New Roman" w:cs="Times New Roman"/>
          <w:sz w:val="20"/>
        </w:rPr>
        <w:t xml:space="preserve">five</w:t>
      </w:r>
      <w:r>
        <w:rPr>
          <w:rFonts w:ascii="Times New Roman" w:hAnsi="Times New Roman" w:eastAsia="Times New Roman" w:cs="Times New Roman"/>
          <w:sz w:val="20"/>
        </w:rPr>
        <w:t xml:space="preserve"> independent directors a total of </w:t>
      </w:r>
      <w:r>
        <w:rPr>
          <w:rFonts w:ascii="Times New Roman" w:hAnsi="Times New Roman" w:eastAsia="Times New Roman" w:cs="Times New Roman"/>
          <w:sz w:val="20"/>
        </w:rPr>
        <w:t xml:space="preserve">41,770</w:t>
      </w:r>
      <w:r>
        <w:rPr>
          <w:rFonts w:ascii="Times New Roman" w:hAnsi="Times New Roman" w:eastAsia="Times New Roman" w:cs="Times New Roman"/>
          <w:sz w:val="20"/>
        </w:rPr>
        <w:t xml:space="preserve"> shares of restricted common stock initially valued at </w:t>
      </w:r>
      <w:r>
        <w:rPr>
          <w:rFonts w:ascii="Times New Roman" w:hAnsi="Times New Roman" w:eastAsia="Times New Roman" w:cs="Times New Roman"/>
          <w:sz w:val="20"/>
        </w:rPr>
        <w:t xml:space="preserve">$125,000</w:t>
      </w:r>
      <w:r>
        <w:rPr>
          <w:rFonts w:ascii="Times New Roman" w:hAnsi="Times New Roman" w:eastAsia="Times New Roman" w:cs="Times New Roman"/>
          <w:sz w:val="20"/>
        </w:rPr>
        <w:t xml:space="preserve"> for their annual service as directors of the Company. The stock vested in equal monthly installments for the period issued between January and December 2017.  On February 12, 2017, the Company issued </w:t>
      </w:r>
      <w:r>
        <w:rPr>
          <w:rFonts w:ascii="Times New Roman" w:hAnsi="Times New Roman" w:eastAsia="Times New Roman" w:cs="Times New Roman"/>
          <w:sz w:val="20"/>
        </w:rPr>
        <w:t xml:space="preserve">7,109</w:t>
      </w:r>
      <w:r>
        <w:rPr>
          <w:rFonts w:ascii="Times New Roman" w:hAnsi="Times New Roman" w:eastAsia="Times New Roman" w:cs="Times New Roman"/>
          <w:sz w:val="20"/>
        </w:rPr>
        <w:t xml:space="preserve"> shares valued at </w:t>
      </w:r>
      <w:r>
        <w:rPr>
          <w:rFonts w:ascii="Times New Roman" w:hAnsi="Times New Roman" w:eastAsia="Times New Roman" w:cs="Times New Roman"/>
          <w:sz w:val="20"/>
        </w:rPr>
        <w:t xml:space="preserve">$30,000</w:t>
      </w:r>
      <w:r>
        <w:rPr>
          <w:rFonts w:ascii="Times New Roman" w:hAnsi="Times New Roman" w:eastAsia="Times New Roman" w:cs="Times New Roman"/>
          <w:sz w:val="20"/>
        </w:rPr>
        <w:t xml:space="preserve"> as compensation for services a contractor provided.</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issued </w:t>
      </w:r>
      <w:r>
        <w:rPr>
          <w:rFonts w:ascii="Times New Roman" w:hAnsi="Times New Roman" w:eastAsia="Times New Roman" w:cs="Times New Roman"/>
          <w:sz w:val="20"/>
        </w:rPr>
        <w:t xml:space="preserve">2,812</w:t>
      </w:r>
      <w:r>
        <w:rPr>
          <w:rFonts w:ascii="Times New Roman" w:hAnsi="Times New Roman" w:eastAsia="Times New Roman" w:cs="Times New Roman"/>
          <w:sz w:val="20"/>
        </w:rPr>
        <w:t xml:space="preserve"> shares and </w:t>
      </w:r>
      <w:r>
        <w:rPr>
          <w:rFonts w:ascii="Times New Roman" w:hAnsi="Times New Roman" w:eastAsia="Times New Roman" w:cs="Times New Roman"/>
          <w:sz w:val="20"/>
        </w:rPr>
        <w:t xml:space="preserve">7,543</w:t>
      </w:r>
      <w:r>
        <w:rPr>
          <w:rFonts w:ascii="Times New Roman" w:hAnsi="Times New Roman" w:eastAsia="Times New Roman" w:cs="Times New Roman"/>
          <w:sz w:val="20"/>
        </w:rPr>
        <w:t xml:space="preserve"> shares of restricted stock on August 14, 2017 and November 9, 2017, respectively, to Mr. Edward Murphy, its Chief Executive Officer, for amounts owed on his second and third quarter performance bonus. The stock was initially valued at </w:t>
      </w:r>
      <w:r>
        <w:rPr>
          <w:rFonts w:ascii="Times New Roman" w:hAnsi="Times New Roman" w:eastAsia="Times New Roman" w:cs="Times New Roman"/>
          <w:sz w:val="20"/>
        </w:rPr>
        <w:t xml:space="preserve">$36,411</w:t>
      </w:r>
      <w:r>
        <w:rPr>
          <w:rFonts w:ascii="Times New Roman" w:hAnsi="Times New Roman" w:eastAsia="Times New Roman" w:cs="Times New Roman"/>
          <w:sz w:val="20"/>
        </w:rPr>
        <w:t xml:space="preserve"> and vests in equal monthly installments over </w:t>
      </w:r>
      <w:r>
        <w:rPr>
          <w:rFonts w:ascii="Times New Roman" w:hAnsi="Times New Roman" w:eastAsia="Times New Roman" w:cs="Times New Roman"/>
          <w:sz w:val="20"/>
        </w:rPr>
        <w:t xml:space="preserve">48 months</w:t>
      </w:r>
      <w:r>
        <w:rPr>
          <w:rFonts w:ascii="Times New Roman" w:hAnsi="Times New Roman" w:eastAsia="Times New Roman" w:cs="Times New Roman"/>
          <w:sz w:val="20"/>
        </w:rPr>
        <w:t xml:space="preserve"> from issuance.  The Company issued </w:t>
      </w:r>
      <w:r>
        <w:rPr>
          <w:rFonts w:ascii="Times New Roman" w:hAnsi="Times New Roman" w:eastAsia="Times New Roman" w:cs="Times New Roman"/>
          <w:sz w:val="20"/>
        </w:rPr>
        <w:t xml:space="preserve">662</w:t>
      </w:r>
      <w:r>
        <w:rPr>
          <w:rFonts w:ascii="Times New Roman" w:hAnsi="Times New Roman" w:eastAsia="Times New Roman" w:cs="Times New Roman"/>
          <w:sz w:val="20"/>
        </w:rPr>
        <w:t xml:space="preserve"> shares and </w:t>
      </w:r>
      <w:r>
        <w:rPr>
          <w:rFonts w:ascii="Times New Roman" w:hAnsi="Times New Roman" w:eastAsia="Times New Roman" w:cs="Times New Roman"/>
          <w:sz w:val="20"/>
        </w:rPr>
        <w:t xml:space="preserve">1,257</w:t>
      </w:r>
      <w:r>
        <w:rPr>
          <w:rFonts w:ascii="Times New Roman" w:hAnsi="Times New Roman" w:eastAsia="Times New Roman" w:cs="Times New Roman"/>
          <w:sz w:val="20"/>
        </w:rPr>
        <w:t xml:space="preserve"> shares of restricted stock on August 14, 2017 and November 9, 2017, respectively, to Mr. Ryan Schram, its Chief Operating Officer, for amounts owed on his second and third quarter performance bonus. The stock was initially valued at </w:t>
      </w:r>
      <w:r>
        <w:rPr>
          <w:rFonts w:ascii="Times New Roman" w:hAnsi="Times New Roman" w:eastAsia="Times New Roman" w:cs="Times New Roman"/>
          <w:sz w:val="20"/>
        </w:rPr>
        <w:t xml:space="preserve">$6,446</w:t>
      </w:r>
      <w:r>
        <w:rPr>
          <w:rFonts w:ascii="Times New Roman" w:hAnsi="Times New Roman" w:eastAsia="Times New Roman" w:cs="Times New Roman"/>
          <w:sz w:val="20"/>
        </w:rPr>
        <w:t xml:space="preserve"> and vests in equal monthly installments over </w:t>
      </w:r>
      <w:r>
        <w:rPr>
          <w:rFonts w:ascii="Times New Roman" w:hAnsi="Times New Roman" w:eastAsia="Times New Roman" w:cs="Times New Roman"/>
          <w:sz w:val="20"/>
        </w:rPr>
        <w:t xml:space="preserve">48 months</w:t>
      </w:r>
      <w:r>
        <w:rPr>
          <w:rFonts w:ascii="Times New Roman" w:hAnsi="Times New Roman" w:eastAsia="Times New Roman" w:cs="Times New Roman"/>
          <w:sz w:val="20"/>
        </w:rPr>
        <w:t xml:space="preserve"> from issuance.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the Company issued its </w:t>
      </w:r>
      <w:r>
        <w:rPr>
          <w:rFonts w:ascii="Times New Roman" w:hAnsi="Times New Roman" w:eastAsia="Times New Roman" w:cs="Times New Roman"/>
          <w:sz w:val="20"/>
        </w:rPr>
        <w:t xml:space="preserve">five</w:t>
      </w:r>
      <w:r>
        <w:rPr>
          <w:rFonts w:ascii="Times New Roman" w:hAnsi="Times New Roman" w:eastAsia="Times New Roman" w:cs="Times New Roman"/>
          <w:sz w:val="20"/>
        </w:rPr>
        <w:t xml:space="preserve"> independent directors a total of </w:t>
      </w:r>
      <w:r>
        <w:rPr>
          <w:rFonts w:ascii="Times New Roman" w:hAnsi="Times New Roman" w:eastAsia="Times New Roman" w:cs="Times New Roman"/>
          <w:sz w:val="20"/>
        </w:rPr>
        <w:t xml:space="preserve">30,265</w:t>
      </w:r>
      <w:r>
        <w:rPr>
          <w:rFonts w:ascii="Times New Roman" w:hAnsi="Times New Roman" w:eastAsia="Times New Roman" w:cs="Times New Roman"/>
          <w:sz w:val="20"/>
        </w:rPr>
        <w:t xml:space="preserve"> shares of restricted common stock initially valued at </w:t>
      </w:r>
      <w:r>
        <w:rPr>
          <w:rFonts w:ascii="Times New Roman" w:hAnsi="Times New Roman" w:eastAsia="Times New Roman" w:cs="Times New Roman"/>
          <w:sz w:val="20"/>
        </w:rPr>
        <w:t xml:space="preserve">$125,000</w:t>
      </w:r>
      <w:r>
        <w:rPr>
          <w:rFonts w:ascii="Times New Roman" w:hAnsi="Times New Roman" w:eastAsia="Times New Roman" w:cs="Times New Roman"/>
          <w:sz w:val="20"/>
        </w:rPr>
        <w:t xml:space="preserve"> for their annual service as directors of the Company. The stock vests in equal monthly installments from January through December 2018.</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January 11, 2018, the Company issued </w:t>
      </w:r>
      <w:r>
        <w:rPr>
          <w:rFonts w:ascii="Times New Roman" w:hAnsi="Times New Roman" w:eastAsia="Times New Roman" w:cs="Times New Roman"/>
          <w:sz w:val="20"/>
        </w:rPr>
        <w:t xml:space="preserve">seventeen</w:t>
      </w:r>
      <w:r>
        <w:rPr>
          <w:rFonts w:ascii="Times New Roman" w:hAnsi="Times New Roman" w:eastAsia="Times New Roman" w:cs="Times New Roman"/>
          <w:sz w:val="20"/>
        </w:rPr>
        <w:t xml:space="preserve"> employees a total of </w:t>
      </w:r>
      <w:r>
        <w:rPr>
          <w:rFonts w:ascii="Times New Roman" w:hAnsi="Times New Roman" w:eastAsia="Times New Roman" w:cs="Times New Roman"/>
          <w:sz w:val="20"/>
        </w:rPr>
        <w:t xml:space="preserve">55,000</w:t>
      </w:r>
      <w:r>
        <w:rPr>
          <w:rFonts w:ascii="Times New Roman" w:hAnsi="Times New Roman" w:eastAsia="Times New Roman" w:cs="Times New Roman"/>
          <w:sz w:val="20"/>
        </w:rPr>
        <w:t xml:space="preserve"> shares of restricted common stock initially valued at </w:t>
      </w:r>
      <w:r>
        <w:rPr>
          <w:rFonts w:ascii="Times New Roman" w:hAnsi="Times New Roman" w:eastAsia="Times New Roman" w:cs="Times New Roman"/>
          <w:sz w:val="20"/>
        </w:rPr>
        <w:t xml:space="preserve">$303,600</w:t>
      </w:r>
      <w:r>
        <w:rPr>
          <w:rFonts w:ascii="Times New Roman" w:hAnsi="Times New Roman" w:eastAsia="Times New Roman" w:cs="Times New Roman"/>
          <w:sz w:val="20"/>
        </w:rPr>
        <w:t xml:space="preserve"> as incentive compensation for their continued future service. Of these </w:t>
      </w:r>
      <w:r>
        <w:rPr>
          <w:rFonts w:ascii="Times New Roman" w:hAnsi="Times New Roman" w:eastAsia="Times New Roman" w:cs="Times New Roman"/>
          <w:sz w:val="20"/>
        </w:rPr>
        <w:t xml:space="preserve">55,000</w:t>
      </w:r>
      <w:r>
        <w:rPr>
          <w:rFonts w:ascii="Times New Roman" w:hAnsi="Times New Roman" w:eastAsia="Times New Roman" w:cs="Times New Roman"/>
          <w:sz w:val="20"/>
        </w:rPr>
        <w:t xml:space="preserve"> shares, </w:t>
      </w:r>
      <w:r>
        <w:rPr>
          <w:rFonts w:ascii="Times New Roman" w:hAnsi="Times New Roman" w:eastAsia="Times New Roman" w:cs="Times New Roman"/>
          <w:sz w:val="20"/>
        </w:rPr>
        <w:t xml:space="preserve">10,000</w:t>
      </w:r>
      <w:r>
        <w:rPr>
          <w:rFonts w:ascii="Times New Roman" w:hAnsi="Times New Roman" w:eastAsia="Times New Roman" w:cs="Times New Roman"/>
          <w:sz w:val="20"/>
        </w:rPr>
        <w:t xml:space="preserve"> shares were issued to Ms. LeAnn Hitchcock, the Company's then-current Chief Financial Officer, and </w:t>
      </w:r>
      <w:r>
        <w:rPr>
          <w:rFonts w:ascii="Times New Roman" w:hAnsi="Times New Roman" w:eastAsia="Times New Roman" w:cs="Times New Roman"/>
          <w:sz w:val="20"/>
        </w:rPr>
        <w:t xml:space="preserve">5,000</w:t>
      </w:r>
      <w:r>
        <w:rPr>
          <w:rFonts w:ascii="Times New Roman" w:hAnsi="Times New Roman" w:eastAsia="Times New Roman" w:cs="Times New Roman"/>
          <w:sz w:val="20"/>
        </w:rPr>
        <w:t xml:space="preserve"> shares were issued to Mr. Schram. The stock vests over </w:t>
      </w:r>
      <w:r>
        <w:rPr>
          <w:rFonts w:ascii="Times New Roman" w:hAnsi="Times New Roman" w:eastAsia="Times New Roman" w:cs="Times New Roman"/>
          <w:sz w:val="20"/>
        </w:rPr>
        <w:t xml:space="preserve">two</w:t>
      </w:r>
      <w:r>
        <w:rPr>
          <w:rFonts w:ascii="Times New Roman" w:hAnsi="Times New Roman" w:eastAsia="Times New Roman" w:cs="Times New Roman"/>
          <w:sz w:val="20"/>
        </w:rPr>
        <w:t xml:space="preserve"> years in equal quarterly installments from January 2018 through December 2019.</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issued </w:t>
      </w:r>
      <w:r>
        <w:rPr>
          <w:rFonts w:ascii="Times New Roman" w:hAnsi="Times New Roman" w:eastAsia="Times New Roman" w:cs="Times New Roman"/>
          <w:sz w:val="20"/>
        </w:rPr>
        <w:t xml:space="preserve">21,628</w:t>
      </w:r>
      <w:r>
        <w:rPr>
          <w:rFonts w:ascii="Times New Roman" w:hAnsi="Times New Roman" w:eastAsia="Times New Roman" w:cs="Times New Roman"/>
          <w:sz w:val="20"/>
        </w:rPr>
        <w:t xml:space="preserve"> shares and </w:t>
      </w:r>
      <w:r>
        <w:rPr>
          <w:rFonts w:ascii="Times New Roman" w:hAnsi="Times New Roman" w:eastAsia="Times New Roman" w:cs="Times New Roman"/>
          <w:sz w:val="20"/>
        </w:rPr>
        <w:t xml:space="preserve">3,870</w:t>
      </w:r>
      <w:r>
        <w:rPr>
          <w:rFonts w:ascii="Times New Roman" w:hAnsi="Times New Roman" w:eastAsia="Times New Roman" w:cs="Times New Roman"/>
          <w:sz w:val="20"/>
        </w:rPr>
        <w:t xml:space="preserve"> shares of restricted stock on May 3, 2018 to Mr. Murphy and Mr. Schram, respectively, related to amounts owed for their first quarter performance bonus. The stock was valued at </w:t>
      </w:r>
      <w:r>
        <w:rPr>
          <w:rFonts w:ascii="Times New Roman" w:hAnsi="Times New Roman" w:eastAsia="Times New Roman" w:cs="Times New Roman"/>
          <w:sz w:val="20"/>
        </w:rPr>
        <w:t xml:space="preserve">$46,715</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$8,360</w:t>
      </w:r>
      <w:r>
        <w:rPr>
          <w:rFonts w:ascii="Times New Roman" w:hAnsi="Times New Roman" w:eastAsia="Times New Roman" w:cs="Times New Roman"/>
          <w:sz w:val="20"/>
        </w:rPr>
        <w:t xml:space="preserve">, respectively, and vests in equal monthly installments over </w:t>
      </w:r>
      <w:r>
        <w:rPr>
          <w:rFonts w:ascii="Times New Roman" w:hAnsi="Times New Roman" w:eastAsia="Times New Roman" w:cs="Times New Roman"/>
          <w:sz w:val="20"/>
        </w:rPr>
        <w:t xml:space="preserve">48</w:t>
      </w:r>
      <w:r>
        <w:rPr>
          <w:rFonts w:ascii="Times New Roman" w:hAnsi="Times New Roman" w:eastAsia="Times New Roman" w:cs="Times New Roman"/>
          <w:sz w:val="20"/>
        </w:rPr>
        <w:t xml:space="preserve"> months from issuance. On May 25, 2018, the Company issued </w:t>
      </w:r>
      <w:r>
        <w:rPr>
          <w:rFonts w:ascii="Times New Roman" w:hAnsi="Times New Roman" w:eastAsia="Times New Roman" w:cs="Times New Roman"/>
          <w:sz w:val="20"/>
        </w:rPr>
        <w:t xml:space="preserve">5,000</w:t>
      </w:r>
      <w:r>
        <w:rPr>
          <w:rFonts w:ascii="Times New Roman" w:hAnsi="Times New Roman" w:eastAsia="Times New Roman" w:cs="Times New Roman"/>
          <w:sz w:val="20"/>
        </w:rPr>
        <w:t xml:space="preserve"> shares of restricted common stock valued at </w:t>
      </w:r>
      <w:r>
        <w:rPr>
          <w:rFonts w:ascii="Times New Roman" w:hAnsi="Times New Roman" w:eastAsia="Times New Roman" w:cs="Times New Roman"/>
          <w:sz w:val="20"/>
        </w:rPr>
        <w:t xml:space="preserve">$7,650</w:t>
      </w:r>
      <w:r>
        <w:rPr>
          <w:rFonts w:ascii="Times New Roman" w:hAnsi="Times New Roman" w:eastAsia="Times New Roman" w:cs="Times New Roman"/>
          <w:sz w:val="20"/>
        </w:rPr>
        <w:t xml:space="preserve"> to an employee as incentive compensation for future services vesting in two equal annual installments in May 2019 and 2020.</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table contains summarized information about nonvested restricted stock outstanding during the year ended </w:t>
      </w:r>
      <w:r>
        <w:rPr>
          <w:rFonts w:ascii="Times New Roman" w:hAnsi="Times New Roman" w:eastAsia="Times New Roman" w:cs="Times New Roman"/>
          <w:sz w:val="20"/>
        </w:rPr>
        <w:t xml:space="preserve">December 31, 2017</w:t>
      </w:r>
      <w:r>
        <w:rPr>
          <w:rFonts w:ascii="Times New Roman" w:hAnsi="Times New Roman" w:eastAsia="Times New Roman" w:cs="Times New Roman"/>
          <w:sz w:val="20"/>
        </w:rPr>
        <w:t xml:space="preserve"> and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w:t>
      </w:r>
    </w:p>
    <w:tbl>
      <w:tblPr>
        <w:tblW w:type="dxa" w:w="10240"/>
        <w:tblLayout w:type="fixed"/>
        <w:jc w:val="justify"/>
      </w:tblPr>
      <w:tblGrid>
        <w:gridCol w:w="6160"/>
        <w:gridCol w:w="1283"/>
        <w:gridCol w:w="77"/>
        <w:gridCol w:w="110"/>
        <w:gridCol w:w="1173"/>
        <w:gridCol w:w="77"/>
        <w:gridCol w:w="1360"/>
      </w:tblGrid>
      <w:tr>
        <w:trPr>
          <w:trHeight w:hRule="exact" w:val="1100"/>
        </w:trPr>
        <w:tc>
          <w:tcPr>
            <w:tcW w:type="dxa" w:w="616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color w:val="000000"/>
              </w:rPr>
              <w:t xml:space="preserve">Restricted Stock</w:t>
            </w:r>
          </w:p>
        </w:tc>
        <w:tc>
          <w:tcPr>
            <w:tcW w:type="dxa" w:w="1283"/>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Common Shares</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w:t>
              <w:br w:type="textWrapping"/>
              <w:t xml:space="preserve">Grant Date
</w:t>
              <w:br w:type="textWrapping"/>
              <w:t xml:space="preserve">Fair Value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w:t>
              <w:br w:type="textWrapping"/>
              <w:t xml:space="preserve">Grant Date
</w:t>
              <w:br w:type="textWrapping"/>
              <w:t xml:space="preserve">Fair Value</w:t>
            </w:r>
          </w:p>
        </w:tc>
        <w:tc>
          <w:tcPr>
            <w:tcMar>
              <w:left w:type="dxa" w:w="0"/>
              <w:right w:type="dxa" w:w="60"/>
            </w:tcMar>
            <w:tcBorders>
              <w:bottom w:val="single" w:sz="8"/>
            </w:tcBorders>
            <w:hMerge w:val="continue"/>
          </w:tcPr>
          <w:p/>
        </w:tc>
        <w:tc>
          <w:tcPr>
            <w:tcW w:type="dxa" w:w="136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w:t>
              <w:br w:type="textWrapping"/>
              <w:t xml:space="preserve">Remaining Years
</w:t>
              <w:br w:type="textWrapping"/>
              <w:t xml:space="preserve">to Vest</w:t>
            </w:r>
          </w:p>
        </w:tc>
      </w:tr>
      <w:tr>
        <w:trPr>
          <w:trHeight w:hRule="exact" w:val="300"/>
        </w:trPr>
        <w:tc>
          <w:tcPr>
            <w:tcW w:type="dxa" w:w="61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December 31, 2016</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1360"/>
            <w:tcMar>
              <w:left w:type="dxa" w:w="60"/>
              <w:right w:type="dxa" w:w="0"/>
            </w:tcMar>
            <w:tcBorders/>
            <w:vAlign w:val="bottom"/>
          </w:tcPr>
          <w:p>
            <w:pPr>
              <w:jc w:val="left"/>
              <w:keepNext/>
              <w:keepLines/>
              <w:spacing w:before="40" w:after="40" w:line="240" w:lineRule="auto"/>
              <w:rPr/>
            </w:pPr>
            <w:r>
              <w:rPr/>
            </w:r>
          </w:p>
        </w:tc>
      </w:tr>
      <w:tr>
        <w:trPr>
          <w:trHeight w:hRule="exact" w:val="300"/>
        </w:trPr>
        <w:tc>
          <w:tcPr>
            <w:tcW w:type="dxa" w:w="61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Granted</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61,153</w:t>
            </w:r>
          </w:p>
        </w:tc>
        <w:tc>
          <w:tcPr>
            <w:tcW w:type="dxa" w:w="77"/>
            <w:tcMar>
              <w:left w:type="dxa" w:w="0"/>
              <w:right w:type="dxa" w:w="0"/>
            </w:tcMar>
            <w:tcBorders/>
          </w:tcP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3.24</w:t>
            </w:r>
          </w:p>
        </w:tc>
        <w:tc>
          <w:tcPr>
            <w:tcW w:type="dxa" w:w="77"/>
            <w:tcMar>
              <w:left w:type="dxa" w:w="0"/>
              <w:right w:type="dxa" w:w="0"/>
            </w:tcMar>
            <w:tcBorders/>
          </w:tcPr>
          <w:p/>
        </w:tc>
        <w:tc>
          <w:tcPr>
            <w:tcW w:type="dxa" w:w="1360"/>
            <w:tcMar>
              <w:left w:type="dxa" w:w="60"/>
              <w:right w:type="dxa" w:w="0"/>
            </w:tcMar>
            <w:tcBorders/>
            <w:vAlign w:val="bottom"/>
          </w:tcPr>
          <w:p>
            <w:pPr>
              <w:jc w:val="left"/>
              <w:keepNext/>
              <w:keepLines/>
              <w:spacing w:before="40" w:after="40" w:line="240" w:lineRule="auto"/>
              <w:rPr/>
            </w:pPr>
            <w:r>
              <w:rPr/>
            </w:r>
          </w:p>
        </w:tc>
      </w:tr>
      <w:tr>
        <w:trPr>
          <w:trHeight w:hRule="exact" w:val="300"/>
        </w:trPr>
        <w:tc>
          <w:tcPr>
            <w:tcW w:type="dxa" w:w="61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Vested</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(49,354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3.72</w:t>
            </w:r>
          </w:p>
        </w:tc>
        <w:tc>
          <w:tcPr>
            <w:tcW w:type="dxa" w:w="77"/>
            <w:tcMar>
              <w:left w:type="dxa" w:w="0"/>
              <w:right w:type="dxa" w:w="0"/>
            </w:tcMar>
            <w:tcBorders/>
          </w:tcPr>
          <w:p/>
        </w:tc>
        <w:tc>
          <w:tcPr>
            <w:tcW w:type="dxa" w:w="1360"/>
            <w:tcMar>
              <w:left w:type="dxa" w:w="60"/>
              <w:right w:type="dxa" w:w="0"/>
            </w:tcMar>
            <w:tcBorders/>
            <w:vAlign w:val="bottom"/>
          </w:tcPr>
          <w:p>
            <w:pPr>
              <w:jc w:val="left"/>
              <w:keepNext/>
              <w:keepLines/>
              <w:spacing w:before="40" w:after="40" w:line="240" w:lineRule="auto"/>
              <w:rPr/>
            </w:pPr>
            <w:r>
              <w:rPr/>
            </w:r>
          </w:p>
        </w:tc>
      </w:tr>
      <w:tr>
        <w:trPr>
          <w:trHeight w:hRule="exact" w:val="300"/>
        </w:trPr>
        <w:tc>
          <w:tcPr>
            <w:tcW w:type="dxa" w:w="616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Forfeited</w:t>
            </w:r>
          </w:p>
        </w:tc>
        <w:tc>
          <w:tcPr>
            <w:tcW w:type="dxa" w:w="12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bottom w:val="single" w:sz="8"/>
            </w:tcBorders>
          </w:tcPr>
          <w:p/>
        </w:tc>
        <w:tc>
          <w:tcPr>
            <w:tcW w:type="dxa" w:w="110"/>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bottom w:val="single" w:sz="8"/>
            </w:tcBorders>
          </w:tcPr>
          <w:p/>
        </w:tc>
        <w:tc>
          <w:tcPr>
            <w:tcW w:type="dxa" w:w="1360"/>
            <w:tcMar>
              <w:left w:type="dxa" w:w="60"/>
              <w:right w:type="dxa" w:w="0"/>
            </w:tcMar>
            <w:tcBorders>
              <w:bottom w:val="single" w:sz="8"/>
            </w:tcBorders>
            <w:vAlign w:val="bottom"/>
          </w:tcPr>
          <w:p>
            <w:pPr>
              <w:jc w:val="left"/>
              <w:keepNext/>
              <w:keepLines/>
              <w:spacing w:before="40" w:after="40" w:line="240" w:lineRule="auto"/>
              <w:rPr/>
            </w:pPr>
            <w:r>
              <w:rPr/>
            </w:r>
          </w:p>
        </w:tc>
      </w:tr>
      <w:tr>
        <w:trPr>
          <w:trHeight w:hRule="exact" w:val="300"/>
        </w:trPr>
        <w:tc>
          <w:tcPr>
            <w:tcW w:type="dxa" w:w="61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December 31, 2017</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11,799</w:t>
            </w:r>
          </w:p>
        </w:tc>
        <w:tc>
          <w:tcPr>
            <w:tcW w:type="dxa" w:w="77"/>
            <w:tcMar>
              <w:left w:type="dxa" w:w="0"/>
              <w:right w:type="dxa" w:w="0"/>
            </w:tcMar>
            <w:tcBorders/>
          </w:tcP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4.52</w:t>
            </w:r>
          </w:p>
        </w:tc>
        <w:tc>
          <w:tcPr>
            <w:tcW w:type="dxa" w:w="77"/>
            <w:tcMar>
              <w:left w:type="dxa" w:w="0"/>
              <w:right w:type="dxa" w:w="0"/>
            </w:tcMar>
            <w:tcBorders/>
          </w:tcPr>
          <w:p/>
        </w:tc>
        <w:tc>
          <w:tcPr>
            <w:tcW w:type="dxa" w:w="136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3.75</w:t>
            </w:r>
          </w:p>
        </w:tc>
      </w:tr>
      <w:tr>
        <w:trPr>
          <w:trHeight w:hRule="exact" w:val="300"/>
        </w:trPr>
        <w:tc>
          <w:tcPr>
            <w:tcW w:type="dxa" w:w="61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Granted</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115,763</w:t>
            </w:r>
          </w:p>
        </w:tc>
        <w:tc>
          <w:tcPr>
            <w:tcW w:type="dxa" w:w="77"/>
            <w:tcMar>
              <w:left w:type="dxa" w:w="0"/>
              <w:right w:type="dxa" w:w="0"/>
            </w:tcMar>
            <w:tcBorders/>
          </w:tcP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4.24</w:t>
            </w:r>
          </w:p>
        </w:tc>
        <w:tc>
          <w:tcPr>
            <w:tcW w:type="dxa" w:w="77"/>
            <w:tcMar>
              <w:left w:type="dxa" w:w="0"/>
              <w:right w:type="dxa" w:w="0"/>
            </w:tcMar>
            <w:tcBorders/>
          </w:tcPr>
          <w:p/>
        </w:tc>
        <w:tc>
          <w:tcPr>
            <w:tcW w:type="dxa" w:w="1360"/>
            <w:tcMar>
              <w:left w:type="dxa" w:w="60"/>
              <w:right w:type="dxa" w:w="0"/>
            </w:tcMar>
            <w:tcBorders/>
            <w:vAlign w:val="bottom"/>
          </w:tcPr>
          <w:p>
            <w:pPr>
              <w:jc w:val="left"/>
              <w:keepNext/>
              <w:keepLines/>
              <w:spacing w:before="40" w:after="40" w:line="240" w:lineRule="auto"/>
              <w:rPr/>
            </w:pPr>
            <w:r>
              <w:rPr/>
            </w:r>
          </w:p>
        </w:tc>
      </w:tr>
      <w:tr>
        <w:trPr>
          <w:trHeight w:hRule="exact" w:val="300"/>
        </w:trPr>
        <w:tc>
          <w:tcPr>
            <w:tcW w:type="dxa" w:w="61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Vested</w:t>
            </w:r>
          </w:p>
        </w:tc>
        <w:tc>
          <w:tcPr>
            <w:tcW w:type="dxa" w:w="12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(47,023</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4.56</w:t>
            </w:r>
          </w:p>
        </w:tc>
        <w:tc>
          <w:tcPr>
            <w:tcW w:type="dxa" w:w="77"/>
            <w:tcMar>
              <w:left w:type="dxa" w:w="0"/>
              <w:right w:type="dxa" w:w="0"/>
            </w:tcMar>
            <w:tcBorders/>
          </w:tcPr>
          <w:p/>
        </w:tc>
        <w:tc>
          <w:tcPr>
            <w:tcW w:type="dxa" w:w="1360"/>
            <w:tcMar>
              <w:left w:type="dxa" w:w="0"/>
              <w:right w:type="dxa" w:w="60"/>
            </w:tcMar>
            <w:tcBorders/>
            <w:vAlign w:val="bottom"/>
          </w:tcPr>
          <w:p>
            <w:pPr>
              <w:jc w:val="left"/>
              <w:keepNext/>
              <w:keepLines/>
              <w:spacing w:before="40" w:after="40" w:line="240" w:lineRule="auto"/>
              <w:rPr/>
            </w:pPr>
            <w:r>
              <w:rPr/>
            </w:r>
          </w:p>
        </w:tc>
      </w:tr>
      <w:tr>
        <w:trPr>
          <w:trHeight w:hRule="exact" w:val="300"/>
        </w:trPr>
        <w:tc>
          <w:tcPr>
            <w:tcW w:type="dxa" w:w="616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Forfeited</w:t>
            </w:r>
          </w:p>
        </w:tc>
        <w:tc>
          <w:tcPr>
            <w:tcW w:type="dxa" w:w="12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bottom w:val="single" w:sz="8"/>
            </w:tcBorders>
          </w:tcPr>
          <w:p/>
        </w:tc>
        <w:tc>
          <w:tcPr>
            <w:tcW w:type="dxa" w:w="110"/>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bottom w:val="single" w:sz="8"/>
            </w:tcBorders>
          </w:tcPr>
          <w:p/>
        </w:tc>
        <w:tc>
          <w:tcPr>
            <w:tcW w:type="dxa" w:w="1360"/>
            <w:tcMar>
              <w:left w:type="dxa" w:w="0"/>
              <w:right w:type="dxa" w:w="60"/>
            </w:tcMar>
            <w:tcBorders>
              <w:bottom w:val="single" w:sz="8"/>
            </w:tcBorders>
            <w:vAlign w:val="bottom"/>
          </w:tcPr>
          <w:p>
            <w:pPr>
              <w:jc w:val="left"/>
              <w:keepNext/>
              <w:keepLines/>
              <w:spacing w:before="40" w:after="40" w:line="240" w:lineRule="auto"/>
              <w:rPr/>
            </w:pPr>
            <w:r>
              <w:rPr/>
            </w:r>
          </w:p>
        </w:tc>
      </w:tr>
      <w:tr>
        <w:trPr>
          <w:trHeight w:hRule="exact" w:val="300"/>
        </w:trPr>
        <w:tc>
          <w:tcPr>
            <w:tcW w:type="dxa" w:w="6160"/>
            <w:tcMar>
              <w:left w:type="dxa" w:w="60"/>
              <w:right w:type="dxa" w:w="4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September 30, 2018</w:t>
            </w:r>
          </w:p>
        </w:tc>
        <w:tc>
          <w:tcPr>
            <w:tcW w:type="dxa" w:w="128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80,539</w:t>
            </w:r>
          </w:p>
        </w:tc>
        <w:tc>
          <w:tcPr>
            <w:tcW w:type="dxa" w:w="77"/>
            <w:tcMar>
              <w:left w:type="dxa" w:w="0"/>
              <w:right w:type="dxa" w:w="0"/>
            </w:tcMar>
            <w:tcBorders>
              <w:bottom w:val="double" w:sz="4"/>
            </w:tcBorders>
          </w:tcP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7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3.95</w:t>
            </w:r>
          </w:p>
        </w:tc>
        <w:tc>
          <w:tcPr>
            <w:tcW w:type="dxa" w:w="77"/>
            <w:tcMar>
              <w:left w:type="dxa" w:w="0"/>
              <w:right w:type="dxa" w:w="0"/>
            </w:tcMar>
            <w:tcBorders>
              <w:bottom w:val="double" w:sz="4"/>
            </w:tcBorders>
          </w:tcPr>
          <w:p/>
        </w:tc>
        <w:tc>
          <w:tcPr>
            <w:tcW w:type="dxa" w:w="1360"/>
            <w:tcMar>
              <w:left w:type="dxa" w:w="0"/>
              <w:right w:type="dxa" w:w="60"/>
            </w:tcMar>
            <w:tcBorders>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w:t>
            </w:r>
          </w:p>
        </w:tc>
      </w:tr>
    </w:tbl>
    <w:p>
      <w:pPr>
        <w:jc w:val="both"/>
        <w:spacing w:before="60"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Total expense recognized on restricted stock issued for services to non-employees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$31,244</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$60,074</w:t>
      </w:r>
      <w:r>
        <w:rPr>
          <w:rFonts w:ascii="Times New Roman" w:hAnsi="Times New Roman" w:eastAsia="Times New Roman" w:cs="Times New Roman"/>
          <w:sz w:val="20"/>
        </w:rPr>
        <w:t xml:space="preserve">, respectively. Total expense recognized on restricted stock issued for services to non-employees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$93,734</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$143,536</w:t>
      </w:r>
      <w:r>
        <w:rPr>
          <w:rFonts w:ascii="Times New Roman" w:hAnsi="Times New Roman" w:eastAsia="Times New Roman" w:cs="Times New Roman"/>
          <w:sz w:val="20"/>
        </w:rPr>
        <w:t xml:space="preserve">, respectively. Total stock-based compensation expense recognized on restricted stock issued to employees during the </w:t>
      </w:r>
      <w:r>
        <w:rPr>
          <w:rFonts w:ascii="Times New Roman" w:hAnsi="Times New Roman" w:eastAsia="Times New Roman" w:cs="Times New Roman"/>
          <w:sz w:val="20"/>
        </w:rPr>
        <w:t xml:space="preserve">three and 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$38,128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$121,994</w:t>
      </w:r>
      <w:r>
        <w:rPr>
          <w:rFonts w:ascii="Times New Roman" w:hAnsi="Times New Roman" w:eastAsia="Times New Roman" w:cs="Times New Roman"/>
          <w:sz w:val="20"/>
        </w:rPr>
        <w:t xml:space="preserve">, respectively. There was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stock-based compensation expense recognized on restricted stock issued to employees during the </w:t>
      </w:r>
      <w:r>
        <w:rPr>
          <w:rFonts w:ascii="Times New Roman" w:hAnsi="Times New Roman" w:eastAsia="Times New Roman" w:cs="Times New Roman"/>
          <w:sz w:val="20"/>
        </w:rPr>
        <w:t xml:space="preserve">three and 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2017</w:t>
      </w:r>
      <w:r>
        <w:rPr>
          <w:rFonts w:ascii="Times New Roman" w:hAnsi="Times New Roman" w:eastAsia="Times New Roman" w:cs="Times New Roman"/>
          <w:sz w:val="20"/>
        </w:rPr>
        <w:t xml:space="preserve">. The fair value of the services to non-employees is based on the value of the Company's common stock as it vests over the term of service, which may be different that the value of the stock upon issuance.  The change between the Company's stock price upon issuance and the Company's stock price upon the date of vesting, results in a change in the fair value of derivatives during the period. The Company recognized a loss of </w:t>
      </w:r>
      <w:r>
        <w:rPr>
          <w:rFonts w:ascii="Times New Roman" w:hAnsi="Times New Roman" w:eastAsia="Times New Roman" w:cs="Times New Roman"/>
          <w:sz w:val="20"/>
        </w:rPr>
        <w:t xml:space="preserve">$11,794</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$36,122</w:t>
      </w:r>
      <w:r>
        <w:rPr>
          <w:rFonts w:ascii="Times New Roman" w:hAnsi="Times New Roman" w:eastAsia="Times New Roman" w:cs="Times New Roman"/>
          <w:sz w:val="20"/>
        </w:rPr>
        <w:t xml:space="preserve"> as a change in the fair value of derivatives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Future compensation related to issued, but nonvested restricted stock awards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is </w:t>
      </w:r>
      <w:r>
        <w:rPr>
          <w:rFonts w:ascii="Times New Roman" w:hAnsi="Times New Roman" w:eastAsia="Times New Roman" w:cs="Times New Roman"/>
          <w:sz w:val="20"/>
        </w:rPr>
        <w:t xml:space="preserve">$317,134</w:t>
      </w:r>
      <w:r>
        <w:rPr>
          <w:rFonts w:ascii="Times New Roman" w:hAnsi="Times New Roman" w:eastAsia="Times New Roman" w:cs="Times New Roman"/>
          <w:sz w:val="20"/>
        </w:rPr>
        <w:t xml:space="preserve">, and it is included in prepaid expenses in the accompanying consolidated balance sheets. This value is estimated to be recognized over the weighted-average vesting period of approximately </w:t>
      </w:r>
      <w:r>
        <w:rPr>
          <w:rFonts w:ascii="Times New Roman" w:hAnsi="Times New Roman" w:eastAsia="Times New Roman" w:cs="Times New Roman"/>
          <w:sz w:val="20"/>
        </w:rPr>
        <w:t xml:space="preserve">1.8</w:t>
      </w:r>
      <w:r>
        <w:rPr>
          <w:rFonts w:ascii="Times New Roman" w:hAnsi="Times New Roman" w:eastAsia="Times New Roman" w:cs="Times New Roman"/>
          <w:sz w:val="20"/>
        </w:rPr>
        <w:t xml:space="preserve"> years.</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Employee Stock Purchase Plan</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April 16, 2014, stockholders holding a majority of the Company's outstanding shares of common stock, upon previous recommendation and approval of the Board, adopted the IZEA Worldwide, Inc. 2014 Employee Stock Purchase Plan (the “ESPP”) and reserved </w:t>
      </w:r>
      <w:r>
        <w:rPr>
          <w:rFonts w:ascii="Times New Roman" w:hAnsi="Times New Roman" w:eastAsia="Times New Roman" w:cs="Times New Roman"/>
          <w:sz w:val="20"/>
        </w:rPr>
        <w:t xml:space="preserve">75,000</w:t>
      </w:r>
      <w:r>
        <w:rPr>
          <w:rFonts w:ascii="Times New Roman" w:hAnsi="Times New Roman" w:eastAsia="Times New Roman" w:cs="Times New Roman"/>
          <w:sz w:val="20"/>
        </w:rPr>
        <w:t xml:space="preserve"> shares of the Company's common stock for issuance thereunder. Any employee regularly employed by the Company for </w:t>
      </w:r>
      <w:r>
        <w:rPr>
          <w:rFonts w:ascii="Times New Roman" w:hAnsi="Times New Roman" w:eastAsia="Times New Roman" w:cs="Times New Roman"/>
          <w:sz w:val="20"/>
        </w:rPr>
        <w:t xml:space="preserve">90</w:t>
      </w:r>
      <w:r>
        <w:rPr>
          <w:rFonts w:ascii="Times New Roman" w:hAnsi="Times New Roman" w:eastAsia="Times New Roman" w:cs="Times New Roman"/>
          <w:sz w:val="20"/>
        </w:rPr>
        <w:t xml:space="preserve"> days or more on a full-time or part-time basis (</w:t>
      </w:r>
      <w:r>
        <w:rPr>
          <w:rFonts w:ascii="Times New Roman" w:hAnsi="Times New Roman" w:eastAsia="Times New Roman" w:cs="Times New Roman"/>
          <w:sz w:val="20"/>
        </w:rPr>
        <w:t xml:space="preserve">20</w:t>
      </w:r>
      <w:r>
        <w:rPr>
          <w:rFonts w:ascii="Times New Roman" w:hAnsi="Times New Roman" w:eastAsia="Times New Roman" w:cs="Times New Roman"/>
          <w:sz w:val="20"/>
        </w:rPr>
        <w:t xml:space="preserve"> hours or more per week on a regular schedule) is eligible to participate in the ESPP. The ESPP operates in successive six months offering periods commencing at the beginning of each fiscal year half. Each eligible employee who elects to participate may purchase up to </w:t>
      </w:r>
      <w:r>
        <w:rPr>
          <w:rFonts w:ascii="Times New Roman" w:hAnsi="Times New Roman" w:eastAsia="Times New Roman" w:cs="Times New Roman"/>
          <w:sz w:val="20"/>
        </w:rPr>
        <w:t xml:space="preserve">10%</w:t>
      </w:r>
      <w:r>
        <w:rPr>
          <w:rFonts w:ascii="Times New Roman" w:hAnsi="Times New Roman" w:eastAsia="Times New Roman" w:cs="Times New Roman"/>
          <w:sz w:val="20"/>
        </w:rPr>
        <w:t xml:space="preserve"> of their annual compensation in common stock not to exceed </w:t>
      </w:r>
      <w:r>
        <w:rPr>
          <w:rFonts w:ascii="Times New Roman" w:hAnsi="Times New Roman" w:eastAsia="Times New Roman" w:cs="Times New Roman"/>
          <w:sz w:val="20"/>
        </w:rPr>
        <w:t xml:space="preserve">$21,250</w:t>
      </w:r>
      <w:r>
        <w:rPr>
          <w:rFonts w:ascii="Times New Roman" w:hAnsi="Times New Roman" w:eastAsia="Times New Roman" w:cs="Times New Roman"/>
          <w:sz w:val="20"/>
        </w:rPr>
        <w:t xml:space="preserve"> annually or </w:t>
      </w:r>
      <w:r>
        <w:rPr>
          <w:rFonts w:ascii="Times New Roman" w:hAnsi="Times New Roman" w:eastAsia="Times New Roman" w:cs="Times New Roman"/>
          <w:sz w:val="20"/>
        </w:rPr>
        <w:t xml:space="preserve">1,000</w:t>
      </w:r>
      <w:r>
        <w:rPr>
          <w:rFonts w:ascii="Times New Roman" w:hAnsi="Times New Roman" w:eastAsia="Times New Roman" w:cs="Times New Roman"/>
          <w:sz w:val="20"/>
        </w:rPr>
        <w:t xml:space="preserve"> shares per offering period. The purchase price will be the lower of (i) </w:t>
      </w:r>
      <w:r>
        <w:rPr>
          <w:rFonts w:ascii="Times New Roman" w:hAnsi="Times New Roman" w:eastAsia="Times New Roman" w:cs="Times New Roman"/>
          <w:sz w:val="20"/>
        </w:rPr>
        <w:t xml:space="preserve">85%</w:t>
      </w:r>
      <w:r>
        <w:rPr>
          <w:rFonts w:ascii="Times New Roman" w:hAnsi="Times New Roman" w:eastAsia="Times New Roman" w:cs="Times New Roman"/>
          <w:sz w:val="20"/>
        </w:rPr>
        <w:t xml:space="preserve"> of the fair market value of a share of common stock on the first trading day of the offering period or (ii) </w:t>
      </w:r>
      <w:r>
        <w:rPr>
          <w:rFonts w:ascii="Times New Roman" w:hAnsi="Times New Roman" w:eastAsia="Times New Roman" w:cs="Times New Roman"/>
          <w:sz w:val="20"/>
        </w:rPr>
        <w:t xml:space="preserve">85%</w:t>
      </w:r>
      <w:r>
        <w:rPr>
          <w:rFonts w:ascii="Times New Roman" w:hAnsi="Times New Roman" w:eastAsia="Times New Roman" w:cs="Times New Roman"/>
          <w:sz w:val="20"/>
        </w:rPr>
        <w:t xml:space="preserve"> of the fair market value of a share of common stock on the last trading day of the offering period. The ESPP will continue until January 1, 2024, unless otherwise terminated by the Board.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the Company had </w:t>
      </w:r>
      <w:r>
        <w:rPr>
          <w:rFonts w:ascii="Times New Roman" w:hAnsi="Times New Roman" w:eastAsia="Times New Roman" w:cs="Times New Roman"/>
          <w:sz w:val="20"/>
        </w:rPr>
        <w:t xml:space="preserve">22,405</w:t>
      </w:r>
      <w:r>
        <w:rPr>
          <w:rFonts w:ascii="Times New Roman" w:hAnsi="Times New Roman" w:eastAsia="Times New Roman" w:cs="Times New Roman"/>
          <w:sz w:val="20"/>
        </w:rPr>
        <w:t xml:space="preserve"> remaining shares of common stock available for future grants under the ESPP. Employees paid </w:t>
      </w:r>
      <w:r>
        <w:rPr>
          <w:rFonts w:ascii="Times New Roman" w:hAnsi="Times New Roman" w:eastAsia="Times New Roman" w:cs="Times New Roman"/>
          <w:sz w:val="20"/>
        </w:rPr>
        <w:t xml:space="preserve">$9,035</w:t>
      </w:r>
      <w:r>
        <w:rPr>
          <w:rFonts w:ascii="Times New Roman" w:hAnsi="Times New Roman" w:eastAsia="Times New Roman" w:cs="Times New Roman"/>
          <w:sz w:val="20"/>
        </w:rPr>
        <w:t xml:space="preserve"> to purchase </w:t>
      </w:r>
      <w:r>
        <w:rPr>
          <w:rFonts w:ascii="Times New Roman" w:hAnsi="Times New Roman" w:eastAsia="Times New Roman" w:cs="Times New Roman"/>
          <w:sz w:val="20"/>
        </w:rPr>
        <w:t xml:space="preserve">11,189</w:t>
      </w:r>
      <w:r>
        <w:rPr>
          <w:rFonts w:ascii="Times New Roman" w:hAnsi="Times New Roman" w:eastAsia="Times New Roman" w:cs="Times New Roman"/>
          <w:sz w:val="20"/>
        </w:rPr>
        <w:t xml:space="preserve"> shares of common stock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w:t>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Stock Options</w:t>
      </w: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In May 2011, the Company's Board of Directors (the “Board”) adopted the 2011 Equity Incentive Plan of IZEA Worldwide, Inc. (the “May 2011 Plan”). At the Company's 2017 Annual Meeting of Stockholders held on June 21, 2017, the stockholders approved the amendment and restatement of the May 2011 Plan which increased the number of shares of common stock available for issuance under the May 2011 Plan by </w:t>
      </w:r>
      <w:r>
        <w:rPr>
          <w:rFonts w:ascii="Times New Roman" w:hAnsi="Times New Roman" w:eastAsia="Times New Roman" w:cs="Times New Roman"/>
          <w:sz w:val="20"/>
        </w:rPr>
        <w:t xml:space="preserve">500,000</w:t>
      </w:r>
      <w:r>
        <w:rPr>
          <w:rFonts w:ascii="Times New Roman" w:hAnsi="Times New Roman" w:eastAsia="Times New Roman" w:cs="Times New Roman"/>
          <w:sz w:val="20"/>
        </w:rPr>
        <w:t xml:space="preserve"> shares. The amended May 2011 Plan allows the Company to grant options to purchase up to </w:t>
      </w:r>
      <w:r>
        <w:rPr>
          <w:rFonts w:ascii="Times New Roman" w:hAnsi="Times New Roman" w:eastAsia="Times New Roman" w:cs="Times New Roman"/>
          <w:sz w:val="20"/>
        </w:rPr>
        <w:t xml:space="preserve">1,500,000</w:t>
      </w:r>
      <w:r>
        <w:rPr>
          <w:rFonts w:ascii="Times New Roman" w:hAnsi="Times New Roman" w:eastAsia="Times New Roman" w:cs="Times New Roman"/>
          <w:sz w:val="20"/>
        </w:rPr>
        <w:t xml:space="preserve"> shares as an incentive for its employees and consultants.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the Company had </w:t>
      </w:r>
      <w:r>
        <w:rPr>
          <w:rFonts w:ascii="Times New Roman" w:hAnsi="Times New Roman" w:eastAsia="Times New Roman" w:cs="Times New Roman"/>
          <w:sz w:val="20"/>
        </w:rPr>
        <w:t xml:space="preserve">250,214</w:t>
      </w:r>
      <w:r>
        <w:rPr>
          <w:rFonts w:ascii="Times New Roman" w:hAnsi="Times New Roman" w:eastAsia="Times New Roman" w:cs="Times New Roman"/>
          <w:sz w:val="20"/>
        </w:rPr>
        <w:t xml:space="preserve"> shares of common stock available for future grants under the May 2011 Plan.</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August 22, 2011, the Company adopted the 2011 B Equity Incentive Plan (the “August 2011 Plan”) reserving </w:t>
      </w:r>
      <w:r>
        <w:rPr>
          <w:rFonts w:ascii="Times New Roman" w:hAnsi="Times New Roman" w:eastAsia="Times New Roman" w:cs="Times New Roman"/>
          <w:sz w:val="20"/>
        </w:rPr>
        <w:t xml:space="preserve">4,375</w:t>
      </w:r>
      <w:r>
        <w:rPr>
          <w:rFonts w:ascii="Times New Roman" w:hAnsi="Times New Roman" w:eastAsia="Times New Roman" w:cs="Times New Roman"/>
          <w:sz w:val="20"/>
        </w:rPr>
        <w:t xml:space="preserve"> shares of common stock for issuance under the August 2011 Plan.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the Company had </w:t>
      </w:r>
      <w:r>
        <w:rPr>
          <w:rFonts w:ascii="Times New Roman" w:hAnsi="Times New Roman" w:eastAsia="Times New Roman" w:cs="Times New Roman"/>
          <w:sz w:val="20"/>
        </w:rPr>
        <w:t xml:space="preserve">1,875</w:t>
      </w:r>
      <w:r>
        <w:rPr>
          <w:rFonts w:ascii="Times New Roman" w:hAnsi="Times New Roman" w:eastAsia="Times New Roman" w:cs="Times New Roman"/>
          <w:sz w:val="20"/>
        </w:rPr>
        <w:t xml:space="preserve"> shares of common stock available for future grants under the August 2011 Plan.</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Under both the May 2011 Plan and the August 2011 Plan (together, the “2011 Equity Incentive Plans”), the Board determines the exercise price to be paid for the shares, the period within which each option may be exercised, and the terms and conditions of each option. The exercise price of the incentive and non-qualified stock options may not be less than </w:t>
      </w:r>
      <w:r>
        <w:rPr>
          <w:rFonts w:ascii="Times New Roman" w:hAnsi="Times New Roman" w:eastAsia="Times New Roman" w:cs="Times New Roman"/>
          <w:sz w:val="20"/>
        </w:rPr>
        <w:t xml:space="preserve">100%</w:t>
      </w:r>
      <w:r>
        <w:rPr>
          <w:rFonts w:ascii="Times New Roman" w:hAnsi="Times New Roman" w:eastAsia="Times New Roman" w:cs="Times New Roman"/>
          <w:sz w:val="20"/>
        </w:rPr>
        <w:t xml:space="preserve"> of the fair market value per share of the Company’s common stock on the grant date. If an individual owns stock representing more than </w:t>
      </w:r>
      <w:r>
        <w:rPr>
          <w:rFonts w:ascii="Times New Roman" w:hAnsi="Times New Roman" w:eastAsia="Times New Roman" w:cs="Times New Roman"/>
          <w:sz w:val="20"/>
        </w:rPr>
        <w:t xml:space="preserve">10%</w:t>
      </w:r>
      <w:r>
        <w:rPr>
          <w:rFonts w:ascii="Times New Roman" w:hAnsi="Times New Roman" w:eastAsia="Times New Roman" w:cs="Times New Roman"/>
          <w:sz w:val="20"/>
        </w:rPr>
        <w:t xml:space="preserve"> of the outstanding shares, the price of each share of an incentive stock option must be equal to or exceed </w:t>
      </w:r>
      <w:r>
        <w:rPr>
          <w:rFonts w:ascii="Times New Roman" w:hAnsi="Times New Roman" w:eastAsia="Times New Roman" w:cs="Times New Roman"/>
          <w:sz w:val="20"/>
        </w:rPr>
        <w:t xml:space="preserve">110%</w:t>
      </w:r>
      <w:r>
        <w:rPr>
          <w:rFonts w:ascii="Times New Roman" w:hAnsi="Times New Roman" w:eastAsia="Times New Roman" w:cs="Times New Roman"/>
          <w:sz w:val="20"/>
        </w:rPr>
        <w:t xml:space="preserve"> of fair market value. Unless otherwise determined by the Board at the time of grant, the purchase price is set at the fair market value of the Company’s common stock on the grant date, the term is set at </w:t>
      </w:r>
      <w:r>
        <w:rPr>
          <w:rFonts w:ascii="Times New Roman" w:hAnsi="Times New Roman" w:eastAsia="Times New Roman" w:cs="Times New Roman"/>
          <w:sz w:val="20"/>
        </w:rPr>
        <w:t xml:space="preserve">ten</w:t>
      </w:r>
      <w:r>
        <w:rPr>
          <w:rFonts w:ascii="Times New Roman" w:hAnsi="Times New Roman" w:eastAsia="Times New Roman" w:cs="Times New Roman"/>
          <w:sz w:val="20"/>
        </w:rPr>
        <w:t xml:space="preserve"> years and the options typically vest on a straight-line basis over the requisite service period as follows: </w:t>
      </w:r>
      <w:r>
        <w:rPr>
          <w:rFonts w:ascii="Times New Roman" w:hAnsi="Times New Roman" w:eastAsia="Times New Roman" w:cs="Times New Roman"/>
          <w:sz w:val="20"/>
        </w:rPr>
        <w:t xml:space="preserve">25%</w:t>
      </w:r>
      <w:r>
        <w:rPr>
          <w:rFonts w:ascii="Times New Roman" w:hAnsi="Times New Roman" w:eastAsia="Times New Roman" w:cs="Times New Roman"/>
          <w:sz w:val="20"/>
        </w:rPr>
        <w:t xml:space="preserve"> of options shall vest </w:t>
      </w:r>
      <w:r>
        <w:rPr>
          <w:rFonts w:ascii="Times New Roman" w:hAnsi="Times New Roman" w:eastAsia="Times New Roman" w:cs="Times New Roman"/>
          <w:sz w:val="20"/>
        </w:rPr>
        <w:t xml:space="preserve">one</w:t>
      </w:r>
      <w:r>
        <w:rPr>
          <w:rFonts w:ascii="Times New Roman" w:hAnsi="Times New Roman" w:eastAsia="Times New Roman" w:cs="Times New Roman"/>
          <w:sz w:val="20"/>
        </w:rPr>
        <w:t xml:space="preserve"> year from the date of grant and the remaining options shall vest monthly, in equal increments over the following </w:t>
      </w:r>
      <w:r>
        <w:rPr>
          <w:rFonts w:ascii="Times New Roman" w:hAnsi="Times New Roman" w:eastAsia="Times New Roman" w:cs="Times New Roman"/>
          <w:sz w:val="20"/>
        </w:rPr>
        <w:t xml:space="preserve">three years</w:t>
      </w:r>
      <w:r>
        <w:rPr>
          <w:rFonts w:ascii="Times New Roman" w:hAnsi="Times New Roman" w:eastAsia="Times New Roman" w:cs="Times New Roman"/>
          <w:sz w:val="20"/>
        </w:rPr>
        <w:t xml:space="preserve">. The Company issues new shares to the optionee for any stock awards or options exercised pursuant to its 2011 Equity Incentive Plans.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after="140"/>
        <w:rPr>
          <w:rFonts w:ascii="Times New Roman" w:hAnsi="Times New Roman" w:eastAsia="Times New Roman" w:cs="Times New Roman"/>
          <w:sz w:val="20"/>
        </w:rPr>
        <w:keepNext/>
      </w:pPr>
      <w:r>
        <w:rPr>
          <w:rFonts w:ascii="Times New Roman" w:hAnsi="Times New Roman" w:eastAsia="Times New Roman" w:cs="Times New Roman"/>
          <w:sz w:val="20"/>
        </w:rPr>
        <w:t xml:space="preserve">A summary of option activity under the 2011 Equity Incentive Plans for the year ended </w:t>
      </w:r>
      <w:r>
        <w:rPr>
          <w:rFonts w:ascii="Times New Roman" w:hAnsi="Times New Roman" w:eastAsia="Times New Roman" w:cs="Times New Roman"/>
          <w:sz w:val="20"/>
        </w:rPr>
        <w:t xml:space="preserve">December 31, 2017</w:t>
      </w:r>
      <w:r>
        <w:rPr>
          <w:rFonts w:ascii="Times New Roman" w:hAnsi="Times New Roman" w:eastAsia="Times New Roman" w:cs="Times New Roman"/>
          <w:sz w:val="20"/>
        </w:rPr>
        <w:t xml:space="preserve"> and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is presented below:        </w:t>
      </w:r>
    </w:p>
    <w:tbl>
      <w:tblPr>
        <w:tblW w:type="dxa" w:w="10240"/>
        <w:tblLayout w:type="fixed"/>
        <w:jc w:val="left"/>
      </w:tblPr>
      <w:tblGrid>
        <w:gridCol w:w="5520"/>
        <w:gridCol w:w="1243"/>
        <w:gridCol w:w="77"/>
        <w:gridCol w:w="80"/>
        <w:gridCol w:w="110"/>
        <w:gridCol w:w="1373"/>
        <w:gridCol w:w="77"/>
        <w:gridCol w:w="80"/>
        <w:gridCol w:w="1680"/>
      </w:tblGrid>
      <w:tr>
        <w:trPr>
          <w:trHeight w:hRule="exact" w:val="700"/>
        </w:trPr>
        <w:tc>
          <w:tcPr>
            <w:tcW w:type="dxa" w:w="552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color w:val="000000"/>
              </w:rPr>
              <w:t xml:space="preserve">Options Outstanding</w:t>
            </w:r>
          </w:p>
        </w:tc>
        <w:tc>
          <w:tcPr>
            <w:tcW w:type="dxa" w:w="1243"/>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Common Shares</w:t>
            </w:r>
          </w:p>
        </w:tc>
        <w:tc>
          <w:tcPr>
            <w:tcMar>
              <w:left w:type="dxa" w:w="0"/>
              <w:right w:type="dxa" w:w="60"/>
            </w:tcMar>
            <w:tcBorders>
              <w:bottom w:val="single" w:sz="8"/>
            </w:tcBorders>
            <w:hMerge w:val="continue"/>
          </w:tcPr>
          <w:p/>
        </w:tc>
        <w:tc>
          <w:tcPr>
            <w:tcW w:type="dxa" w:w="80"/>
            <w:tcMar>
              <w:left w:type="dxa" w:w="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Weighted Average</w:t>
            </w:r>
          </w:p>
          <w:p>
            <w:pPr>
              <w:jc w:val="center"/>
              <w:keepNext/>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Exercise Price</w:t>
            </w:r>
          </w:p>
        </w:tc>
        <w:tc>
          <w:tcPr>
            <w:tcMar>
              <w:left w:type="dxa" w:w="60"/>
              <w:right w:type="dxa" w:w="60"/>
            </w:tcMar>
            <w:tcBorders>
              <w:bottom w:val="single" w:sz="8"/>
            </w:tcBorders>
            <w:vAlign w:val="bottom"/>
            <w:hMerge w:val="continue"/>
          </w:tcPr>
          <w:p>
            <w:pPr>
              <w:jc w:val="center"/>
              <w:keepNext/>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Weighted Average</w:t>
            </w:r>
          </w:p>
          <w:p>
            <w:pPr>
              <w:jc w:val="center"/>
              <w:keepNext/>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Exercise Price</w:t>
            </w:r>
          </w:p>
        </w:tc>
        <w:tc>
          <w:tcPr>
            <w:tcMar>
              <w:left w:type="dxa" w:w="0"/>
              <w:right w:type="dxa" w:w="60"/>
            </w:tcMar>
            <w:tcBorders>
              <w:bottom w:val="single" w:sz="8"/>
            </w:tcBorders>
            <w:hMerge w:val="continue"/>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680"/>
            <w:tcMar>
              <w:left w:type="dxa" w:w="60"/>
              <w:right w:type="dxa" w:w="60"/>
            </w:tcMar>
            <w:tcBorders>
              <w:bottom w:val="single" w:sz="8"/>
            </w:tcBorders>
            <w:vAlign w:val="bottom"/>
            <w:vAlign w:val="bottom"/>
            <w:vAlign w:val="bottom"/>
          </w:tcPr>
          <w:p>
            <w:pPr>
              <w:jc w:val="center"/>
              <w:keepNext/>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Weighted Average</w:t>
            </w:r>
          </w:p>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Remaining Life</w:t>
            </w:r>
          </w:p>
          <w:p>
            <w:pPr>
              <w:jc w:val="center"/>
              <w:keepNext/>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(Years)</w:t>
            </w:r>
          </w:p>
        </w:tc>
      </w:tr>
      <w:tr>
        <w:trPr>
          <w:trHeight w:hRule="exact" w:val="300"/>
        </w:trPr>
        <w:tc>
          <w:tcPr>
            <w:tcW w:type="dxa" w:w="55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Outstanding at December 31, 2016</w:t>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959,864</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8.11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68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6.4</w:t>
            </w:r>
          </w:p>
        </w:tc>
      </w:tr>
      <w:tr>
        <w:trPr>
          <w:trHeight w:hRule="exact" w:val="300"/>
        </w:trPr>
        <w:tc>
          <w:tcPr>
            <w:tcW w:type="dxa" w:w="55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Granted</w:t>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141,246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3.49</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680"/>
            <w:tcMar>
              <w:left w:type="dxa" w:w="0"/>
              <w:right w:type="dxa" w:w="60"/>
            </w:tcMar>
            <w:tcBorders/>
            <w:vAlign w:val="bottom"/>
          </w:tcPr>
          <w:p>
            <w:pPr>
              <w:jc w:val="left"/>
              <w:keepNext/>
              <w:keepLines/>
              <w:spacing w:before="40" w:after="40" w:line="240" w:lineRule="auto"/>
              <w:rPr/>
            </w:pPr>
            <w:r>
              <w:rPr/>
            </w:r>
          </w:p>
        </w:tc>
      </w:tr>
      <w:tr>
        <w:trPr>
          <w:trHeight w:hRule="exact" w:val="300"/>
        </w:trPr>
        <w:tc>
          <w:tcPr>
            <w:tcW w:type="dxa" w:w="55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Exercised</w:t>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680"/>
            <w:tcMar>
              <w:left w:type="dxa" w:w="0"/>
              <w:right w:type="dxa" w:w="60"/>
            </w:tcMar>
            <w:tcBorders/>
            <w:vAlign w:val="bottom"/>
          </w:tcPr>
          <w:p>
            <w:pPr>
              <w:jc w:val="left"/>
              <w:keepNext/>
              <w:keepLines/>
              <w:spacing w:before="40" w:after="40" w:line="240" w:lineRule="auto"/>
              <w:rPr/>
            </w:pPr>
            <w:r>
              <w:rPr/>
            </w:r>
          </w:p>
        </w:tc>
      </w:tr>
      <w:tr>
        <w:trPr>
          <w:trHeight w:hRule="exact" w:val="300"/>
        </w:trPr>
        <w:tc>
          <w:tcPr>
            <w:tcW w:type="dxa" w:w="552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Forfeited</w:t>
            </w:r>
          </w:p>
        </w:tc>
        <w:tc>
          <w:tcPr>
            <w:tcW w:type="dxa" w:w="124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(51,607</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10"/>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38.86</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680"/>
            <w:tcMar>
              <w:left w:type="dxa" w:w="0"/>
              <w:right w:type="dxa" w:w="60"/>
            </w:tcMar>
            <w:tcBorders>
              <w:bottom w:val="single" w:sz="8"/>
            </w:tcBorders>
            <w:vAlign w:val="bottom"/>
          </w:tcPr>
          <w:p>
            <w:pPr>
              <w:jc w:val="left"/>
              <w:keepNext/>
              <w:keepLines/>
              <w:spacing w:before="40" w:after="40" w:line="240" w:lineRule="auto"/>
              <w:rPr/>
            </w:pPr>
            <w:r>
              <w:rPr/>
            </w:r>
          </w:p>
        </w:tc>
      </w:tr>
      <w:tr>
        <w:trPr>
          <w:trHeight w:hRule="exact" w:val="300"/>
        </w:trPr>
        <w:tc>
          <w:tcPr>
            <w:tcW w:type="dxa" w:w="55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Outstanding at December 31, 2017</w:t>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1,049,503</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5.97</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68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w:t>
            </w:r>
          </w:p>
        </w:tc>
      </w:tr>
      <w:tr>
        <w:trPr>
          <w:trHeight w:hRule="exact" w:val="300"/>
        </w:trPr>
        <w:tc>
          <w:tcPr>
            <w:tcW w:type="dxa" w:w="55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Granted</w:t>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98,359</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1.71</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680"/>
            <w:tcMar>
              <w:left w:type="dxa" w:w="0"/>
              <w:right w:type="dxa" w:w="60"/>
            </w:tcMar>
            <w:tcBorders/>
            <w:vAlign w:val="bottom"/>
          </w:tcPr>
          <w:p>
            <w:pPr>
              <w:jc w:val="left"/>
              <w:keepNext/>
              <w:keepLines/>
              <w:spacing w:before="40" w:after="40" w:line="240" w:lineRule="auto"/>
              <w:rPr/>
            </w:pPr>
            <w:r>
              <w:rPr/>
            </w:r>
          </w:p>
        </w:tc>
      </w:tr>
      <w:tr>
        <w:trPr>
          <w:trHeight w:hRule="exact" w:val="300"/>
        </w:trPr>
        <w:tc>
          <w:tcPr>
            <w:tcW w:type="dxa" w:w="55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Exercised</w:t>
            </w:r>
          </w:p>
        </w:tc>
        <w:tc>
          <w:tcPr>
            <w:tcW w:type="dxa" w:w="124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680"/>
            <w:tcMar>
              <w:left w:type="dxa" w:w="0"/>
              <w:right w:type="dxa" w:w="60"/>
            </w:tcMar>
            <w:tcBorders/>
            <w:vAlign w:val="bottom"/>
          </w:tcPr>
          <w:p>
            <w:pPr>
              <w:jc w:val="left"/>
              <w:keepNext/>
              <w:keepLines/>
              <w:spacing w:before="40" w:after="40" w:line="240" w:lineRule="auto"/>
              <w:rPr/>
            </w:pPr>
            <w:r>
              <w:rPr/>
            </w:r>
          </w:p>
        </w:tc>
      </w:tr>
      <w:tr>
        <w:trPr>
          <w:trHeight w:hRule="exact" w:val="300"/>
        </w:trPr>
        <w:tc>
          <w:tcPr>
            <w:tcW w:type="dxa" w:w="552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Forfeited</w:t>
            </w:r>
          </w:p>
        </w:tc>
        <w:tc>
          <w:tcPr>
            <w:tcW w:type="dxa" w:w="124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(81,813</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10"/>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5.91</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680"/>
            <w:tcMar>
              <w:left w:type="dxa" w:w="0"/>
              <w:right w:type="dxa" w:w="60"/>
            </w:tcMar>
            <w:tcBorders>
              <w:bottom w:val="single" w:sz="8"/>
            </w:tcBorders>
            <w:vAlign w:val="bottom"/>
          </w:tcPr>
          <w:p>
            <w:pPr>
              <w:jc w:val="left"/>
              <w:keepNext/>
              <w:keepLines/>
              <w:spacing w:before="40" w:after="40" w:line="240" w:lineRule="auto"/>
              <w:rPr/>
            </w:pPr>
            <w:r>
              <w:rPr/>
            </w:r>
          </w:p>
        </w:tc>
      </w:tr>
      <w:tr>
        <w:trPr>
          <w:trHeight w:hRule="exact" w:val="300"/>
        </w:trPr>
        <w:tc>
          <w:tcPr>
            <w:tcW w:type="dxa" w:w="5520"/>
            <w:tcMar>
              <w:left w:type="dxa" w:w="60"/>
              <w:right w:type="dxa" w:w="4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Outstanding at September 30, 2018</w:t>
            </w:r>
          </w:p>
        </w:tc>
        <w:tc>
          <w:tcPr>
            <w:tcW w:type="dxa" w:w="124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1,066,049</w:t>
            </w:r>
          </w:p>
        </w:tc>
        <w:tc>
          <w:tcPr>
            <w:tcW w:type="dxa" w:w="77"/>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Next/>
              <w:keepLines/>
              <w:spacing w:before="40" w:after="40" w:line="240" w:lineRule="auto"/>
              <w:rPr/>
            </w:pPr>
            <w:r>
              <w:rPr/>
            </w: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5.59</w:t>
            </w:r>
          </w:p>
        </w:tc>
        <w:tc>
          <w:tcPr>
            <w:tcW w:type="dxa" w:w="77"/>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Next/>
              <w:keepLines/>
              <w:spacing w:before="40" w:after="40" w:line="240" w:lineRule="auto"/>
              <w:rPr/>
            </w:pPr>
            <w:r>
              <w:rPr/>
            </w:r>
          </w:p>
        </w:tc>
        <w:tc>
          <w:tcPr>
            <w:tcW w:type="dxa" w:w="1680"/>
            <w:tcMar>
              <w:left w:type="dxa" w:w="0"/>
              <w:right w:type="dxa" w:w="60"/>
            </w:tcMar>
            <w:tcBorders>
              <w:bottom w:val="double" w:sz="4"/>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w:t>
            </w:r>
          </w:p>
        </w:tc>
      </w:tr>
      <w:tr>
        <w:trPr>
          <w:trHeight w:hRule="exact" w:val="180"/>
        </w:trPr>
        <w:tc>
          <w:tcPr>
            <w:tcW w:type="dxa" w:w="5520"/>
            <w:tcMar>
              <w:left w:type="dxa" w:w="60"/>
              <w:right w:type="dxa" w:w="0"/>
            </w:tcMar>
            <w:tcBorders/>
            <w:vAlign w:val="bottom"/>
          </w:tcPr>
          <w:p>
            <w:pPr>
              <w:jc w:val="left"/>
              <w:keepNext/>
              <w:keepLines/>
              <w:spacing w:before="40" w:after="40" w:line="240" w:lineRule="auto"/>
              <w:rPr/>
            </w:pPr>
            <w:r>
              <w:rPr/>
            </w:r>
          </w:p>
        </w:tc>
        <w:tc>
          <w:tcPr>
            <w:tcW w:type="dxa" w:w="1243"/>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680"/>
            <w:tcMar>
              <w:left w:type="dxa" w:w="0"/>
              <w:right w:type="dxa" w:w="60"/>
            </w:tcMar>
            <w:tcBorders/>
            <w:vAlign w:val="bottom"/>
          </w:tcPr>
          <w:p>
            <w:pPr>
              <w:jc w:val="left"/>
              <w:keepNext/>
              <w:keepLines/>
              <w:spacing w:before="40" w:after="40" w:line="240" w:lineRule="auto"/>
              <w:rPr/>
            </w:pPr>
            <w:r>
              <w:rPr/>
            </w:r>
          </w:p>
        </w:tc>
      </w:tr>
      <w:tr>
        <w:trPr>
          <w:trHeight w:hRule="exact" w:val="300"/>
        </w:trPr>
        <w:tc>
          <w:tcPr>
            <w:tcW w:type="dxa" w:w="5520"/>
            <w:tcMar>
              <w:left w:type="dxa" w:w="60"/>
              <w:right w:type="dxa" w:w="4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Exercisable at September 30, 2018</w:t>
            </w:r>
          </w:p>
        </w:tc>
        <w:tc>
          <w:tcPr>
            <w:tcW w:type="dxa" w:w="124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788,036</w:t>
            </w:r>
          </w:p>
        </w:tc>
        <w:tc>
          <w:tcPr>
            <w:tcW w:type="dxa" w:w="77"/>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7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6.24</w:t>
            </w:r>
          </w:p>
        </w:tc>
        <w:tc>
          <w:tcPr>
            <w:tcW w:type="dxa" w:w="77"/>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680"/>
            <w:tcMar>
              <w:left w:type="dxa" w:w="0"/>
              <w:right w:type="dxa" w:w="60"/>
            </w:tcMar>
            <w:tcBorders>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w:t>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During the </w:t>
      </w:r>
      <w:r>
        <w:rPr>
          <w:rFonts w:ascii="Times New Roman" w:hAnsi="Times New Roman" w:eastAsia="Times New Roman" w:cs="Times New Roman"/>
          <w:sz w:val="20"/>
        </w:rPr>
        <w:t xml:space="preserve">three and 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no</w:t>
      </w:r>
      <w:r>
        <w:rPr>
          <w:rFonts w:ascii="Times New Roman" w:hAnsi="Times New Roman" w:eastAsia="Times New Roman" w:cs="Times New Roman"/>
          <w:sz w:val="20"/>
        </w:rPr>
        <w:t xml:space="preserve"> options were exercised. The fair value of the Company's common stock on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$1.59</w:t>
      </w:r>
      <w:r>
        <w:rPr>
          <w:rFonts w:ascii="Times New Roman" w:hAnsi="Times New Roman" w:eastAsia="Times New Roman" w:cs="Times New Roman"/>
          <w:sz w:val="20"/>
        </w:rPr>
        <w:t xml:space="preserve"> per share. The intrinsic value on outstanding options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$31,009</w:t>
      </w:r>
      <w:r>
        <w:rPr>
          <w:rFonts w:ascii="Times New Roman" w:hAnsi="Times New Roman" w:eastAsia="Times New Roman" w:cs="Times New Roman"/>
          <w:sz w:val="20"/>
        </w:rPr>
        <w:t xml:space="preserve">. The intrinsic value on exercisable options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$466</w:t>
      </w:r>
      <w:r>
        <w:rPr>
          <w:rFonts w:ascii="Times New Roman" w:hAnsi="Times New Roman" w:eastAsia="Times New Roman" w:cs="Times New Roman"/>
          <w:sz w:val="20"/>
        </w:rPr>
        <w:t xml:space="preserv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 summary of the nonvested stock option activity under the 2011 Equity Incentive Plans for the year ended </w:t>
      </w:r>
      <w:r>
        <w:rPr>
          <w:rFonts w:ascii="Times New Roman" w:hAnsi="Times New Roman" w:eastAsia="Times New Roman" w:cs="Times New Roman"/>
          <w:sz w:val="20"/>
        </w:rPr>
        <w:t xml:space="preserve">December 31, 2017</w:t>
      </w:r>
      <w:r>
        <w:rPr>
          <w:rFonts w:ascii="Times New Roman" w:hAnsi="Times New Roman" w:eastAsia="Times New Roman" w:cs="Times New Roman"/>
          <w:sz w:val="20"/>
        </w:rPr>
        <w:t xml:space="preserve"> and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is presented below:</w:t>
      </w:r>
    </w:p>
    <w:tbl>
      <w:tblPr>
        <w:tblW w:type="dxa" w:w="10240"/>
        <w:tblLayout w:type="fixed"/>
        <w:jc w:val="justify"/>
      </w:tblPr>
      <w:tblGrid>
        <w:gridCol w:w="5880"/>
        <w:gridCol w:w="1083"/>
        <w:gridCol w:w="77"/>
        <w:gridCol w:w="80"/>
        <w:gridCol w:w="110"/>
        <w:gridCol w:w="1333"/>
        <w:gridCol w:w="77"/>
        <w:gridCol w:w="80"/>
        <w:gridCol w:w="1520"/>
      </w:tblGrid>
      <w:tr>
        <w:trPr>
          <w:trHeight w:hRule="exact" w:val="900"/>
        </w:trPr>
        <w:tc>
          <w:tcPr>
            <w:tcW w:type="dxa" w:w="588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color w:val="000000"/>
              </w:rPr>
              <w:t xml:space="preserve">Nonvested Options</w:t>
            </w:r>
          </w:p>
        </w:tc>
        <w:tc>
          <w:tcPr>
            <w:tcW w:type="dxa" w:w="1083"/>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Common Shares</w:t>
            </w:r>
          </w:p>
        </w:tc>
        <w:tc>
          <w:tcPr>
            <w:tcMar>
              <w:left w:type="dxa" w:w="0"/>
              <w:right w:type="dxa" w:w="60"/>
            </w:tcMar>
            <w:tcBorders>
              <w:bottom w:val="single" w:sz="8"/>
            </w:tcBorders>
            <w:hMerge w:val="continue"/>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Weighted Average</w:t>
            </w:r>
          </w:p>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Grant Date</w:t>
            </w:r>
          </w:p>
          <w:p>
            <w:pPr>
              <w:jc w:val="center"/>
              <w:keepNext/>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Fair Value</w:t>
            </w:r>
          </w:p>
        </w:tc>
        <w:tc>
          <w:tcPr>
            <w:tcMar>
              <w:left w:type="dxa" w:w="60"/>
              <w:right w:type="dxa" w:w="60"/>
            </w:tcMar>
            <w:tcBorders>
              <w:bottom w:val="single" w:sz="8"/>
            </w:tcBorders>
            <w:vAlign w:val="bottom"/>
            <w:vAlign w:val="bottom"/>
            <w:hMerge w:val="continue"/>
          </w:tcPr>
          <w:p>
            <w:pPr>
              <w:jc w:val="center"/>
              <w:keepNext/>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Weighted Average</w:t>
            </w:r>
          </w:p>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Grant Date</w:t>
            </w:r>
          </w:p>
          <w:p>
            <w:pPr>
              <w:jc w:val="center"/>
              <w:keepNext/>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Fair Value</w:t>
            </w:r>
          </w:p>
        </w:tc>
        <w:tc>
          <w:tcPr>
            <w:tcMar>
              <w:left w:type="dxa" w:w="0"/>
              <w:right w:type="dxa" w:w="60"/>
            </w:tcMar>
            <w:tcBorders>
              <w:bottom w:val="single" w:sz="8"/>
            </w:tcBorders>
            <w:hMerge w:val="continue"/>
          </w:tcPr>
          <w:p/>
        </w:tc>
        <w:tc>
          <w:tcPr>
            <w:tcW w:type="dxa" w:w="80"/>
            <w:tcMar>
              <w:left w:type="dxa" w:w="0"/>
              <w:right w:type="dxa" w:w="0"/>
            </w:tcMar>
            <w:tcBorders>
              <w:bottom w:val="single" w:sz="8"/>
            </w:tcBorders>
            <w:vAlign w:val="bottom"/>
          </w:tcPr>
          <w:p>
            <w:pPr>
              <w:jc w:val="left"/>
              <w:keepNext/>
              <w:keepLines/>
              <w:spacing w:before="40" w:after="40" w:line="240" w:lineRule="auto"/>
              <w:rPr/>
            </w:pPr>
            <w:r>
              <w:rPr/>
            </w:r>
          </w:p>
        </w:tc>
        <w:tc>
          <w:tcPr>
            <w:tcW w:type="dxa" w:w="1520"/>
            <w:tcMar>
              <w:left w:type="dxa" w:w="60"/>
              <w:right w:type="dxa" w:w="60"/>
            </w:tcMar>
            <w:tcBorders>
              <w:bottom w:val="single" w:sz="8"/>
            </w:tcBorders>
            <w:vAlign w:val="bottom"/>
            <w:vAlign w:val="bottom"/>
            <w:vAlign w:val="bottom"/>
          </w:tcPr>
          <w:p>
            <w:pPr>
              <w:jc w:val="center"/>
              <w:keepNext/>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Weighted Average</w:t>
            </w:r>
          </w:p>
          <w:p>
            <w:pPr>
              <w:jc w:val="center"/>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Remaining Years</w:t>
            </w:r>
          </w:p>
          <w:p>
            <w:pPr>
              <w:jc w:val="center"/>
              <w:keepNext/>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to Vest</w:t>
            </w:r>
          </w:p>
        </w:tc>
      </w:tr>
      <w:tr>
        <w:trPr>
          <w:trHeight w:hRule="exact" w:val="300"/>
        </w:trPr>
        <w:tc>
          <w:tcPr>
            <w:tcW w:type="dxa" w:w="58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December 31, 2016</w:t>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414,306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3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3.60</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20"/>
            <w:tcMar>
              <w:left w:type="dxa" w:w="0"/>
              <w:right w:type="dxa" w:w="6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w:t>
            </w:r>
          </w:p>
        </w:tc>
      </w:tr>
      <w:tr>
        <w:trPr>
          <w:trHeight w:hRule="exact" w:val="240"/>
        </w:trPr>
        <w:tc>
          <w:tcPr>
            <w:tcW w:type="dxa" w:w="58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Granted</w:t>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141,246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3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20"/>
            <w:tcMar>
              <w:left w:type="dxa" w:w="0"/>
              <w:right w:type="dxa" w:w="60"/>
            </w:tcMar>
            <w:tcBorders/>
            <w:vAlign w:val="bottom"/>
          </w:tcPr>
          <w:p>
            <w:pPr>
              <w:jc w:val="left"/>
              <w:keepNext/>
              <w:keepLines/>
              <w:spacing w:before="40" w:after="40" w:line="240" w:lineRule="auto"/>
              <w:rPr/>
            </w:pPr>
            <w:r>
              <w:rPr/>
            </w:r>
          </w:p>
        </w:tc>
      </w:tr>
      <w:tr>
        <w:trPr>
          <w:trHeight w:hRule="exact" w:val="240"/>
        </w:trPr>
        <w:tc>
          <w:tcPr>
            <w:tcW w:type="dxa" w:w="58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Vested</w:t>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(205,469</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3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20"/>
            <w:tcMar>
              <w:left w:type="dxa" w:w="0"/>
              <w:right w:type="dxa" w:w="60"/>
            </w:tcMar>
            <w:tcBorders/>
            <w:vAlign w:val="bottom"/>
          </w:tcPr>
          <w:p>
            <w:pPr>
              <w:jc w:val="left"/>
              <w:keepNext/>
              <w:keepLines/>
              <w:spacing w:before="40" w:after="40" w:line="240" w:lineRule="auto"/>
              <w:rPr/>
            </w:pPr>
            <w:r>
              <w:rPr/>
            </w:r>
          </w:p>
        </w:tc>
      </w:tr>
      <w:tr>
        <w:trPr>
          <w:trHeight w:hRule="exact" w:val="240"/>
        </w:trPr>
        <w:tc>
          <w:tcPr>
            <w:tcW w:type="dxa" w:w="588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Forfeited</w:t>
            </w:r>
          </w:p>
        </w:tc>
        <w:tc>
          <w:tcPr>
            <w:tcW w:type="dxa" w:w="10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(27,006</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10"/>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3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3.12</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520"/>
            <w:tcMar>
              <w:left w:type="dxa" w:w="0"/>
              <w:right w:type="dxa" w:w="60"/>
            </w:tcMar>
            <w:tcBorders>
              <w:bottom w:val="single" w:sz="8"/>
            </w:tcBorders>
            <w:vAlign w:val="bottom"/>
          </w:tcPr>
          <w:p>
            <w:pPr>
              <w:jc w:val="left"/>
              <w:keepNext/>
              <w:keepLines/>
              <w:spacing w:before="40" w:after="40" w:line="240" w:lineRule="auto"/>
              <w:rPr/>
            </w:pPr>
            <w:r>
              <w:rPr/>
            </w:r>
          </w:p>
        </w:tc>
      </w:tr>
      <w:tr>
        <w:trPr>
          <w:trHeight w:hRule="exact" w:val="300"/>
        </w:trPr>
        <w:tc>
          <w:tcPr>
            <w:tcW w:type="dxa" w:w="5880"/>
            <w:tcMar>
              <w:left w:type="dxa" w:w="60"/>
              <w:right w:type="dxa" w:w="4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December 31, 2017</w:t>
            </w:r>
          </w:p>
        </w:tc>
        <w:tc>
          <w:tcPr>
            <w:tcW w:type="dxa" w:w="108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323,077</w:t>
            </w:r>
          </w:p>
        </w:tc>
        <w:tc>
          <w:tcPr>
            <w:tcW w:type="dxa" w:w="77"/>
            <w:tcMar>
              <w:left w:type="dxa" w:w="0"/>
              <w:right w:type="dxa" w:w="0"/>
            </w:tcMar>
            <w:tcBorders>
              <w:top w:val="single" w:sz="8" w:space="0"/>
            </w:tcBorders>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3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2.64</w:t>
            </w:r>
          </w:p>
        </w:tc>
        <w:tc>
          <w:tcPr>
            <w:tcW w:type="dxa" w:w="77"/>
            <w:tcMar>
              <w:left w:type="dxa" w:w="0"/>
              <w:right w:type="dxa" w:w="0"/>
            </w:tcMar>
            <w:tcBorders>
              <w:top w:val="single" w:sz="8" w:space="0"/>
            </w:tcBorders>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1520"/>
            <w:tcMar>
              <w:left w:type="dxa" w:w="0"/>
              <w:right w:type="dxa" w:w="60"/>
            </w:tcMar>
            <w:tcBorders>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w:t>
            </w:r>
          </w:p>
        </w:tc>
      </w:tr>
      <w:tr>
        <w:trPr>
          <w:trHeight w:hRule="exact" w:val="240"/>
        </w:trPr>
        <w:tc>
          <w:tcPr>
            <w:tcW w:type="dxa" w:w="58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Granted</w:t>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98,359</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3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0.96</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20"/>
            <w:tcMar>
              <w:left w:type="dxa" w:w="0"/>
              <w:right w:type="dxa" w:w="60"/>
            </w:tcMar>
            <w:tcBorders/>
            <w:vAlign w:val="bottom"/>
          </w:tcPr>
          <w:p>
            <w:pPr>
              <w:jc w:val="left"/>
              <w:keepNext/>
              <w:keepLines/>
              <w:spacing w:before="40" w:after="40" w:line="240" w:lineRule="auto"/>
              <w:rPr/>
            </w:pPr>
            <w:r>
              <w:rPr/>
            </w:r>
          </w:p>
        </w:tc>
      </w:tr>
      <w:tr>
        <w:trPr>
          <w:trHeight w:hRule="exact" w:val="240"/>
        </w:trPr>
        <w:tc>
          <w:tcPr>
            <w:tcW w:type="dxa" w:w="58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Vested</w:t>
            </w:r>
          </w:p>
        </w:tc>
        <w:tc>
          <w:tcPr>
            <w:tcW w:type="dxa" w:w="108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(106,021</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3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2.88</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520"/>
            <w:tcMar>
              <w:left w:type="dxa" w:w="0"/>
              <w:right w:type="dxa" w:w="60"/>
            </w:tcMar>
            <w:tcBorders/>
            <w:vAlign w:val="bottom"/>
          </w:tcPr>
          <w:p>
            <w:pPr>
              <w:jc w:val="left"/>
              <w:keepNext/>
              <w:keepLines/>
              <w:spacing w:before="40" w:after="40" w:line="240" w:lineRule="auto"/>
              <w:rPr/>
            </w:pPr>
            <w:r>
              <w:rPr/>
            </w:r>
          </w:p>
        </w:tc>
      </w:tr>
      <w:tr>
        <w:trPr>
          <w:trHeight w:hRule="exact" w:val="240"/>
        </w:trPr>
        <w:tc>
          <w:tcPr>
            <w:tcW w:type="dxa" w:w="588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Forfeited</w:t>
            </w:r>
          </w:p>
        </w:tc>
        <w:tc>
          <w:tcPr>
            <w:tcW w:type="dxa" w:w="108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(37,402</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10"/>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3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2.96</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520"/>
            <w:tcMar>
              <w:left w:type="dxa" w:w="0"/>
              <w:right w:type="dxa" w:w="60"/>
            </w:tcMar>
            <w:tcBorders>
              <w:bottom w:val="single" w:sz="8"/>
            </w:tcBorders>
            <w:vAlign w:val="bottom"/>
          </w:tcPr>
          <w:p>
            <w:pPr>
              <w:jc w:val="left"/>
              <w:keepNext/>
              <w:keepLines/>
              <w:spacing w:before="40" w:after="40" w:line="240" w:lineRule="auto"/>
              <w:rPr/>
            </w:pPr>
            <w:r>
              <w:rPr/>
            </w:r>
          </w:p>
        </w:tc>
      </w:tr>
      <w:tr>
        <w:trPr>
          <w:trHeight w:hRule="exact" w:val="300"/>
        </w:trPr>
        <w:tc>
          <w:tcPr>
            <w:tcW w:type="dxa" w:w="5880"/>
            <w:tcMar>
              <w:left w:type="dxa" w:w="60"/>
              <w:right w:type="dxa" w:w="4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Nonvested at September 30, 2018</w:t>
            </w:r>
          </w:p>
        </w:tc>
        <w:tc>
          <w:tcPr>
            <w:tcW w:type="dxa" w:w="108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278,013</w:t>
            </w:r>
          </w:p>
        </w:tc>
        <w:tc>
          <w:tcPr>
            <w:tcW w:type="dxa" w:w="77"/>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3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1.92</w:t>
            </w:r>
          </w:p>
        </w:tc>
        <w:tc>
          <w:tcPr>
            <w:tcW w:type="dxa" w:w="77"/>
            <w:tcMar>
              <w:left w:type="dxa" w:w="0"/>
              <w:right w:type="dxa" w:w="0"/>
            </w:tcMar>
            <w:tcBorders>
              <w:bottom w:val="double" w:sz="4"/>
            </w:tcBorders>
          </w:tcP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520"/>
            <w:tcMar>
              <w:left w:type="dxa" w:w="0"/>
              <w:right w:type="dxa" w:w="60"/>
            </w:tcMar>
            <w:tcBorders>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w:t>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Stock-based compensation cost related to stock options granted under the 2011 Equity Incentive Plans is measured at the grant date, based on the fair value of the award, and is recognized as an expense over the employee’s requisite service period. The Company estimates the fair value of each option award on the date of grant using a Black-Scholes option-pricing model that uses the assumptions stated in Note 1.</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Total stock-based compensation expense recognized on stock option issuances, including the restricted stock issuance expense disclosed above,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$118,410</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$182,796</w:t>
      </w:r>
      <w:r>
        <w:rPr>
          <w:rFonts w:ascii="Times New Roman" w:hAnsi="Times New Roman" w:eastAsia="Times New Roman" w:cs="Times New Roman"/>
          <w:sz w:val="20"/>
        </w:rPr>
        <w:t xml:space="preserve">, respectively. Stock-based compensation (income) expense was recorded as </w:t>
      </w:r>
      <w:r>
        <w:rPr>
          <w:rFonts w:ascii="Times New Roman" w:hAnsi="Times New Roman" w:eastAsia="Times New Roman" w:cs="Times New Roman"/>
          <w:sz w:val="20"/>
        </w:rPr>
        <w:t xml:space="preserve">$3,786</w:t>
      </w:r>
      <w:r>
        <w:rPr>
          <w:rFonts w:ascii="Times New Roman" w:hAnsi="Times New Roman" w:eastAsia="Times New Roman" w:cs="Times New Roman"/>
          <w:sz w:val="20"/>
        </w:rPr>
        <w:t xml:space="preserve"> to cost of revenue, </w:t>
      </w:r>
      <w:r>
        <w:rPr>
          <w:rFonts w:ascii="Times New Roman" w:hAnsi="Times New Roman" w:eastAsia="Times New Roman" w:cs="Times New Roman"/>
          <w:sz w:val="20"/>
        </w:rPr>
        <w:t xml:space="preserve">$15,097</w:t>
      </w:r>
      <w:r>
        <w:rPr>
          <w:rFonts w:ascii="Times New Roman" w:hAnsi="Times New Roman" w:eastAsia="Times New Roman" w:cs="Times New Roman"/>
          <w:sz w:val="20"/>
        </w:rPr>
        <w:t xml:space="preserve"> to sales and marketing, and </w:t>
      </w:r>
      <w:r>
        <w:rPr>
          <w:rFonts w:ascii="Times New Roman" w:hAnsi="Times New Roman" w:eastAsia="Times New Roman" w:cs="Times New Roman"/>
          <w:sz w:val="20"/>
        </w:rPr>
        <w:t xml:space="preserve">$99,527</w:t>
      </w:r>
      <w:r>
        <w:rPr>
          <w:rFonts w:ascii="Times New Roman" w:hAnsi="Times New Roman" w:eastAsia="Times New Roman" w:cs="Times New Roman"/>
          <w:sz w:val="20"/>
        </w:rPr>
        <w:t xml:space="preserve"> to general and administrative expense in the Company's consolidated statement of operations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Stock-based compensation expense was recorded as </w:t>
      </w:r>
      <w:r>
        <w:rPr>
          <w:rFonts w:ascii="Times New Roman" w:hAnsi="Times New Roman" w:eastAsia="Times New Roman" w:cs="Times New Roman"/>
          <w:sz w:val="20"/>
        </w:rPr>
        <w:t xml:space="preserve">$14,837</w:t>
      </w:r>
      <w:r>
        <w:rPr>
          <w:rFonts w:ascii="Times New Roman" w:hAnsi="Times New Roman" w:eastAsia="Times New Roman" w:cs="Times New Roman"/>
          <w:sz w:val="20"/>
        </w:rPr>
        <w:t xml:space="preserve"> to sales and marketing, and </w:t>
      </w:r>
      <w:r>
        <w:rPr>
          <w:rFonts w:ascii="Times New Roman" w:hAnsi="Times New Roman" w:eastAsia="Times New Roman" w:cs="Times New Roman"/>
          <w:sz w:val="20"/>
        </w:rPr>
        <w:t xml:space="preserve">$167,959</w:t>
      </w:r>
      <w:r>
        <w:rPr>
          <w:rFonts w:ascii="Times New Roman" w:hAnsi="Times New Roman" w:eastAsia="Times New Roman" w:cs="Times New Roman"/>
          <w:sz w:val="20"/>
        </w:rPr>
        <w:t xml:space="preserve"> to general and administrative expense in the Company's consolidated statement of operations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2017</w:t>
      </w:r>
      <w:r>
        <w:rPr>
          <w:rFonts w:ascii="Times New Roman" w:hAnsi="Times New Roman" w:eastAsia="Times New Roman" w:cs="Times New Roman"/>
          <w:sz w:val="20"/>
        </w:rPr>
        <w:t xml:space="preserve">. Future compensation related to nonvested awards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expected to vest of </w:t>
      </w:r>
      <w:r>
        <w:rPr>
          <w:rFonts w:ascii="Times New Roman" w:hAnsi="Times New Roman" w:eastAsia="Times New Roman" w:cs="Times New Roman"/>
          <w:sz w:val="20"/>
        </w:rPr>
        <w:t xml:space="preserve">$461,976</w:t>
      </w:r>
      <w:r>
        <w:rPr>
          <w:rFonts w:ascii="Times New Roman" w:hAnsi="Times New Roman" w:eastAsia="Times New Roman" w:cs="Times New Roman"/>
          <w:sz w:val="20"/>
        </w:rPr>
        <w:t xml:space="preserve"> is estimated to be recognized over the weighted-average vesting period of approximately </w:t>
      </w:r>
      <w:r>
        <w:rPr>
          <w:rFonts w:ascii="Times New Roman" w:hAnsi="Times New Roman" w:eastAsia="Times New Roman" w:cs="Times New Roman"/>
          <w:sz w:val="20"/>
        </w:rPr>
        <w:t xml:space="preserve">2.8 years</w:t>
      </w:r>
      <w:r>
        <w:rPr>
          <w:rFonts w:ascii="Times New Roman" w:hAnsi="Times New Roman" w:eastAsia="Times New Roman" w:cs="Times New Roman"/>
          <w:sz w:val="20"/>
        </w:rPr>
        <w:t xml:space="preserv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Total stock-based compensation expense recognized on stock option issuances, including the restricted stock issuance expense disclosed above,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$468,042</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$509,642</w:t>
      </w:r>
      <w:r>
        <w:rPr>
          <w:rFonts w:ascii="Times New Roman" w:hAnsi="Times New Roman" w:eastAsia="Times New Roman" w:cs="Times New Roman"/>
          <w:sz w:val="20"/>
        </w:rPr>
        <w:t xml:space="preserve">, respectively. Stock-based compensation expense was recorded as </w:t>
      </w:r>
      <w:r>
        <w:rPr>
          <w:rFonts w:ascii="Times New Roman" w:hAnsi="Times New Roman" w:eastAsia="Times New Roman" w:cs="Times New Roman"/>
          <w:sz w:val="20"/>
        </w:rPr>
        <w:t xml:space="preserve">$14,510</w:t>
      </w:r>
      <w:r>
        <w:rPr>
          <w:rFonts w:ascii="Times New Roman" w:hAnsi="Times New Roman" w:eastAsia="Times New Roman" w:cs="Times New Roman"/>
          <w:sz w:val="20"/>
        </w:rPr>
        <w:t xml:space="preserve"> to cost of revenue, </w:t>
      </w:r>
      <w:r>
        <w:rPr>
          <w:rFonts w:ascii="Times New Roman" w:hAnsi="Times New Roman" w:eastAsia="Times New Roman" w:cs="Times New Roman"/>
          <w:sz w:val="20"/>
        </w:rPr>
        <w:t xml:space="preserve">$60,396</w:t>
      </w:r>
      <w:r>
        <w:rPr>
          <w:rFonts w:ascii="Times New Roman" w:hAnsi="Times New Roman" w:eastAsia="Times New Roman" w:cs="Times New Roman"/>
          <w:sz w:val="20"/>
        </w:rPr>
        <w:t xml:space="preserve"> to sales and marketing, and </w:t>
      </w:r>
      <w:r>
        <w:rPr>
          <w:rFonts w:ascii="Times New Roman" w:hAnsi="Times New Roman" w:eastAsia="Times New Roman" w:cs="Times New Roman"/>
          <w:sz w:val="20"/>
        </w:rPr>
        <w:t xml:space="preserve">$393,136</w:t>
      </w:r>
      <w:r>
        <w:rPr>
          <w:rFonts w:ascii="Times New Roman" w:hAnsi="Times New Roman" w:eastAsia="Times New Roman" w:cs="Times New Roman"/>
          <w:sz w:val="20"/>
        </w:rPr>
        <w:t xml:space="preserve"> to general and administrative expense in the Company's consolidated statement of operations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Stock-based compensation expense was recorded as </w:t>
      </w:r>
      <w:r>
        <w:rPr>
          <w:rFonts w:ascii="Times New Roman" w:hAnsi="Times New Roman" w:eastAsia="Times New Roman" w:cs="Times New Roman"/>
          <w:sz w:val="20"/>
        </w:rPr>
        <w:t xml:space="preserve">$45,331</w:t>
      </w:r>
      <w:r>
        <w:rPr>
          <w:rFonts w:ascii="Times New Roman" w:hAnsi="Times New Roman" w:eastAsia="Times New Roman" w:cs="Times New Roman"/>
          <w:sz w:val="20"/>
        </w:rPr>
        <w:t xml:space="preserve"> to sales and marketing, and </w:t>
      </w:r>
      <w:r>
        <w:rPr>
          <w:rFonts w:ascii="Times New Roman" w:hAnsi="Times New Roman" w:eastAsia="Times New Roman" w:cs="Times New Roman"/>
          <w:sz w:val="20"/>
        </w:rPr>
        <w:t xml:space="preserve">$464,311</w:t>
      </w:r>
      <w:r>
        <w:rPr>
          <w:rFonts w:ascii="Times New Roman" w:hAnsi="Times New Roman" w:eastAsia="Times New Roman" w:cs="Times New Roman"/>
          <w:sz w:val="20"/>
        </w:rPr>
        <w:t xml:space="preserve"> to general and administrative expense in the Company's consolidated statement of operations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2017</w:t>
      </w:r>
      <w:r>
        <w:rPr>
          <w:rFonts w:ascii="Times New Roman" w:hAnsi="Times New Roman" w:eastAsia="Times New Roman" w:cs="Times New Roman"/>
          <w:sz w:val="20"/>
        </w:rPr>
        <w:t xml:space="preserv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1080" w:left="990" w:right="990" w:bottom="860" w:footer="460" w:gutter="0" w:header="160"/>
          <w:headerReference r:id="rId10" w:type="default"/>
          <w:footerReference r:id="rId18" w:type="default"/>
        </w:sectPr>
      </w:pPr>
    </w:p>
    <w:p>
      <w:pPr>
        <w:tabs>
          <w:tab w:val="left" w:pos="1440"/>
        </w:tabs>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7.	LOSS PER COMMON SHARE</w:t>
      </w:r>
      <w:bookmarkStart w:id="29862" w:name="NOTE_7___Earnings_Per_Common_Share"/>
      <w:bookmarkEnd w:id="29862"/>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Basic loss per common share is computed by dividing the net income or loss by the basic weighted-average number of shares of common stock outstanding during each period presented. Diluted loss per common share is computed by dividing the net income or loss by the total of the basic weighted-average number of shares of common stock outstanding plus the additional dilutive securities that could be exercised or converted into common shares during each period presented less the amount of shares that could be repurchased using the proceeds from the exercises.</w:t>
      </w:r>
    </w:p>
    <w:tbl>
      <w:tblPr>
        <w:tblW w:type="dxa" w:w="10240"/>
        <w:tblLayout w:type="fixed"/>
        <w:jc w:val="center"/>
      </w:tblPr>
      <w:tblGrid>
        <w:gridCol w:w="4800"/>
        <w:gridCol w:w="110"/>
        <w:gridCol w:w="1113"/>
        <w:gridCol w:w="77"/>
        <w:gridCol w:w="80"/>
        <w:gridCol w:w="110"/>
        <w:gridCol w:w="1113"/>
        <w:gridCol w:w="77"/>
        <w:gridCol w:w="80"/>
        <w:gridCol w:w="110"/>
        <w:gridCol w:w="1113"/>
        <w:gridCol w:w="77"/>
        <w:gridCol w:w="80"/>
        <w:gridCol w:w="110"/>
        <w:gridCol w:w="1113"/>
        <w:gridCol w:w="77"/>
      </w:tblGrid>
      <w:tr>
        <w:trPr>
          <w:trHeight w:hRule="exact" w:val="300"/>
        </w:trPr>
        <w:tc>
          <w:tcPr>
            <w:tcW w:type="dxa" w:w="480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500"/>
        </w:trPr>
        <w:tc>
          <w:tcPr>
            <w:tcW w:type="dxa" w:w="4800"/>
            <w:tcMar>
              <w:left w:type="dxa" w:w="6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2018</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2017</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2017</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2018</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2017</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2017</w:t>
            </w:r>
          </w:p>
        </w:tc>
        <w:tc>
          <w:tcPr>
            <w:tcMar>
              <w:left w:type="dxa" w:w="0"/>
              <w:right w:type="dxa" w:w="60"/>
            </w:tcMar>
            <w:tcBorders>
              <w:top w:val="single" w:sz="8" w:space="0"/>
              <w:bottom w:val="single" w:sz="8"/>
            </w:tcBorders>
            <w:hMerge w:val="continue"/>
          </w:tcPr>
          <w:p/>
        </w:tc>
      </w:tr>
      <w:tr>
        <w:trPr>
          <w:trHeight w:hRule="exact" w:val="300"/>
        </w:trPr>
        <w:tc>
          <w:tcPr>
            <w:tcW w:type="dxa" w:w="48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Net loss</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(1,332,829</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(558,805</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(5,025,704</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(4,724,623</w:t>
            </w:r>
          </w:p>
        </w:tc>
        <w:tc>
          <w:tcPr>
            <w:tcW w:type="dxa" w:w="77"/>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48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 shares outstanding - basic and diluted</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10,365,750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10,365,750</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5,702,297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5,702,297</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7,351,827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7,351,827</w:t>
            </w:r>
          </w:p>
        </w:tc>
        <w:tc>
          <w:tcPr>
            <w:tcW w:type="dxa" w:w="77"/>
            <w:tcMar>
              <w:left w:type="dxa" w:w="0"/>
              <w:right w:type="dxa" w:w="0"/>
            </w:tcMar>
            <w:tcBorders>
              <w:bottom w:val="single" w:sz="8"/>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5,659,423</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5,659,423</w:t>
            </w:r>
          </w:p>
        </w:tc>
        <w:tc>
          <w:tcPr>
            <w:tcW w:type="dxa" w:w="77"/>
            <w:tcMar>
              <w:left w:type="dxa" w:w="0"/>
              <w:right w:type="dxa" w:w="0"/>
            </w:tcMar>
            <w:tcBorders>
              <w:bottom w:val="single" w:sz="8"/>
            </w:tcBorders>
          </w:tcPr>
          <w:p/>
        </w:tc>
      </w:tr>
      <w:tr>
        <w:trPr>
          <w:trHeight w:hRule="exact" w:val="300"/>
        </w:trPr>
        <w:tc>
          <w:tcPr>
            <w:tcW w:type="dxa" w:w="480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Basic and diluted loss per common share</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(0.13</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(0.10</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(0.68</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(0.83</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excluded the following weighted average items from the above computation of diluted loss per common share, as their effect would be anti-dilutive:</w:t>
      </w:r>
    </w:p>
    <w:tbl>
      <w:tblPr>
        <w:tblW w:type="dxa" w:w="10240"/>
        <w:tblLayout w:type="fixed"/>
        <w:jc w:val="center"/>
      </w:tblPr>
      <w:tblGrid>
        <w:gridCol w:w="4720"/>
        <w:gridCol w:w="80"/>
        <w:gridCol w:w="1223"/>
        <w:gridCol w:w="77"/>
        <w:gridCol w:w="80"/>
        <w:gridCol w:w="1223"/>
        <w:gridCol w:w="77"/>
        <w:gridCol w:w="80"/>
        <w:gridCol w:w="1223"/>
        <w:gridCol w:w="77"/>
        <w:gridCol w:w="80"/>
        <w:gridCol w:w="1223"/>
        <w:gridCol w:w="77"/>
      </w:tblGrid>
      <w:tr>
        <w:trPr>
          <w:trHeight w:hRule="exact" w:val="300"/>
        </w:trPr>
        <w:tc>
          <w:tcPr>
            <w:tcW w:type="dxa" w:w="4720"/>
            <w:tcMar>
              <w:left w:type="dxa" w:w="60"/>
              <w:right w:type="dxa" w:w="0"/>
            </w:tcMar>
            <w:tcBorders/>
            <w:vAlign w:val="bottom"/>
          </w:tcPr>
          <w:p>
            <w:pPr>
              <w:jc w:val="left"/>
              <w:keepNext/>
              <w:keepLines/>
              <w:spacing w:before="40" w:after="40" w:line="240" w:lineRule="auto"/>
              <w:rPr/>
            </w:pPr>
            <w:r>
              <w:rPr/>
            </w:r>
          </w:p>
        </w:tc>
        <w:tc>
          <w:tcPr>
            <w:tcW w:type="dxa" w:w="80"/>
            <w:tcMar>
              <w:left w:type="dxa" w:w="60"/>
              <w:right w:type="dxa" w:w="0"/>
            </w:tcMar>
            <w:tcBorders/>
            <w:vAlign w:val="bottom"/>
          </w:tcPr>
          <w:p>
            <w:pPr>
              <w:jc w:val="left"/>
              <w:keepNext/>
              <w:keepLines/>
              <w:spacing w:before="40" w:after="40" w:line="240" w:lineRule="auto"/>
              <w:rPr/>
            </w:pPr>
            <w:r>
              <w:rPr/>
            </w:r>
          </w:p>
        </w:tc>
        <w:tc>
          <w:tcPr>
            <w:tcW w:type="dxa" w:w="2526"/>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2526"/>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r>
      <w:tr>
        <w:trPr>
          <w:trHeight w:hRule="exact" w:val="500"/>
        </w:trPr>
        <w:tc>
          <w:tcPr>
            <w:tcW w:type="dxa" w:w="4720"/>
            <w:tcMar>
              <w:left w:type="dxa" w:w="60"/>
              <w:right w:type="dxa" w:w="0"/>
            </w:tcMar>
            <w:hMerge w:val="restart"/>
            <w:tcBorders/>
            <w:vAlign w:val="bottom"/>
          </w:tcPr>
          <w:p>
            <w:pPr>
              <w:jc w:val="left"/>
              <w:keepNext/>
              <w:keepLines/>
              <w:spacing w:before="40" w:after="40" w:line="240" w:lineRule="auto"/>
              <w:rPr/>
            </w:pPr>
            <w:r>
              <w:rPr/>
            </w: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2018</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1223"/>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2017</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2018</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tcBorders>
            <w:vAlign w:val="bottom"/>
          </w:tcPr>
          <w:p>
            <w:pPr>
              <w:jc w:val="left"/>
              <w:keepNext/>
              <w:keepLines/>
              <w:spacing w:before="40" w:after="40" w:line="240" w:lineRule="auto"/>
              <w:rPr/>
            </w:pPr>
            <w:r>
              <w:rPr/>
            </w:r>
          </w:p>
        </w:tc>
        <w:tc>
          <w:tcPr>
            <w:tcW w:type="dxa" w:w="1223"/>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2017</w:t>
            </w:r>
          </w:p>
        </w:tc>
        <w:tc>
          <w:tcPr>
            <w:tcMar>
              <w:left w:type="dxa" w:w="0"/>
              <w:right w:type="dxa" w:w="60"/>
            </w:tcMar>
            <w:tcBorders>
              <w:top w:val="single" w:sz="8" w:space="0"/>
              <w:bottom w:val="single" w:sz="8"/>
            </w:tcBorders>
            <w:hMerge w:val="continue"/>
          </w:tcPr>
          <w:p/>
        </w:tc>
      </w:tr>
      <w:tr>
        <w:trPr>
          <w:trHeight w:hRule="exact" w:val="300"/>
        </w:trPr>
        <w:tc>
          <w:tcPr>
            <w:tcW w:type="dxa" w:w="47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Stock options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1,048,135</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993,546</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1,040,940</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979,775</w:t>
            </w:r>
          </w:p>
        </w:tc>
        <w:tc>
          <w:tcPr>
            <w:tcW w:type="dxa" w:w="77"/>
            <w:tcMar>
              <w:left w:type="dxa" w:w="0"/>
              <w:right w:type="dxa" w:w="0"/>
            </w:tcMar>
            <w:tcBorders>
              <w:top w:val="single" w:sz="8" w:space="0"/>
            </w:tcBorders>
          </w:tcPr>
          <w:p/>
        </w:tc>
      </w:tr>
      <w:tr>
        <w:trPr>
          <w:trHeight w:hRule="exact" w:val="300"/>
        </w:trPr>
        <w:tc>
          <w:tcPr>
            <w:tcW w:type="dxa" w:w="47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Warrants</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480,658</w:t>
            </w:r>
          </w:p>
        </w:tc>
        <w:tc>
          <w:tcPr>
            <w:tcW w:type="dxa" w:w="77"/>
            <w:tcMar>
              <w:left w:type="dxa" w:w="0"/>
              <w:right w:type="dxa" w:w="0"/>
            </w:tcMar>
            <w:tcBorders/>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520,147</w:t>
            </w:r>
          </w:p>
        </w:tc>
        <w:tc>
          <w:tcPr>
            <w:tcW w:type="dxa" w:w="77"/>
            <w:tcMar>
              <w:left w:type="dxa" w:w="0"/>
              <w:right w:type="dxa" w:w="0"/>
            </w:tcMar>
            <w:tcBorders/>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503,413</w:t>
            </w:r>
          </w:p>
        </w:tc>
        <w:tc>
          <w:tcPr>
            <w:tcW w:type="dxa" w:w="77"/>
            <w:tcMar>
              <w:left w:type="dxa" w:w="0"/>
              <w:right w:type="dxa" w:w="0"/>
            </w:tcMar>
            <w:tcBorders>
              <w:bottom w:val="single" w:sz="8"/>
            </w:tcBorders>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537,039</w:t>
            </w:r>
          </w:p>
        </w:tc>
        <w:tc>
          <w:tcPr>
            <w:tcW w:type="dxa" w:w="77"/>
            <w:tcMar>
              <w:left w:type="dxa" w:w="0"/>
              <w:right w:type="dxa" w:w="0"/>
            </w:tcMar>
            <w:tcBorders>
              <w:bottom w:val="single" w:sz="8"/>
            </w:tcBorders>
          </w:tcPr>
          <w:p/>
        </w:tc>
      </w:tr>
      <w:tr>
        <w:trPr>
          <w:trHeight w:hRule="exact" w:val="300"/>
        </w:trPr>
        <w:tc>
          <w:tcPr>
            <w:tcW w:type="dxa" w:w="472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excluded shares</w:t>
            </w:r>
          </w:p>
        </w:tc>
        <w:tc>
          <w:tcPr>
            <w:tcW w:type="dxa" w:w="80"/>
            <w:tcMar>
              <w:left w:type="dxa" w:w="60"/>
              <w:right w:type="dxa" w:w="0"/>
            </w:tcMar>
            <w:tcBorders/>
            <w:vAlign w:val="bottom"/>
          </w:tcPr>
          <w:p>
            <w:pPr>
              <w:jc w:val="left"/>
              <w:keepLines/>
              <w:spacing w:before="40" w:after="40" w:line="240" w:lineRule="auto"/>
              <w:rPr/>
            </w:pPr>
            <w:r>
              <w:rPr/>
            </w:r>
          </w:p>
        </w:tc>
        <w:tc>
          <w:tcPr>
            <w:tcW w:type="dxa" w:w="12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1,528,793</w:t>
            </w:r>
          </w:p>
        </w:tc>
        <w:tc>
          <w:tcPr>
            <w:tcW w:type="dxa" w:w="77"/>
            <w:tcMar>
              <w:left w:type="dxa" w:w="0"/>
              <w:right w:type="dxa" w:w="0"/>
            </w:tcMar>
            <w:tcBorders>
              <w:top w:val="single" w:sz="8" w:space="0"/>
              <w:bottom w:val="double" w:sz="4"/>
            </w:tcBorders>
          </w:tcPr>
          <w:p/>
        </w:tc>
        <w:tc>
          <w:tcPr>
            <w:tcW w:type="dxa" w:w="80"/>
            <w:tcMar>
              <w:left w:type="dxa" w:w="60"/>
              <w:right w:type="dxa" w:w="0"/>
            </w:tcMar>
            <w:tcBorders/>
            <w:vAlign w:val="bottom"/>
          </w:tcPr>
          <w:p>
            <w:pPr>
              <w:jc w:val="left"/>
              <w:keepLines/>
              <w:spacing w:before="40" w:after="40" w:line="240" w:lineRule="auto"/>
              <w:rPr/>
            </w:pPr>
            <w:r>
              <w:rPr/>
            </w:r>
          </w:p>
        </w:tc>
        <w:tc>
          <w:tcPr>
            <w:tcW w:type="dxa" w:w="12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1,513,693</w:t>
            </w:r>
          </w:p>
        </w:tc>
        <w:tc>
          <w:tcPr>
            <w:tcW w:type="dxa" w:w="77"/>
            <w:tcMar>
              <w:left w:type="dxa" w:w="0"/>
              <w:right w:type="dxa" w:w="0"/>
            </w:tcMar>
            <w:tcBorders>
              <w:top w:val="single" w:sz="8" w:space="0"/>
              <w:bottom w:val="double" w:sz="4"/>
            </w:tcBorders>
          </w:tcPr>
          <w:p/>
        </w:tc>
        <w:tc>
          <w:tcPr>
            <w:tcW w:type="dxa" w:w="80"/>
            <w:tcMar>
              <w:left w:type="dxa" w:w="60"/>
              <w:right w:type="dxa" w:w="0"/>
            </w:tcMar>
            <w:tcBorders/>
            <w:vAlign w:val="bottom"/>
          </w:tcPr>
          <w:p>
            <w:pPr>
              <w:jc w:val="left"/>
              <w:keepLines/>
              <w:spacing w:before="40" w:after="40" w:line="240" w:lineRule="auto"/>
              <w:rPr/>
            </w:pPr>
            <w:r>
              <w:rPr/>
            </w:r>
          </w:p>
        </w:tc>
        <w:tc>
          <w:tcPr>
            <w:tcW w:type="dxa" w:w="122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1,544,353</w:t>
            </w:r>
          </w:p>
        </w:tc>
        <w:tc>
          <w:tcPr>
            <w:tcW w:type="dxa" w:w="77"/>
            <w:tcMar>
              <w:left w:type="dxa" w:w="0"/>
              <w:right w:type="dxa" w:w="0"/>
            </w:tcMar>
            <w:tcBorders>
              <w:bottom w:val="double" w:sz="4"/>
            </w:tcBorders>
          </w:tcPr>
          <w:p/>
        </w:tc>
        <w:tc>
          <w:tcPr>
            <w:tcW w:type="dxa" w:w="80"/>
            <w:tcMar>
              <w:left w:type="dxa" w:w="60"/>
              <w:right w:type="dxa" w:w="0"/>
            </w:tcMar>
            <w:tcBorders/>
            <w:vAlign w:val="bottom"/>
          </w:tcPr>
          <w:p>
            <w:pPr>
              <w:jc w:val="left"/>
              <w:keepLines/>
              <w:spacing w:before="40" w:after="40" w:line="240" w:lineRule="auto"/>
              <w:rPr/>
            </w:pPr>
            <w:r>
              <w:rPr/>
            </w:r>
          </w:p>
        </w:tc>
        <w:tc>
          <w:tcPr>
            <w:tcW w:type="dxa" w:w="122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1,516,814</w:t>
            </w:r>
          </w:p>
        </w:tc>
        <w:tc>
          <w:tcPr>
            <w:tcW w:type="dxa" w:w="77"/>
            <w:tcMar>
              <w:left w:type="dxa" w:w="0"/>
              <w:right w:type="dxa" w:w="0"/>
            </w:tcMar>
            <w:tcBorders>
              <w:bottom w:val="double" w:sz="4"/>
            </w:tcBorders>
          </w:tcP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9" w:type="default"/>
          <w:footerReference r:id="rId20" w:type="default"/>
        </w:sect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8.	REVENUE</w:t>
      </w:r>
      <w:bookmarkStart w:id="56224" w:name="NOTE_8___Revenue"/>
      <w:bookmarkEnd w:id="56224"/>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Except for the changes below, the Company has consistently applied its accounting policies to all periods presented in the consolidated financial statements. On January 1, 2018, the Company adopted ASC 606 using the modified retrospective method, under which comparative periods will not be restated and the cumulative effect of applying the standard will be recognized at the date of initial adoption on January 1, 2018. As a result, the opening balance of retained earnings as of January 1, 2018 decreased by </w:t>
      </w:r>
      <w:r>
        <w:rPr>
          <w:rFonts w:ascii="Times New Roman" w:hAnsi="Times New Roman" w:eastAsia="Times New Roman" w:cs="Times New Roman"/>
          <w:sz w:val="20"/>
        </w:rPr>
        <w:t xml:space="preserve">$98,822</w:t>
      </w:r>
      <w:r>
        <w:rPr>
          <w:rFonts w:ascii="Times New Roman" w:hAnsi="Times New Roman" w:eastAsia="Times New Roman" w:cs="Times New Roman"/>
          <w:sz w:val="20"/>
        </w:rPr>
        <w:t xml:space="preserve"> and the comparative information in prior year periods continues to be reported under ASC 605.</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pageBreakBefor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Initial Adoption Change</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effects to the condensed consolidated balance sheet as of December 31, 2017, as adjusted for the adoption of ASC 606 on January 1, 2018, are as follows:</w:t>
      </w:r>
    </w:p>
    <w:tbl>
      <w:tblPr>
        <w:tblW w:type="dxa" w:w="10240"/>
        <w:tblLayout w:type="fixed"/>
        <w:jc w:val="left"/>
      </w:tblPr>
      <w:tblGrid>
        <w:gridCol w:w="6640"/>
        <w:gridCol w:w="110"/>
        <w:gridCol w:w="1013"/>
        <w:gridCol w:w="77"/>
        <w:gridCol w:w="110"/>
        <w:gridCol w:w="1013"/>
        <w:gridCol w:w="77"/>
        <w:gridCol w:w="110"/>
        <w:gridCol w:w="1013"/>
        <w:gridCol w:w="77"/>
      </w:tblGrid>
      <w:tr>
        <w:trPr>
          <w:trHeight w:hRule="exact" w:val="480"/>
        </w:trPr>
        <w:tc>
          <w:tcPr>
            <w:tcW w:type="dxa" w:w="6640"/>
            <w:tcMar>
              <w:left w:type="dxa" w:w="6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As Reported 12/31/17</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As Reported 12/31/17</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Adjustments</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Adjustments</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As Adjusted 1/1/2018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As Adjusted 1/1/2018</w:t>
            </w:r>
          </w:p>
        </w:tc>
        <w:tc>
          <w:tcPr>
            <w:tcMar>
              <w:left w:type="dxa" w:w="0"/>
              <w:right w:type="dxa" w:w="60"/>
            </w:tcMar>
            <w:tcBorders>
              <w:bottom w:val="single" w:sz="8"/>
            </w:tcBorders>
            <w:hMerge w:val="continue"/>
          </w:tcPr>
          <w:p/>
        </w:tc>
      </w:tr>
      <w:tr>
        <w:trPr>
          <w:trHeight w:hRule="exact" w:val="280"/>
        </w:trPr>
        <w:tc>
          <w:tcPr>
            <w:tcW w:type="dxa" w:w="66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Assets</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66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Current:</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66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Cash and cash equivalents</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3,906,797</w:t>
            </w:r>
          </w:p>
        </w:tc>
        <w:tc>
          <w:tcPr>
            <w:tcW w:type="dxa" w:w="77"/>
            <w:tcMar>
              <w:left w:type="dxa" w:w="0"/>
              <w:right w:type="dxa" w:w="0"/>
            </w:tcMar>
            <w:tcBorders/>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3,906,797</w:t>
            </w:r>
          </w:p>
        </w:tc>
        <w:tc>
          <w:tcPr>
            <w:tcW w:type="dxa" w:w="77"/>
            <w:tcMar>
              <w:left w:type="dxa" w:w="0"/>
              <w:right w:type="dxa" w:w="0"/>
            </w:tcMar>
            <w:tcBorders/>
          </w:tcPr>
          <w:p/>
        </w:tc>
      </w:tr>
      <w:tr>
        <w:trPr>
          <w:trHeight w:hRule="exact" w:val="280"/>
        </w:trPr>
        <w:tc>
          <w:tcPr>
            <w:tcW w:type="dxa" w:w="66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Accounts receivable, net</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3,647,025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3,647,025</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92,405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92,405</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3,739,430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3,739,430</w:t>
            </w:r>
          </w:p>
        </w:tc>
        <w:tc>
          <w:tcPr>
            <w:tcW w:type="dxa" w:w="77"/>
            <w:tcMar>
              <w:left w:type="dxa" w:w="0"/>
              <w:right w:type="dxa" w:w="0"/>
            </w:tcMar>
            <w:tcBorders/>
          </w:tcPr>
          <w:p/>
        </w:tc>
      </w:tr>
      <w:tr>
        <w:trPr>
          <w:trHeight w:hRule="exact" w:val="280"/>
        </w:trPr>
        <w:tc>
          <w:tcPr>
            <w:tcW w:type="dxa" w:w="66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Prepaid expenses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389,104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389,104</w:t>
            </w:r>
          </w:p>
        </w:tc>
        <w:tc>
          <w:tcPr>
            <w:tcW w:type="dxa" w:w="77"/>
            <w:tcMar>
              <w:left w:type="dxa" w:w="0"/>
              <w:right w:type="dxa" w:w="0"/>
            </w:tcMar>
            <w:tcBorders/>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389,104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389,104</w:t>
            </w:r>
          </w:p>
        </w:tc>
        <w:tc>
          <w:tcPr>
            <w:tcW w:type="dxa" w:w="77"/>
            <w:tcMar>
              <w:left w:type="dxa" w:w="0"/>
              <w:right w:type="dxa" w:w="0"/>
            </w:tcMar>
            <w:tcBorders/>
          </w:tcPr>
          <w:p/>
        </w:tc>
      </w:tr>
      <w:tr>
        <w:trPr>
          <w:trHeight w:hRule="exact" w:val="280"/>
        </w:trPr>
        <w:tc>
          <w:tcPr>
            <w:tcW w:type="dxa" w:w="66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current assets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9,140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9,140</w:t>
            </w:r>
          </w:p>
        </w:tc>
        <w:tc>
          <w:tcPr>
            <w:tcW w:type="dxa" w:w="77"/>
            <w:tcMar>
              <w:left w:type="dxa" w:w="0"/>
              <w:right w:type="dxa" w:w="0"/>
            </w:tcMar>
            <w:tcBorders/>
          </w:tcPr>
          <w:p/>
        </w:tc>
        <w:tc>
          <w:tcPr>
            <w:tcW w:type="dxa" w:w="0"/>
            <w:tcMar>
              <w:left w:type="dxa" w:w="0"/>
              <w:right w:type="dxa" w:w="60"/>
            </w:tcMar>
            <w:tcBorders>
              <w:bottom w:val="single" w:sz="8"/>
            </w:tcBorders>
            <w:vAlign w:val="bottom"/>
            <w:hMerge w:val="restart"/>
          </w:tcPr>
          <w:p>
            <w:pPr>
              <w:jc w:val="left"/>
              <w:keepNext/>
              <w:keepLines/>
              <w:spacing w:before="40" w:after="40" w:line="240" w:lineRule="auto"/>
              <w:rPr/>
            </w:pPr>
            <w:r>
              <w:rPr/>
            </w:r>
          </w:p>
        </w:tc>
        <w:tc>
          <w:tcPr>
            <w:tcMar>
              <w:left w:type="dxa" w:w="0"/>
              <w:right w:type="dxa" w:w="60"/>
            </w:tcMar>
            <w:tcBorders>
              <w:bottom w:val="single" w:sz="8"/>
            </w:tcBorders>
            <w:hMerge w:val="continue"/>
          </w:tcPr>
          <w:p>
            <w:pPr>
              <w:jc w:val="left"/>
              <w:keepNext/>
              <w:keepLines/>
              <w:spacing w:before="40" w:after="40" w:line="240" w:lineRule="auto"/>
              <w:rPr/>
            </w:pPr>
            <w:r>
              <w:rPr/>
            </w:r>
          </w:p>
        </w:tc>
        <w:tc>
          <w:tcPr>
            <w:tcMar>
              <w:left w:type="dxa" w:w="0"/>
              <w:right w:type="dxa" w:w="60"/>
            </w:tcMar>
            <w:tcBorders>
              <w:bottom w:val="single" w:sz="8"/>
            </w:tcBorders>
            <w:hMerge w:val="continue"/>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9,140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9,140</w:t>
            </w:r>
          </w:p>
        </w:tc>
        <w:tc>
          <w:tcPr>
            <w:tcW w:type="dxa" w:w="77"/>
            <w:tcMar>
              <w:left w:type="dxa" w:w="0"/>
              <w:right w:type="dxa" w:w="0"/>
            </w:tcMar>
            <w:tcBorders/>
          </w:tcPr>
          <w:p/>
        </w:tc>
      </w:tr>
      <w:tr>
        <w:trPr>
          <w:trHeight w:hRule="exact" w:val="280"/>
        </w:trPr>
        <w:tc>
          <w:tcPr>
            <w:tcW w:type="dxa" w:w="6640"/>
            <w:tcMar>
              <w:left w:type="dxa" w:w="780"/>
              <w:right w:type="dxa" w:w="4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current assets</w:t>
            </w:r>
          </w:p>
        </w:tc>
        <w:tc>
          <w:tcPr>
            <w:tcW w:type="dxa" w:w="11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7,952,066</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7,952,066</w:t>
            </w:r>
          </w:p>
        </w:tc>
        <w:tc>
          <w:tcPr>
            <w:tcW w:type="dxa" w:w="77"/>
            <w:tcMar>
              <w:left w:type="dxa" w:w="0"/>
              <w:right w:type="dxa" w:w="0"/>
            </w:tcMar>
            <w:tcBorders>
              <w:top w:val="single" w:sz="8" w:space="0"/>
              <w:bottom w:val="single" w:sz="8"/>
            </w:tcBorders>
          </w:tcPr>
          <w:p/>
        </w:tc>
        <w:tc>
          <w:tcPr>
            <w:tcW w:type="dxa" w:w="11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92,405</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92,405</w:t>
            </w:r>
          </w:p>
        </w:tc>
        <w:tc>
          <w:tcPr>
            <w:tcW w:type="dxa" w:w="77"/>
            <w:tcMar>
              <w:left w:type="dxa" w:w="0"/>
              <w:right w:type="dxa" w:w="0"/>
            </w:tcMar>
            <w:tcBorders>
              <w:top w:val="single" w:sz="8" w:space="0"/>
              <w:bottom w:val="single" w:sz="8"/>
            </w:tcBorders>
          </w:tcPr>
          <w:p/>
        </w:tc>
        <w:tc>
          <w:tcPr>
            <w:tcW w:type="dxa" w:w="112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8,044,471</w:t>
            </w:r>
          </w:p>
        </w:tc>
        <w:tc>
          <w:tcPr>
            <w:tcMar>
              <w:left w:type="dxa" w:w="0"/>
              <w:right w:type="dxa" w:w="0"/>
            </w:tcMar>
            <w:tcBorders>
              <w:top w:val="single" w:sz="8" w:space="0"/>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8,044,471</w:t>
            </w:r>
          </w:p>
        </w:tc>
        <w:tc>
          <w:tcPr>
            <w:tcW w:type="dxa" w:w="77"/>
            <w:tcMar>
              <w:left w:type="dxa" w:w="0"/>
              <w:right w:type="dxa" w:w="0"/>
            </w:tcMar>
            <w:tcBorders>
              <w:top w:val="single" w:sz="8" w:space="0"/>
              <w:bottom w:val="single" w:sz="8"/>
            </w:tcBorders>
          </w:tcPr>
          <w:p/>
        </w:tc>
      </w:tr>
      <w:tr>
        <w:trPr>
          <w:trHeight w:hRule="exact" w:val="200"/>
        </w:trPr>
        <w:tc>
          <w:tcPr>
            <w:tcW w:type="dxa" w:w="6640"/>
            <w:tcMar>
              <w:left w:type="dxa" w:w="18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80"/>
        </w:trPr>
        <w:tc>
          <w:tcPr>
            <w:tcW w:type="dxa" w:w="66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Property and equipment, net</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286,043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286,043</w:t>
            </w:r>
          </w:p>
        </w:tc>
        <w:tc>
          <w:tcPr>
            <w:tcW w:type="dxa" w:w="77"/>
            <w:tcMar>
              <w:left w:type="dxa" w:w="0"/>
              <w:right w:type="dxa" w:w="0"/>
            </w:tcMar>
            <w:tcBorders/>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286,043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286,043</w:t>
            </w:r>
          </w:p>
        </w:tc>
        <w:tc>
          <w:tcPr>
            <w:tcW w:type="dxa" w:w="77"/>
            <w:tcMar>
              <w:left w:type="dxa" w:w="0"/>
              <w:right w:type="dxa" w:w="0"/>
            </w:tcMar>
            <w:tcBorders/>
          </w:tcPr>
          <w:p/>
        </w:tc>
      </w:tr>
      <w:tr>
        <w:trPr>
          <w:trHeight w:hRule="exact" w:val="280"/>
        </w:trPr>
        <w:tc>
          <w:tcPr>
            <w:tcW w:type="dxa" w:w="66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Goodwill</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3,604,720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3,604,720</w:t>
            </w:r>
          </w:p>
        </w:tc>
        <w:tc>
          <w:tcPr>
            <w:tcW w:type="dxa" w:w="77"/>
            <w:tcMar>
              <w:left w:type="dxa" w:w="0"/>
              <w:right w:type="dxa" w:w="0"/>
            </w:tcMar>
            <w:tcBorders/>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3,604,720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3,604,720</w:t>
            </w:r>
          </w:p>
        </w:tc>
        <w:tc>
          <w:tcPr>
            <w:tcW w:type="dxa" w:w="77"/>
            <w:tcMar>
              <w:left w:type="dxa" w:w="0"/>
              <w:right w:type="dxa" w:w="0"/>
            </w:tcMar>
            <w:tcBorders/>
          </w:tcPr>
          <w:p/>
        </w:tc>
      </w:tr>
      <w:tr>
        <w:trPr>
          <w:trHeight w:hRule="exact" w:val="280"/>
        </w:trPr>
        <w:tc>
          <w:tcPr>
            <w:tcW w:type="dxa" w:w="66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Intangible assets, net</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667,909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667,909</w:t>
            </w:r>
          </w:p>
        </w:tc>
        <w:tc>
          <w:tcPr>
            <w:tcW w:type="dxa" w:w="77"/>
            <w:tcMar>
              <w:left w:type="dxa" w:w="0"/>
              <w:right w:type="dxa" w:w="0"/>
            </w:tcMar>
            <w:tcBorders/>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667,909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667,909</w:t>
            </w:r>
          </w:p>
        </w:tc>
        <w:tc>
          <w:tcPr>
            <w:tcW w:type="dxa" w:w="77"/>
            <w:tcMar>
              <w:left w:type="dxa" w:w="0"/>
              <w:right w:type="dxa" w:w="0"/>
            </w:tcMar>
            <w:tcBorders/>
          </w:tcPr>
          <w:p/>
        </w:tc>
      </w:tr>
      <w:tr>
        <w:trPr>
          <w:trHeight w:hRule="exact" w:val="280"/>
        </w:trPr>
        <w:tc>
          <w:tcPr>
            <w:tcW w:type="dxa" w:w="66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Software development costs, net</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967,927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967,927</w:t>
            </w:r>
          </w:p>
        </w:tc>
        <w:tc>
          <w:tcPr>
            <w:tcW w:type="dxa" w:w="77"/>
            <w:tcMar>
              <w:left w:type="dxa" w:w="0"/>
              <w:right w:type="dxa" w:w="0"/>
            </w:tcMar>
            <w:tcBorders/>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967,927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967,927</w:t>
            </w:r>
          </w:p>
        </w:tc>
        <w:tc>
          <w:tcPr>
            <w:tcW w:type="dxa" w:w="77"/>
            <w:tcMar>
              <w:left w:type="dxa" w:w="0"/>
              <w:right w:type="dxa" w:w="0"/>
            </w:tcMar>
            <w:tcBorders/>
          </w:tcPr>
          <w:p/>
        </w:tc>
      </w:tr>
      <w:tr>
        <w:trPr>
          <w:trHeight w:hRule="exact" w:val="280"/>
        </w:trPr>
        <w:tc>
          <w:tcPr>
            <w:tcW w:type="dxa" w:w="664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Security deposits</w:t>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148,638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148,638</w:t>
            </w:r>
          </w:p>
        </w:tc>
        <w:tc>
          <w:tcPr>
            <w:tcW w:type="dxa" w:w="77"/>
            <w:tcMar>
              <w:left w:type="dxa" w:w="0"/>
              <w:right w:type="dxa" w:w="0"/>
            </w:tcMar>
            <w:tcBorders>
              <w:bottom w:val="single" w:sz="8"/>
            </w:tcBorders>
          </w:tcPr>
          <w:p/>
        </w:tc>
        <w:tc>
          <w:tcPr>
            <w:tcW w:type="dxa" w:w="0"/>
            <w:tcMar>
              <w:left w:type="dxa" w:w="0"/>
              <w:right w:type="dxa" w:w="60"/>
            </w:tcMar>
            <w:tcBorders>
              <w:bottom w:val="single" w:sz="8"/>
            </w:tcBorders>
            <w:vAlign w:val="bottom"/>
            <w:hMerge w:val="restart"/>
          </w:tcPr>
          <w:p>
            <w:pPr>
              <w:jc w:val="left"/>
              <w:keepNext/>
              <w:keepLines/>
              <w:spacing w:before="40" w:after="40" w:line="240" w:lineRule="auto"/>
              <w:rPr/>
            </w:pPr>
            <w:r>
              <w:rPr/>
            </w:r>
          </w:p>
        </w:tc>
        <w:tc>
          <w:tcPr>
            <w:tcMar>
              <w:left w:type="dxa" w:w="0"/>
              <w:right w:type="dxa" w:w="60"/>
            </w:tcMar>
            <w:tcBorders>
              <w:bottom w:val="single" w:sz="8"/>
            </w:tcBorders>
            <w:hMerge w:val="continue"/>
          </w:tcPr>
          <w:p>
            <w:pPr>
              <w:jc w:val="left"/>
              <w:keepNext/>
              <w:keepLines/>
              <w:spacing w:before="40" w:after="40" w:line="240" w:lineRule="auto"/>
              <w:rPr/>
            </w:pPr>
            <w:r>
              <w:rPr/>
            </w:r>
          </w:p>
        </w:tc>
        <w:tc>
          <w:tcPr>
            <w:tcMar>
              <w:left w:type="dxa" w:w="0"/>
              <w:right w:type="dxa" w:w="60"/>
            </w:tcMar>
            <w:tcBorders>
              <w:bottom w:val="single" w:sz="8"/>
            </w:tcBorders>
            <w:hMerge w:val="continue"/>
          </w:tcP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148,638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148,638</w:t>
            </w:r>
          </w:p>
        </w:tc>
        <w:tc>
          <w:tcPr>
            <w:tcW w:type="dxa" w:w="77"/>
            <w:tcMar>
              <w:left w:type="dxa" w:w="0"/>
              <w:right w:type="dxa" w:w="0"/>
            </w:tcMar>
            <w:tcBorders>
              <w:bottom w:val="single" w:sz="8"/>
            </w:tcBorders>
          </w:tcPr>
          <w:p/>
        </w:tc>
      </w:tr>
      <w:tr>
        <w:trPr>
          <w:trHeight w:hRule="exact" w:val="280"/>
        </w:trPr>
        <w:tc>
          <w:tcPr>
            <w:tcW w:type="dxa" w:w="6640"/>
            <w:tcMar>
              <w:left w:type="dxa" w:w="900"/>
              <w:right w:type="dxa" w:w="4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assets</w:t>
            </w: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13,627,303</w:t>
            </w:r>
          </w:p>
        </w:tc>
        <w:tc>
          <w:tcPr>
            <w:tcW w:type="dxa" w:w="77"/>
            <w:tcMar>
              <w:left w:type="dxa" w:w="0"/>
              <w:right w:type="dxa" w:w="0"/>
            </w:tcMar>
            <w:tcBorders>
              <w:bottom w:val="double" w:sz="4"/>
            </w:tcBorders>
          </w:tcP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92,405</w:t>
            </w:r>
          </w:p>
        </w:tc>
        <w:tc>
          <w:tcPr>
            <w:tcW w:type="dxa" w:w="77"/>
            <w:tcMar>
              <w:left w:type="dxa" w:w="0"/>
              <w:right w:type="dxa" w:w="0"/>
            </w:tcMar>
            <w:tcBorders>
              <w:bottom w:val="double" w:sz="4"/>
            </w:tcBorders>
          </w:tcPr>
          <w:p/>
        </w:tc>
        <w:tc>
          <w:tcPr>
            <w:tcW w:type="dxa" w:w="110"/>
            <w:tcMar>
              <w:left w:type="dxa" w:w="0"/>
              <w:right w:type="dxa" w:w="0"/>
            </w:tcMar>
            <w:tcBorders>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13,719,708</w:t>
            </w:r>
          </w:p>
        </w:tc>
        <w:tc>
          <w:tcPr>
            <w:tcW w:type="dxa" w:w="77"/>
            <w:tcMar>
              <w:left w:type="dxa" w:w="0"/>
              <w:right w:type="dxa" w:w="0"/>
            </w:tcMar>
            <w:tcBorders>
              <w:bottom w:val="double" w:sz="4"/>
            </w:tcBorders>
          </w:tcPr>
          <w:p/>
        </w:tc>
      </w:tr>
      <w:tr>
        <w:trPr>
          <w:trHeight w:hRule="exact" w:val="140"/>
        </w:trPr>
        <w:tc>
          <w:tcPr>
            <w:tcW w:type="dxa" w:w="6640"/>
            <w:tcMar>
              <w:left w:type="dxa" w:w="60"/>
              <w:right w:type="dxa" w:w="6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6640"/>
            <w:tcMar>
              <w:left w:type="dxa" w:w="60"/>
              <w:right w:type="dxa" w:w="60"/>
            </w:tcMar>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Liabilities and Stockholders’ Equity</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66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Current liabilities:</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66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Accounts payable</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1,756,841</w:t>
            </w:r>
          </w:p>
        </w:tc>
        <w:tc>
          <w:tcPr>
            <w:tcW w:type="dxa" w:w="77"/>
            <w:tcMar>
              <w:left w:type="dxa" w:w="0"/>
              <w:right w:type="dxa" w:w="0"/>
            </w:tcMar>
            <w:tcBorders/>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1,756,841</w:t>
            </w:r>
          </w:p>
        </w:tc>
        <w:tc>
          <w:tcPr>
            <w:tcW w:type="dxa" w:w="77"/>
            <w:tcMar>
              <w:left w:type="dxa" w:w="0"/>
              <w:right w:type="dxa" w:w="0"/>
            </w:tcMar>
            <w:tcBorders/>
          </w:tcPr>
          <w:p/>
        </w:tc>
      </w:tr>
      <w:tr>
        <w:trPr>
          <w:trHeight w:hRule="exact" w:val="280"/>
        </w:trPr>
        <w:tc>
          <w:tcPr>
            <w:tcW w:type="dxa" w:w="66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Accrued expenses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1,592,356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1,592,356</w:t>
            </w:r>
          </w:p>
        </w:tc>
        <w:tc>
          <w:tcPr>
            <w:tcW w:type="dxa" w:w="77"/>
            <w:tcMar>
              <w:left w:type="dxa" w:w="0"/>
              <w:right w:type="dxa" w:w="0"/>
            </w:tcMar>
            <w:tcBorders/>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1,592,356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1,592,356</w:t>
            </w:r>
          </w:p>
        </w:tc>
        <w:tc>
          <w:tcPr>
            <w:tcW w:type="dxa" w:w="77"/>
            <w:tcMar>
              <w:left w:type="dxa" w:w="0"/>
              <w:right w:type="dxa" w:w="0"/>
            </w:tcMar>
            <w:tcBorders/>
          </w:tcPr>
          <w:p/>
        </w:tc>
      </w:tr>
      <w:tr>
        <w:trPr>
          <w:trHeight w:hRule="exact" w:val="280"/>
        </w:trPr>
        <w:tc>
          <w:tcPr>
            <w:tcW w:type="dxa" w:w="66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Unearned revenue</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3,070,502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3,070,502</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191,227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191,227</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3,261,729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3,261,729</w:t>
            </w:r>
          </w:p>
        </w:tc>
        <w:tc>
          <w:tcPr>
            <w:tcW w:type="dxa" w:w="77"/>
            <w:tcMar>
              <w:left w:type="dxa" w:w="0"/>
              <w:right w:type="dxa" w:w="0"/>
            </w:tcMar>
            <w:tcBorders/>
          </w:tcPr>
          <w:p/>
        </w:tc>
      </w:tr>
      <w:tr>
        <w:trPr>
          <w:trHeight w:hRule="exact" w:val="280"/>
        </w:trPr>
        <w:tc>
          <w:tcPr>
            <w:tcW w:type="dxa" w:w="66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Line of credit</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500,550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500,550</w:t>
            </w:r>
          </w:p>
        </w:tc>
        <w:tc>
          <w:tcPr>
            <w:tcW w:type="dxa" w:w="77"/>
            <w:tcMar>
              <w:left w:type="dxa" w:w="0"/>
              <w:right w:type="dxa" w:w="0"/>
            </w:tcMar>
            <w:tcBorders/>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500,550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500,550</w:t>
            </w:r>
          </w:p>
        </w:tc>
        <w:tc>
          <w:tcPr>
            <w:tcW w:type="dxa" w:w="77"/>
            <w:tcMar>
              <w:left w:type="dxa" w:w="0"/>
              <w:right w:type="dxa" w:w="0"/>
            </w:tcMar>
            <w:tcBorders/>
          </w:tcPr>
          <w:p/>
        </w:tc>
      </w:tr>
      <w:tr>
        <w:trPr>
          <w:trHeight w:hRule="exact" w:val="280"/>
        </w:trPr>
        <w:tc>
          <w:tcPr>
            <w:tcW w:type="dxa" w:w="66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Current portion of deferred rent</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45,127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45,127</w:t>
            </w:r>
          </w:p>
        </w:tc>
        <w:tc>
          <w:tcPr>
            <w:tcW w:type="dxa" w:w="77"/>
            <w:tcMar>
              <w:left w:type="dxa" w:w="0"/>
              <w:right w:type="dxa" w:w="0"/>
            </w:tcMar>
            <w:tcBorders/>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45,127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45,127</w:t>
            </w:r>
          </w:p>
        </w:tc>
        <w:tc>
          <w:tcPr>
            <w:tcW w:type="dxa" w:w="77"/>
            <w:tcMar>
              <w:left w:type="dxa" w:w="0"/>
              <w:right w:type="dxa" w:w="0"/>
            </w:tcMar>
            <w:tcBorders/>
          </w:tcPr>
          <w:p/>
        </w:tc>
      </w:tr>
      <w:tr>
        <w:trPr>
          <w:trHeight w:hRule="exact" w:val="280"/>
        </w:trPr>
        <w:tc>
          <w:tcPr>
            <w:tcW w:type="dxa" w:w="6640"/>
            <w:tcMar>
              <w:left w:type="dxa" w:w="1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Current portion of acquisition costs payable</w:t>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741,155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741,155</w:t>
            </w:r>
          </w:p>
        </w:tc>
        <w:tc>
          <w:tcPr>
            <w:tcW w:type="dxa" w:w="77"/>
            <w:tcMar>
              <w:left w:type="dxa" w:w="0"/>
              <w:right w:type="dxa" w:w="0"/>
            </w:tcMar>
            <w:tcBorders>
              <w:bottom w:val="single" w:sz="8"/>
            </w:tcBorders>
          </w:tcPr>
          <w:p/>
        </w:tc>
        <w:tc>
          <w:tcPr>
            <w:tcW w:type="dxa" w:w="0"/>
            <w:tcMar>
              <w:left w:type="dxa" w:w="60"/>
              <w:right w:type="dxa" w:w="0"/>
            </w:tcMar>
            <w:tcBorders>
              <w:bottom w:val="single" w:sz="8"/>
            </w:tcBorders>
            <w:vAlign w:val="bottom"/>
            <w:hMerge w:val="restart"/>
          </w:tcPr>
          <w:p>
            <w:pPr>
              <w:jc w:val="left"/>
              <w:keepNext/>
              <w:keepLines/>
              <w:spacing w:before="40" w:after="40" w:line="240" w:lineRule="auto"/>
              <w:rPr/>
            </w:pPr>
            <w:r>
              <w:rPr/>
            </w:r>
          </w:p>
        </w:tc>
        <w:tc>
          <w:tcPr>
            <w:tcMar>
              <w:left w:type="dxa" w:w="60"/>
              <w:right w:type="dxa" w:w="0"/>
            </w:tcMar>
            <w:tcBorders>
              <w:bottom w:val="single" w:sz="8"/>
            </w:tcBorders>
            <w:hMerge w:val="continue"/>
          </w:tcPr>
          <w:p>
            <w:pPr>
              <w:jc w:val="left"/>
              <w:keepNext/>
              <w:keepLines/>
              <w:spacing w:before="40" w:after="40" w:line="240" w:lineRule="auto"/>
              <w:rPr/>
            </w:pPr>
            <w:r>
              <w:rPr/>
            </w:r>
          </w:p>
        </w:tc>
        <w:tc>
          <w:tcPr>
            <w:tcMar>
              <w:left w:type="dxa" w:w="0"/>
              <w:right w:type="dxa" w:w="0"/>
            </w:tcMar>
            <w:tcBorders>
              <w:bottom w:val="single" w:sz="8"/>
            </w:tcBorders>
            <w:hMerge w:val="continue"/>
          </w:tcP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741,155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741,155</w:t>
            </w:r>
          </w:p>
        </w:tc>
        <w:tc>
          <w:tcPr>
            <w:tcW w:type="dxa" w:w="77"/>
            <w:tcMar>
              <w:left w:type="dxa" w:w="0"/>
              <w:right w:type="dxa" w:w="0"/>
            </w:tcMar>
            <w:tcBorders>
              <w:bottom w:val="single" w:sz="8"/>
            </w:tcBorders>
          </w:tcPr>
          <w:p/>
        </w:tc>
      </w:tr>
      <w:tr>
        <w:trPr>
          <w:trHeight w:hRule="exact" w:val="280"/>
        </w:trPr>
        <w:tc>
          <w:tcPr>
            <w:tcW w:type="dxa" w:w="6640"/>
            <w:tcMar>
              <w:left w:type="dxa" w:w="7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current liabilities</w:t>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7,706,531</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7,706,531</w:t>
            </w:r>
          </w:p>
        </w:tc>
        <w:tc>
          <w:tcPr>
            <w:tcW w:type="dxa" w:w="77"/>
            <w:tcMar>
              <w:left w:type="dxa" w:w="0"/>
              <w:right w:type="dxa" w:w="0"/>
            </w:tcMar>
            <w:tcBorders>
              <w:bottom w:val="single" w:sz="8"/>
            </w:tcBorders>
          </w:tcP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191,227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191,227</w:t>
            </w:r>
          </w:p>
        </w:tc>
        <w:tc>
          <w:tcPr>
            <w:tcW w:type="dxa" w:w="77"/>
            <w:tcMar>
              <w:left w:type="dxa" w:w="0"/>
              <w:right w:type="dxa" w:w="0"/>
            </w:tcMar>
            <w:tcBorders>
              <w:bottom w:val="single" w:sz="8"/>
            </w:tcBorders>
          </w:tcP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7,897,758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7,897,758</w:t>
            </w:r>
          </w:p>
        </w:tc>
        <w:tc>
          <w:tcPr>
            <w:tcW w:type="dxa" w:w="77"/>
            <w:tcMar>
              <w:left w:type="dxa" w:w="0"/>
              <w:right w:type="dxa" w:w="0"/>
            </w:tcMar>
            <w:tcBorders>
              <w:bottom w:val="single" w:sz="8"/>
            </w:tcBorders>
          </w:tcPr>
          <w:p/>
        </w:tc>
      </w:tr>
      <w:tr>
        <w:trPr>
          <w:trHeight w:hRule="exact" w:val="200"/>
        </w:trPr>
        <w:tc>
          <w:tcPr>
            <w:tcW w:type="dxa" w:w="664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80"/>
        </w:trPr>
        <w:tc>
          <w:tcPr>
            <w:tcW w:type="dxa" w:w="66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Deferred rent, less current portion</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17,419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17,419</w:t>
            </w:r>
          </w:p>
        </w:tc>
        <w:tc>
          <w:tcPr>
            <w:tcW w:type="dxa" w:w="77"/>
            <w:tcMar>
              <w:left w:type="dxa" w:w="0"/>
              <w:right w:type="dxa" w:w="0"/>
            </w:tcMar>
            <w:tcBorders/>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17,419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17,419</w:t>
            </w:r>
          </w:p>
        </w:tc>
        <w:tc>
          <w:tcPr>
            <w:tcW w:type="dxa" w:w="77"/>
            <w:tcMar>
              <w:left w:type="dxa" w:w="0"/>
              <w:right w:type="dxa" w:w="0"/>
            </w:tcMar>
            <w:tcBorders/>
          </w:tcPr>
          <w:p/>
        </w:tc>
      </w:tr>
      <w:tr>
        <w:trPr>
          <w:trHeight w:hRule="exact" w:val="280"/>
        </w:trPr>
        <w:tc>
          <w:tcPr>
            <w:tcW w:type="dxa" w:w="664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Acquisition costs payable, less current portion</w:t>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609,768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609,768</w:t>
            </w:r>
          </w:p>
        </w:tc>
        <w:tc>
          <w:tcPr>
            <w:tcW w:type="dxa" w:w="77"/>
            <w:tcMar>
              <w:left w:type="dxa" w:w="0"/>
              <w:right w:type="dxa" w:w="0"/>
            </w:tcMar>
            <w:tcBorders>
              <w:bottom w:val="single" w:sz="8"/>
            </w:tcBorders>
          </w:tcPr>
          <w:p/>
        </w:tc>
        <w:tc>
          <w:tcPr>
            <w:tcW w:type="dxa" w:w="0"/>
            <w:tcMar>
              <w:left w:type="dxa" w:w="0"/>
              <w:right w:type="dxa" w:w="60"/>
            </w:tcMar>
            <w:tcBorders>
              <w:bottom w:val="single" w:sz="8"/>
            </w:tcBorders>
            <w:vAlign w:val="bottom"/>
            <w:hMerge w:val="restart"/>
          </w:tcPr>
          <w:p>
            <w:pPr>
              <w:jc w:val="left"/>
              <w:keepNext/>
              <w:keepLines/>
              <w:spacing w:before="40" w:after="40" w:line="240" w:lineRule="auto"/>
              <w:rPr/>
            </w:pPr>
            <w:r>
              <w:rPr/>
            </w:r>
          </w:p>
        </w:tc>
        <w:tc>
          <w:tcPr>
            <w:tcMar>
              <w:left w:type="dxa" w:w="0"/>
              <w:right w:type="dxa" w:w="60"/>
            </w:tcMar>
            <w:tcBorders>
              <w:bottom w:val="single" w:sz="8"/>
            </w:tcBorders>
            <w:hMerge w:val="continue"/>
          </w:tcPr>
          <w:p>
            <w:pPr>
              <w:jc w:val="left"/>
              <w:keepNext/>
              <w:keepLines/>
              <w:spacing w:before="40" w:after="40" w:line="240" w:lineRule="auto"/>
              <w:rPr/>
            </w:pPr>
            <w:r>
              <w:rPr/>
            </w:r>
          </w:p>
        </w:tc>
        <w:tc>
          <w:tcPr>
            <w:tcMar>
              <w:left w:type="dxa" w:w="0"/>
              <w:right w:type="dxa" w:w="60"/>
            </w:tcMar>
            <w:tcBorders>
              <w:bottom w:val="single" w:sz="8"/>
            </w:tcBorders>
            <w:hMerge w:val="continue"/>
          </w:tcP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609,768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609,768</w:t>
            </w:r>
          </w:p>
        </w:tc>
        <w:tc>
          <w:tcPr>
            <w:tcW w:type="dxa" w:w="77"/>
            <w:tcMar>
              <w:left w:type="dxa" w:w="0"/>
              <w:right w:type="dxa" w:w="0"/>
            </w:tcMar>
            <w:tcBorders>
              <w:bottom w:val="single" w:sz="8"/>
            </w:tcBorders>
          </w:tcPr>
          <w:p/>
        </w:tc>
      </w:tr>
      <w:tr>
        <w:trPr>
          <w:trHeight w:hRule="exact" w:val="280"/>
        </w:trPr>
        <w:tc>
          <w:tcPr>
            <w:tcW w:type="dxa" w:w="6640"/>
            <w:tcMar>
              <w:left w:type="dxa" w:w="7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liabilities</w:t>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8,333,718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8,333,718</w:t>
            </w:r>
          </w:p>
        </w:tc>
        <w:tc>
          <w:tcPr>
            <w:tcW w:type="dxa" w:w="77"/>
            <w:tcMar>
              <w:left w:type="dxa" w:w="0"/>
              <w:right w:type="dxa" w:w="0"/>
            </w:tcMar>
            <w:tcBorders>
              <w:bottom w:val="single" w:sz="8"/>
            </w:tcBorders>
          </w:tcP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191,227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191,227</w:t>
            </w:r>
          </w:p>
        </w:tc>
        <w:tc>
          <w:tcPr>
            <w:tcW w:type="dxa" w:w="77"/>
            <w:tcMar>
              <w:left w:type="dxa" w:w="0"/>
              <w:right w:type="dxa" w:w="0"/>
            </w:tcMar>
            <w:tcBorders>
              <w:bottom w:val="single" w:sz="8"/>
            </w:tcBorders>
          </w:tcP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8,524,945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8,524,945</w:t>
            </w:r>
          </w:p>
        </w:tc>
        <w:tc>
          <w:tcPr>
            <w:tcW w:type="dxa" w:w="77"/>
            <w:tcMar>
              <w:left w:type="dxa" w:w="0"/>
              <w:right w:type="dxa" w:w="0"/>
            </w:tcMar>
            <w:tcBorders>
              <w:bottom w:val="single" w:sz="8"/>
            </w:tcBorders>
          </w:tcPr>
          <w:p/>
        </w:tc>
      </w:tr>
      <w:tr>
        <w:trPr>
          <w:trHeight w:hRule="exact" w:val="200"/>
        </w:trPr>
        <w:tc>
          <w:tcPr>
            <w:tcW w:type="dxa" w:w="664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80"/>
        </w:trPr>
        <w:tc>
          <w:tcPr>
            <w:tcW w:type="dxa" w:w="66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Stockholders’ equity:</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500"/>
        </w:trPr>
        <w:tc>
          <w:tcPr>
            <w:tcW w:type="dxa" w:w="66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Common stock, $.0001 par value; 200,000,000 shares authorized; 5,733,981 issued and outstanding</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573</w:t>
            </w:r>
          </w:p>
        </w:tc>
        <w:tc>
          <w:tcPr>
            <w:tcW w:type="dxa" w:w="77"/>
            <w:tcMar>
              <w:left w:type="dxa" w:w="0"/>
              <w:right w:type="dxa" w:w="0"/>
            </w:tcMar>
            <w:tcBorders/>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573</w:t>
            </w:r>
          </w:p>
        </w:tc>
        <w:tc>
          <w:tcPr>
            <w:tcW w:type="dxa" w:w="77"/>
            <w:tcMar>
              <w:left w:type="dxa" w:w="0"/>
              <w:right w:type="dxa" w:w="0"/>
            </w:tcMar>
            <w:tcBorders/>
          </w:tcPr>
          <w:p/>
        </w:tc>
      </w:tr>
      <w:tr>
        <w:trPr>
          <w:trHeight w:hRule="exact" w:val="280"/>
        </w:trPr>
        <w:tc>
          <w:tcPr>
            <w:tcW w:type="dxa" w:w="66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Additional paid-in capital</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52,570,432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52,570,432</w:t>
            </w:r>
          </w:p>
        </w:tc>
        <w:tc>
          <w:tcPr>
            <w:tcW w:type="dxa" w:w="77"/>
            <w:tcMar>
              <w:left w:type="dxa" w:w="0"/>
              <w:right w:type="dxa" w:w="0"/>
            </w:tcMar>
            <w:tcBorders/>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52,570,432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52,570,432</w:t>
            </w:r>
          </w:p>
        </w:tc>
        <w:tc>
          <w:tcPr>
            <w:tcW w:type="dxa" w:w="77"/>
            <w:tcMar>
              <w:left w:type="dxa" w:w="0"/>
              <w:right w:type="dxa" w:w="0"/>
            </w:tcMar>
            <w:tcBorders/>
          </w:tcPr>
          <w:p/>
        </w:tc>
      </w:tr>
      <w:tr>
        <w:trPr>
          <w:trHeight w:hRule="exact" w:val="280"/>
        </w:trPr>
        <w:tc>
          <w:tcPr>
            <w:tcW w:type="dxa" w:w="6640"/>
            <w:tcMar>
              <w:left w:type="dxa" w:w="1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Accumulated deficit</w:t>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(47,277,420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(47,277,420</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(98,822</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(98,822</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(47,376,242</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(47,376,242</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6640"/>
            <w:tcMar>
              <w:left w:type="dxa" w:w="7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stockholders’ equity</w:t>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5,293,585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5,293,585</w:t>
            </w:r>
          </w:p>
        </w:tc>
        <w:tc>
          <w:tcPr>
            <w:tcW w:type="dxa" w:w="77"/>
            <w:tcMar>
              <w:left w:type="dxa" w:w="0"/>
              <w:right w:type="dxa" w:w="0"/>
            </w:tcMar>
            <w:tcBorders>
              <w:bottom w:val="single" w:sz="8"/>
            </w:tcBorders>
          </w:tcP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(98,822</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(98,822</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5,194,763</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5,194,763</w:t>
            </w:r>
          </w:p>
        </w:tc>
        <w:tc>
          <w:tcPr>
            <w:tcW w:type="dxa" w:w="77"/>
            <w:tcMar>
              <w:left w:type="dxa" w:w="0"/>
              <w:right w:type="dxa" w:w="0"/>
            </w:tcMar>
            <w:tcBorders>
              <w:bottom w:val="single" w:sz="8"/>
            </w:tcBorders>
          </w:tcPr>
          <w:p/>
        </w:tc>
      </w:tr>
      <w:tr>
        <w:trPr>
          <w:trHeight w:hRule="exact" w:val="280"/>
        </w:trPr>
        <w:tc>
          <w:tcPr>
            <w:tcW w:type="dxa" w:w="6640"/>
            <w:tcMar>
              <w:left w:type="dxa" w:w="90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80"/>
        </w:trPr>
        <w:tc>
          <w:tcPr>
            <w:tcW w:type="dxa" w:w="6640"/>
            <w:tcMar>
              <w:left w:type="dxa" w:w="780"/>
              <w:right w:type="dxa" w:w="4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liabilities and stockholders’ equity</w:t>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13,627,303</w:t>
            </w:r>
          </w:p>
        </w:tc>
        <w:tc>
          <w:tcPr>
            <w:tcW w:type="dxa" w:w="77"/>
            <w:tcMar>
              <w:left w:type="dxa" w:w="0"/>
              <w:right w:type="dxa" w:w="0"/>
            </w:tcMar>
            <w:tcBorders>
              <w:bottom w:val="double" w:sz="4"/>
            </w:tcBorders>
          </w:tcP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92,405</w:t>
            </w:r>
          </w:p>
        </w:tc>
        <w:tc>
          <w:tcPr>
            <w:tcW w:type="dxa" w:w="77"/>
            <w:tcMar>
              <w:left w:type="dxa" w:w="0"/>
              <w:right w:type="dxa" w:w="0"/>
            </w:tcMar>
            <w:tcBorders>
              <w:bottom w:val="double" w:sz="4"/>
            </w:tcBorders>
          </w:tcP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13,719,708</w:t>
            </w:r>
          </w:p>
        </w:tc>
        <w:tc>
          <w:tcPr>
            <w:tcW w:type="dxa" w:w="77"/>
            <w:tcMar>
              <w:left w:type="dxa" w:w="0"/>
              <w:right w:type="dxa" w:w="0"/>
            </w:tcMar>
            <w:tcBorders>
              <w:bottom w:val="double" w:sz="4"/>
            </w:tcBorders>
          </w:tcPr>
          <w:p/>
        </w:tc>
      </w:tr>
    </w:tbl>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before="60"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pageBreakBefor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Dual Reporting</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effects to the condensed consolidated financial statements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as a result of applying ASC 606, rather than previous GAAP for revenue ("ASC 605") are as follows:</w:t>
      </w:r>
    </w:p>
    <w:tbl>
      <w:tblPr>
        <w:tblW w:type="dxa" w:w="10240"/>
        <w:tblLayout w:type="fixed"/>
        <w:jc w:val="left"/>
      </w:tblPr>
      <w:tblGrid>
        <w:gridCol w:w="6640"/>
        <w:gridCol w:w="110"/>
        <w:gridCol w:w="1013"/>
        <w:gridCol w:w="77"/>
        <w:gridCol w:w="110"/>
        <w:gridCol w:w="1013"/>
        <w:gridCol w:w="77"/>
        <w:gridCol w:w="110"/>
        <w:gridCol w:w="1013"/>
        <w:gridCol w:w="77"/>
      </w:tblGrid>
      <w:tr>
        <w:trPr>
          <w:trHeight w:hRule="exact" w:val="700"/>
        </w:trPr>
        <w:tc>
          <w:tcPr>
            <w:tcW w:type="dxa" w:w="6640"/>
            <w:tcMar>
              <w:left w:type="dxa" w:w="6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As Reported (ASC 606)</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As Reported (ASC 606)</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Adjustments</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Adjustments</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Previous GAAP    (ASC 605)</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Previous GAAP    (ASC 605)</w:t>
            </w:r>
          </w:p>
        </w:tc>
        <w:tc>
          <w:tcPr>
            <w:tcMar>
              <w:left w:type="dxa" w:w="0"/>
              <w:right w:type="dxa" w:w="60"/>
            </w:tcMar>
            <w:tcBorders>
              <w:bottom w:val="single" w:sz="8"/>
            </w:tcBorders>
            <w:hMerge w:val="continue"/>
          </w:tcPr>
          <w:p/>
        </w:tc>
      </w:tr>
      <w:tr>
        <w:trPr>
          <w:trHeight w:hRule="exact" w:val="280"/>
        </w:trPr>
        <w:tc>
          <w:tcPr>
            <w:tcW w:type="dxa" w:w="66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u w:val="single" w:color="000000"/>
              </w:rPr>
              <w:t xml:space="preserve">Balance Sheet:</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66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Accounts receivable, net</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6,811,029</w:t>
            </w:r>
          </w:p>
        </w:tc>
        <w:tc>
          <w:tcPr>
            <w:tcW w:type="dxa" w:w="77"/>
            <w:tcMar>
              <w:left w:type="dxa" w:w="0"/>
              <w:right w:type="dxa" w:w="0"/>
            </w:tcMar>
            <w:tcBorders/>
          </w:tcP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156,315</w:t>
            </w:r>
          </w:p>
        </w:tc>
        <w:tc>
          <w:tcPr>
            <w:tcW w:type="dxa" w:w="77"/>
            <w:tcMar>
              <w:left w:type="dxa" w:w="0"/>
              <w:right w:type="dxa" w:w="0"/>
            </w:tcMar>
            <w:tcBorders/>
          </w:tcP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6,967,344</w:t>
            </w:r>
          </w:p>
        </w:tc>
        <w:tc>
          <w:tcPr>
            <w:tcW w:type="dxa" w:w="77"/>
            <w:tcMar>
              <w:left w:type="dxa" w:w="0"/>
              <w:right w:type="dxa" w:w="0"/>
            </w:tcMar>
            <w:tcBorders/>
          </w:tcPr>
          <w:p/>
        </w:tc>
      </w:tr>
      <w:tr>
        <w:trPr>
          <w:trHeight w:hRule="exact" w:val="280"/>
        </w:trPr>
        <w:tc>
          <w:tcPr>
            <w:tcW w:type="dxa" w:w="66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Contract liabilities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5,631,096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5,631,096</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(5,631,096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(5,631,096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r>
      <w:tr>
        <w:trPr>
          <w:trHeight w:hRule="exact" w:val="280"/>
        </w:trPr>
        <w:tc>
          <w:tcPr>
            <w:tcW w:type="dxa" w:w="66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Unearned revenue</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5,659,184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5,659,184</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5,659,184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5,659,184</w:t>
            </w:r>
          </w:p>
        </w:tc>
        <w:tc>
          <w:tcPr>
            <w:tcW w:type="dxa" w:w="77"/>
            <w:tcMar>
              <w:left w:type="dxa" w:w="0"/>
              <w:right w:type="dxa" w:w="0"/>
            </w:tcMar>
            <w:tcBorders/>
          </w:tcPr>
          <w:p/>
        </w:tc>
      </w:tr>
      <w:tr>
        <w:trPr>
          <w:trHeight w:hRule="exact" w:val="280"/>
        </w:trPr>
        <w:tc>
          <w:tcPr>
            <w:tcW w:type="dxa" w:w="66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Accumulated deficit</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(52,401,946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(52,401,946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128,227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128,227</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(52,273,719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(52,273,719</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664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66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u w:val="single" w:color="000000"/>
              </w:rPr>
              <w:t xml:space="preserve">Statements of Operations:</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66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Revenue:</w:t>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66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 September 30, 2018</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5,780,941</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16,459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16,459</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5,797,400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5,797,400</w:t>
            </w:r>
          </w:p>
        </w:tc>
        <w:tc>
          <w:tcPr>
            <w:tcW w:type="dxa" w:w="77"/>
            <w:tcMar>
              <w:left w:type="dxa" w:w="0"/>
              <w:right w:type="dxa" w:w="0"/>
            </w:tcMar>
            <w:tcBorders/>
          </w:tcPr>
          <w:p/>
        </w:tc>
      </w:tr>
      <w:tr>
        <w:trPr>
          <w:trHeight w:hRule="exact" w:val="280"/>
        </w:trPr>
        <w:tc>
          <w:tcPr>
            <w:tcW w:type="dxa" w:w="664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 September 30, 2018</w:t>
            </w:r>
          </w:p>
        </w:tc>
        <w:tc>
          <w:tcPr>
            <w:tcW w:type="dxa" w:w="110"/>
            <w:tcMar>
              <w:left w:type="dxa" w:w="0"/>
              <w:right w:type="dxa" w:w="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13,798,342</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29,405</w:t>
            </w:r>
          </w:p>
        </w:tc>
        <w:tc>
          <w:tcPr>
            <w:tcMar>
              <w:left w:type="dxa" w:w="0"/>
              <w:right w:type="dxa" w:w="0"/>
            </w:tcMar>
            <w:tcBorders/>
            <w:vAlign w:val="bottom"/>
            <w:hMerge w:val="continue"/>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29,405</w:t>
            </w:r>
          </w:p>
        </w:tc>
        <w:tc>
          <w:tcPr>
            <w:tcW w:type="dxa" w:w="77"/>
            <w:tcMar>
              <w:left w:type="dxa" w:w="0"/>
              <w:right w:type="dxa" w:w="0"/>
            </w:tcMar>
            <w:tcBorders/>
          </w:tcPr>
          <w:p/>
        </w:tc>
        <w:tc>
          <w:tcPr>
            <w:tcW w:type="dxa" w:w="112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13,827,747</w:t>
            </w:r>
          </w:p>
        </w:tc>
        <w:tc>
          <w:tcPr>
            <w:tcMar>
              <w:left w:type="dxa" w:w="0"/>
              <w:right w:type="dxa" w:w="0"/>
            </w:tcMar>
            <w:tcBorders/>
            <w:vAlign w:val="bottom"/>
            <w:hMerge w:val="continue"/>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13,827,747</w:t>
            </w:r>
          </w:p>
        </w:tc>
        <w:tc>
          <w:tcPr>
            <w:tcW w:type="dxa" w:w="77"/>
            <w:tcMar>
              <w:left w:type="dxa" w:w="0"/>
              <w:right w:type="dxa" w:w="0"/>
            </w:tcMar>
            <w:tcBorders/>
          </w:tcPr>
          <w:p/>
        </w:tc>
      </w:tr>
    </w:tbl>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changes reflected above were primarily due to the Company's delivery of its managed services related to influencer marketing services. Under ASC 605, these were recognized as separate elements at a point in time as services were delivered to the customer and under ASC 606, these are recognized as a single performance obligation over time based on an input model utilizing cost-to-cost methodology.</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Disaggregation of Revenue</w:t>
      </w:r>
    </w:p>
    <w:p>
      <w:pPr>
        <w:jc w:val="left"/>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table illustrates our revenue by product service type:</w:t>
      </w:r>
    </w:p>
    <w:tbl>
      <w:tblPr>
        <w:tblW w:type="dxa" w:w="10240"/>
        <w:tblLayout w:type="fixed"/>
        <w:jc w:val="left"/>
      </w:tblPr>
      <w:tblGrid>
        <w:gridCol w:w="6240"/>
        <w:gridCol w:w="110"/>
        <w:gridCol w:w="1813"/>
        <w:gridCol w:w="77"/>
        <w:gridCol w:w="110"/>
        <w:gridCol w:w="1813"/>
        <w:gridCol w:w="77"/>
      </w:tblGrid>
      <w:tr>
        <w:trPr>
          <w:trHeight w:hRule="exact" w:val="300"/>
        </w:trPr>
        <w:tc>
          <w:tcPr>
            <w:tcW w:type="dxa" w:w="624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r>
          </w:p>
        </w:tc>
        <w:tc>
          <w:tcPr>
            <w:tcMar>
              <w:left w:type="dxa" w:w="0"/>
              <w:right w:type="dxa" w:w="60"/>
            </w:tcMar>
            <w:tcBorders/>
            <w:hMerge w:val="continue"/>
          </w:tcPr>
          <w:p/>
        </w:tc>
        <w:tc>
          <w:tcPr>
            <w:tcW w:type="dxa" w:w="0"/>
            <w:tcMar>
              <w:left w:type="dxa" w:w="60"/>
              <w:right w:type="dxa" w:w="60"/>
            </w:tcMar>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r>
          </w:p>
        </w:tc>
        <w:tc>
          <w:tcPr>
            <w:tcMar>
              <w:left w:type="dxa" w:w="60"/>
              <w:right w:type="dxa" w:w="60"/>
            </w:tcMar>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r>
          </w:p>
        </w:tc>
        <w:tc>
          <w:tcPr>
            <w:tcMar>
              <w:left w:type="dxa" w:w="0"/>
              <w:right w:type="dxa" w:w="60"/>
            </w:tcMar>
            <w:tcBorders/>
            <w:hMerge w:val="continue"/>
          </w:tcPr>
          <w:p/>
        </w:tc>
      </w:tr>
      <w:tr>
        <w:trPr>
          <w:trHeight w:hRule="exact" w:val="300"/>
        </w:trPr>
        <w:tc>
          <w:tcPr>
            <w:tcW w:type="dxa" w:w="624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2018</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2018</w:t>
            </w:r>
          </w:p>
        </w:tc>
        <w:tc>
          <w:tcPr>
            <w:tcMar>
              <w:left w:type="dxa" w:w="0"/>
              <w:right w:type="dxa" w:w="60"/>
            </w:tcMar>
            <w:tcBorders>
              <w:bottom w:val="single" w:sz="8"/>
            </w:tcBorders>
            <w:hMerge w:val="continue"/>
          </w:tcPr>
          <w:p/>
        </w:tc>
      </w:tr>
      <w:tr>
        <w:trPr>
          <w:trHeight w:hRule="exact" w:val="280"/>
        </w:trPr>
        <w:tc>
          <w:tcPr>
            <w:tcW w:type="dxa" w:w="6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Managed Services</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8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4,859,435</w:t>
            </w:r>
          </w:p>
        </w:tc>
        <w:tc>
          <w:tcPr>
            <w:tcW w:type="dxa" w:w="77"/>
            <w:tcMar>
              <w:left w:type="dxa" w:w="0"/>
              <w:right w:type="dxa" w:w="0"/>
            </w:tcMar>
            <w:tcBorders>
              <w:top w:val="single" w:sz="8" w:space="0"/>
            </w:tcBorders>
          </w:tcP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8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12,660,949</w:t>
            </w:r>
          </w:p>
        </w:tc>
        <w:tc>
          <w:tcPr>
            <w:tcW w:type="dxa" w:w="77"/>
            <w:tcMar>
              <w:left w:type="dxa" w:w="0"/>
              <w:right w:type="dxa" w:w="0"/>
            </w:tcMar>
            <w:tcBorders>
              <w:top w:val="single" w:sz="8" w:space="0"/>
            </w:tcBorders>
          </w:tcPr>
          <w:p/>
        </w:tc>
      </w:tr>
      <w:tr>
        <w:trPr>
          <w:trHeight w:hRule="exact" w:val="280"/>
        </w:trPr>
        <w:tc>
          <w:tcPr>
            <w:tcW w:type="dxa" w:w="6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Marketplace Spend Fees, net</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378,768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378,768</w:t>
            </w:r>
          </w:p>
        </w:tc>
        <w:tc>
          <w:tcPr>
            <w:tcW w:type="dxa" w:w="77"/>
            <w:tcMar>
              <w:left w:type="dxa" w:w="0"/>
              <w:right w:type="dxa" w:w="0"/>
            </w:tcMar>
            <w:tcBorders/>
          </w:tcP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388,492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388,492</w:t>
            </w:r>
          </w:p>
        </w:tc>
        <w:tc>
          <w:tcPr>
            <w:tcW w:type="dxa" w:w="77"/>
            <w:tcMar>
              <w:left w:type="dxa" w:w="0"/>
              <w:right w:type="dxa" w:w="0"/>
            </w:tcMar>
            <w:tcBorders/>
          </w:tcPr>
          <w:p/>
        </w:tc>
      </w:tr>
      <w:tr>
        <w:trPr>
          <w:trHeight w:hRule="exact" w:val="280"/>
        </w:trPr>
        <w:tc>
          <w:tcPr>
            <w:tcW w:type="dxa" w:w="6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License Fees</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485,651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485,651</w:t>
            </w:r>
          </w:p>
        </w:tc>
        <w:tc>
          <w:tcPr>
            <w:tcW w:type="dxa" w:w="77"/>
            <w:tcMar>
              <w:left w:type="dxa" w:w="0"/>
              <w:right w:type="dxa" w:w="0"/>
            </w:tcMar>
            <w:tcBorders/>
          </w:tcP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538,262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538,262</w:t>
            </w:r>
          </w:p>
        </w:tc>
        <w:tc>
          <w:tcPr>
            <w:tcW w:type="dxa" w:w="77"/>
            <w:tcMar>
              <w:left w:type="dxa" w:w="0"/>
              <w:right w:type="dxa" w:w="0"/>
            </w:tcMar>
            <w:tcBorders/>
          </w:tcPr>
          <w:p/>
        </w:tc>
      </w:tr>
      <w:tr>
        <w:trPr>
          <w:trHeight w:hRule="exact" w:val="280"/>
        </w:trPr>
        <w:tc>
          <w:tcPr>
            <w:tcW w:type="dxa" w:w="6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Legacy Workflow, net</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48,409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48,409</w:t>
            </w:r>
          </w:p>
        </w:tc>
        <w:tc>
          <w:tcPr>
            <w:tcW w:type="dxa" w:w="77"/>
            <w:tcMar>
              <w:left w:type="dxa" w:w="0"/>
              <w:right w:type="dxa" w:w="0"/>
            </w:tcMar>
            <w:tcBorders/>
          </w:tcP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164,994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164,994</w:t>
            </w:r>
          </w:p>
        </w:tc>
        <w:tc>
          <w:tcPr>
            <w:tcW w:type="dxa" w:w="77"/>
            <w:tcMar>
              <w:left w:type="dxa" w:w="0"/>
              <w:right w:type="dxa" w:w="0"/>
            </w:tcMar>
            <w:tcBorders/>
          </w:tcPr>
          <w:p/>
        </w:tc>
      </w:tr>
      <w:tr>
        <w:trPr>
          <w:trHeight w:hRule="exact" w:val="280"/>
        </w:trPr>
        <w:tc>
          <w:tcPr>
            <w:tcW w:type="dxa" w:w="62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w:t>
            </w: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8,678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8,678</w:t>
            </w:r>
          </w:p>
        </w:tc>
        <w:tc>
          <w:tcPr>
            <w:tcW w:type="dxa" w:w="77"/>
            <w:tcMar>
              <w:left w:type="dxa" w:w="0"/>
              <w:right w:type="dxa" w:w="0"/>
            </w:tcMar>
            <w:tcBorders/>
          </w:tcPr>
          <w:p/>
        </w:tc>
        <w:tc>
          <w:tcPr>
            <w:tcW w:type="dxa" w:w="19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45,645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45,645</w:t>
            </w:r>
          </w:p>
        </w:tc>
        <w:tc>
          <w:tcPr>
            <w:tcW w:type="dxa" w:w="77"/>
            <w:tcMar>
              <w:left w:type="dxa" w:w="0"/>
              <w:right w:type="dxa" w:w="0"/>
            </w:tcMar>
            <w:tcBorders/>
          </w:tcPr>
          <w:p/>
        </w:tc>
      </w:tr>
      <w:tr>
        <w:trPr>
          <w:trHeight w:hRule="exact" w:val="280"/>
        </w:trPr>
        <w:tc>
          <w:tcPr>
            <w:tcW w:type="dxa" w:w="624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Revenue from Customers</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8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5,780,941</w:t>
            </w:r>
          </w:p>
        </w:tc>
        <w:tc>
          <w:tcPr>
            <w:tcW w:type="dxa" w:w="77"/>
            <w:tcMar>
              <w:left w:type="dxa" w:w="0"/>
              <w:right w:type="dxa" w:w="0"/>
            </w:tcMar>
            <w:tcBorders>
              <w:top w:val="single" w:sz="8" w:space="0"/>
              <w:bottom w:val="double" w:sz="4"/>
            </w:tcBorders>
          </w:tcP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8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13,798,342</w:t>
            </w:r>
          </w:p>
        </w:tc>
        <w:tc>
          <w:tcPr>
            <w:tcW w:type="dxa" w:w="77"/>
            <w:tcMar>
              <w:left w:type="dxa" w:w="0"/>
              <w:right w:type="dxa" w:w="0"/>
            </w:tcMar>
            <w:tcBorders>
              <w:top w:val="single" w:sz="8" w:space="0"/>
              <w:bottom w:val="double" w:sz="4"/>
            </w:tcBorders>
          </w:tcPr>
          <w:p/>
        </w:tc>
      </w:tr>
    </w:tbl>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Contract Balances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table provides information about receivables, contract assets and contract liabilities from contracts with customers.</w:t>
      </w:r>
    </w:p>
    <w:tbl>
      <w:tblPr>
        <w:tblW w:type="dxa" w:w="10200"/>
        <w:tblLayout w:type="fixed"/>
        <w:jc w:val="center"/>
      </w:tblPr>
      <w:tblGrid>
        <w:gridCol w:w="7520"/>
        <w:gridCol w:w="1223"/>
        <w:gridCol w:w="77"/>
        <w:gridCol w:w="80"/>
        <w:gridCol w:w="1223"/>
        <w:gridCol w:w="77"/>
      </w:tblGrid>
      <w:tr>
        <w:trPr>
          <w:trHeight w:hRule="exact" w:val="480"/>
        </w:trPr>
        <w:tc>
          <w:tcPr>
            <w:tcW w:type="dxa" w:w="7520"/>
            <w:tcMar>
              <w:left w:type="dxa" w:w="60"/>
              <w:right w:type="dxa" w:w="0"/>
            </w:tcMar>
            <w:tcBorders>
              <w:bottom w:val="single" w:sz="8"/>
            </w:tcBorders>
            <w:vAlign w:val="bottom"/>
          </w:tcPr>
          <w:p>
            <w:pPr>
              <w:jc w:val="left"/>
              <w:keepNext/>
              <w:keepLines/>
              <w:spacing w:before="40" w:after="40" w:line="240" w:lineRule="auto"/>
              <w:rPr/>
            </w:pPr>
            <w:r>
              <w:rPr/>
            </w:r>
          </w:p>
        </w:tc>
        <w:tc>
          <w:tcPr>
            <w:tcW w:type="dxa" w:w="1223"/>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2018</w:t>
            </w:r>
          </w:p>
        </w:tc>
        <w:tc>
          <w:tcPr>
            <w:tcMar>
              <w:left w:type="dxa" w:w="0"/>
              <w:right w:type="dxa" w:w="60"/>
            </w:tcMar>
            <w:tcBorders>
              <w:bottom w:val="single" w:sz="8"/>
            </w:tcBorders>
            <w:hMerge w:val="continue"/>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223"/>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January 1,</w:t>
              <w:br w:type="textWrapping"/>
              <w:t xml:space="preserve"> 2018</w:t>
            </w:r>
          </w:p>
        </w:tc>
        <w:tc>
          <w:tcPr>
            <w:tcMar>
              <w:left w:type="dxa" w:w="0"/>
              <w:right w:type="dxa" w:w="60"/>
            </w:tcMar>
            <w:tcBorders>
              <w:bottom w:val="single" w:sz="8"/>
            </w:tcBorders>
            <w:hMerge w:val="continue"/>
          </w:tcPr>
          <w:p/>
        </w:tc>
      </w:tr>
      <w:tr>
        <w:trPr>
          <w:trHeight w:hRule="exact" w:val="280"/>
        </w:trPr>
        <w:tc>
          <w:tcPr>
            <w:tcW w:type="dxa" w:w="752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Accounts receivable, net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6,811,029</w:t>
            </w:r>
          </w:p>
        </w:tc>
        <w:tc>
          <w:tcPr>
            <w:tcW w:type="dxa" w:w="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3,739,430</w:t>
            </w:r>
          </w:p>
        </w:tc>
        <w:tc>
          <w:tcPr>
            <w:tcW w:type="dxa" w:w="77"/>
            <w:tcMar>
              <w:left w:type="dxa" w:w="0"/>
              <w:right w:type="dxa" w:w="0"/>
            </w:tcMar>
            <w:tcBorders/>
          </w:tcPr>
          <w:p/>
        </w:tc>
      </w:tr>
      <w:tr>
        <w:trPr>
          <w:trHeight w:hRule="exact" w:val="280"/>
        </w:trPr>
        <w:tc>
          <w:tcPr>
            <w:tcW w:type="dxa" w:w="7520"/>
            <w:tcMar>
              <w:left w:type="dxa" w:w="18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Contract liabilities (unearned revenue)</w:t>
            </w:r>
          </w:p>
        </w:tc>
        <w:tc>
          <w:tcPr>
            <w:tcW w:type="dxa" w:w="122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5,631,096</w:t>
            </w:r>
          </w:p>
        </w:tc>
        <w:tc>
          <w:tcPr>
            <w:tcW w:type="dxa" w:w="77"/>
            <w:tcMar>
              <w:left w:type="dxa" w:w="0"/>
              <w:right w:type="dxa" w:w="0"/>
            </w:tcMar>
            <w:tcBorders/>
          </w:tcPr>
          <w:p/>
        </w:tc>
        <w:tc>
          <w:tcPr>
            <w:tcW w:type="dxa" w:w="80"/>
            <w:tcMar>
              <w:left w:type="dxa" w:w="0"/>
              <w:right w:type="dxa" w:w="60"/>
            </w:tcMar>
            <w:tcBorders/>
            <w:vAlign w:val="bottom"/>
          </w:tcPr>
          <w:p>
            <w:pPr>
              <w:jc w:val="left"/>
              <w:keepLines/>
              <w:spacing w:before="40" w:after="40" w:line="240" w:lineRule="auto"/>
              <w:rPr/>
            </w:pPr>
            <w:r>
              <w:rPr/>
            </w:r>
          </w:p>
        </w:tc>
        <w:tc>
          <w:tcPr>
            <w:tcW w:type="dxa" w:w="122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3,261,729</w:t>
            </w:r>
          </w:p>
        </w:tc>
        <w:tc>
          <w:tcPr>
            <w:tcW w:type="dxa" w:w="77"/>
            <w:tcMar>
              <w:left w:type="dxa" w:w="0"/>
              <w:right w:type="dxa" w:w="0"/>
            </w:tcMar>
            <w:tcBorders/>
          </w:tcP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Contract receivables are recognized when the receipt of consideration is unconditional. The increase in contract receivables was primarily due to timing of billings, increased revenue during the period, and the addition of TapInfluence accounts. The Company did not recognize any contract assets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or January 1, 2018. Contract liabilities relate to advance consideration received from customers under the terms of our contracts, which will be earned in future periods. The increase in contract liabilities is due to additional orders received during the quarter that are billed in advance and fulfilled throughout the year.</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During the </w:t>
      </w:r>
      <w:r>
        <w:rPr>
          <w:rFonts w:ascii="Times New Roman" w:hAnsi="Times New Roman" w:eastAsia="Times New Roman" w:cs="Times New Roman"/>
          <w:sz w:val="20"/>
        </w:rPr>
        <w:t xml:space="preserve">three and 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the Company recognized revenue of </w:t>
      </w:r>
      <w:r>
        <w:rPr>
          <w:rFonts w:ascii="Times New Roman" w:hAnsi="Times New Roman" w:eastAsia="Times New Roman" w:cs="Times New Roman"/>
          <w:sz w:val="20"/>
        </w:rPr>
        <w:t xml:space="preserve">$93,719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$2,106,571</w:t>
      </w:r>
      <w:r>
        <w:rPr>
          <w:rFonts w:ascii="Times New Roman" w:hAnsi="Times New Roman" w:eastAsia="Times New Roman" w:cs="Times New Roman"/>
          <w:sz w:val="20"/>
        </w:rPr>
        <w:t xml:space="preserve">, respectively relating to amounts that were included as a contract liability at January 1, 2018.</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As a practical expedient, the Company expenses the costs of sales commissions that are paid to its sales force associated with obtaining contracts less than one year in length in the period incurred.</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pageBreakBefore/>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u w:val="single" w:color="000000"/>
        </w:rPr>
        <w:t xml:space="preserve">Remaining Performance Obligations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 typically enters into contracts that are one year or less in length. As such, the remaining performance obligations at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are equal to the contract liabilities disclosed above. The Company expects to recognize the full balance of the unearned revenue at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within the next year.</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3" w:type="default"/>
          <w:footerReference r:id="rId21" w:type="default"/>
        </w:sect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9.	BUSINESS SEGMENTS</w:t>
      </w:r>
      <w:bookmarkStart w:id="46794" w:name="NOTE_9__Segment_Reporting"/>
      <w:bookmarkEnd w:id="46794"/>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Prior to its merger with TapInfluence, the Company managed its operations as one segment for reporting purposes and evaluated operations and made business decisions based on consolidated results. Effective in the quarter ended September 30, 2018, and primarily as a result of the merger with TapInfluence, the Company has significantly expanded its operations related to license fees and marketplace spend fees. As a result, Company management is now actively evaluating operations under the following two reportable business segments: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firstLine="-360"/>
        <w:jc w:val="both"/>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171"/>
        </w:numPr>
      </w:pPr>
      <w:r>
        <w:rPr>
          <w:rFonts w:ascii="Times New Roman" w:hAnsi="Times New Roman" w:eastAsia="Times New Roman" w:cs="Times New Roman"/>
          <w:sz w:val="20"/>
        </w:rPr>
        <w:t xml:space="preserve"/>
      </w:r>
      <w:r>
        <w:rPr>
          <w:rFonts w:ascii="Times New Roman" w:hAnsi="Times New Roman" w:eastAsia="Times New Roman" w:cs="Times New Roman"/>
          <w:sz w:val="20"/>
          <w:i w:val="true"/>
        </w:rPr>
        <w:t xml:space="preserve">Managed Services</w:t>
      </w:r>
      <w:r>
        <w:rPr>
          <w:rFonts w:ascii="Times New Roman" w:hAnsi="Times New Roman" w:eastAsia="Times New Roman" w:cs="Times New Roman"/>
          <w:sz w:val="20"/>
        </w:rPr>
        <w:t xml:space="preserve">, which includes services to marketers to provide custom content, influencer marketing, amplification or other consulting services using the Company's internal resources, its network of creators and/or its technology platforms.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firstLine="-360"/>
        <w:jc w:val="both"/>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171"/>
        </w:numPr>
      </w:pPr>
      <w:r>
        <w:rPr>
          <w:rFonts w:ascii="Times New Roman" w:hAnsi="Times New Roman" w:eastAsia="Times New Roman" w:cs="Times New Roman"/>
          <w:sz w:val="20"/>
        </w:rPr>
        <w:t xml:space="preserve"/>
      </w:r>
      <w:r>
        <w:rPr>
          <w:rFonts w:ascii="Times New Roman" w:hAnsi="Times New Roman" w:eastAsia="Times New Roman" w:cs="Times New Roman"/>
          <w:sz w:val="20"/>
          <w:i w:val="true"/>
        </w:rPr>
        <w:t xml:space="preserve">SaaS Services</w:t>
      </w:r>
      <w:r>
        <w:rPr>
          <w:rFonts w:ascii="Times New Roman" w:hAnsi="Times New Roman" w:eastAsia="Times New Roman" w:cs="Times New Roman"/>
          <w:sz w:val="20"/>
        </w:rPr>
        <w:t xml:space="preserve">, which includes services generated by the self-service use of the Company's technology platforms by marketers to manage their own influencer marketing campaigns, as well as license subscriptions to access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 </w:t>
      </w:r>
      <w:r>
        <w:rPr>
          <w:rFonts w:ascii="Times New Roman" w:hAnsi="Times New Roman" w:eastAsia="Times New Roman" w:cs="Times New Roman"/>
          <w:sz w:val="20"/>
        </w:rPr>
        <w:t xml:space="preserve">platforms. SaaS Services are associated with the following revenue types: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1"/>
          <w:numId w:val="17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Marketplace Spend Fees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1"/>
          <w:numId w:val="17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License Fees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Company's reportable segments are strategic business units that may offer similar services, but under different revenue recognition guidance. They are managed separately because each segment requires marketing and oversight strategies, however, the Company's chief operating decision maker for each segment is currently evaluating operations on the basis of revenue only as the Company does not currently allocate specific cost of revenue, other operating costs, or assets to each segment.</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accounting policies of the segments are the same as those described in the summary of significant accounting policies except that Company management evaluates performance based primarily on gross revenue and gross margin for all revenue streams, including revenue externally reported on a net basis for the Company's SaaS Services segment.</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table illustrates the Company's measure of revenue for each reportable segment, and other. The chief operating decision maker for each segment is not provided, and does not review, other measures related to profit or assets. All other measures of Company profit and assets are reviewed on a consolidated basis.</w:t>
      </w:r>
    </w:p>
    <w:p>
      <w:pPr>
        <w:jc w:val="left"/>
        <w:spacing w:after="140" w:line="240" w:lineRule="auto"/>
        <w:rPr>
          <w:rFonts w:ascii="Times New Roman" w:hAnsi="Times New Roman" w:eastAsia="Times New Roman" w:cs="Times New Roman"/>
          <w:sz w:val="20"/>
        </w:rPr>
      </w:pPr>
      <w:r>
        <w:rPr>
          <w:rFonts w:ascii="Times New Roman" w:hAnsi="Times New Roman" w:eastAsia="Times New Roman" w:cs="Times New Roman"/>
          <w:sz w:val="20"/>
        </w:rPr>
      </w:r>
    </w:p>
    <w:tbl>
      <w:tblPr>
        <w:tblW w:type="dxa" w:w="10200"/>
        <w:tblLayout w:type="fixed"/>
        <w:jc w:val="center"/>
      </w:tblPr>
      <w:tblGrid>
        <w:gridCol w:w="4000"/>
        <w:gridCol w:w="100"/>
        <w:gridCol w:w="110"/>
        <w:gridCol w:w="1313"/>
        <w:gridCol w:w="77"/>
        <w:gridCol w:w="110"/>
        <w:gridCol w:w="1313"/>
        <w:gridCol w:w="77"/>
        <w:gridCol w:w="100"/>
        <w:gridCol w:w="110"/>
        <w:gridCol w:w="1313"/>
        <w:gridCol w:w="77"/>
        <w:gridCol w:w="110"/>
        <w:gridCol w:w="1313"/>
        <w:gridCol w:w="77"/>
      </w:tblGrid>
      <w:tr>
        <w:trPr>
          <w:trHeight w:hRule="exact" w:val="300"/>
        </w:trPr>
        <w:tc>
          <w:tcPr>
            <w:tcW w:type="dxa" w:w="4000"/>
            <w:tcMar>
              <w:left w:type="dxa" w:w="60"/>
              <w:right w:type="dxa" w:w="0"/>
            </w:tcMar>
            <w:tcBorders/>
            <w:vAlign w:val="bottom"/>
          </w:tcPr>
          <w:p>
            <w:pPr>
              <w:jc w:val="left"/>
              <w:keepNext/>
              <w:keepLines/>
              <w:spacing w:before="40" w:after="40" w:line="240" w:lineRule="auto"/>
              <w:rPr/>
            </w:pPr>
            <w:r>
              <w:rPr/>
            </w:r>
          </w:p>
        </w:tc>
        <w:tc>
          <w:tcPr>
            <w:tcW w:type="dxa" w:w="10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(Unaudited)</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(Unaudited)</w:t>
            </w:r>
          </w:p>
        </w:tc>
        <w:tc>
          <w:tcPr>
            <w:tcMar>
              <w:left w:type="dxa" w:w="0"/>
              <w:right w:type="dxa" w:w="6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10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(Unaudited)</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(Unaudited)</w:t>
            </w:r>
          </w:p>
        </w:tc>
        <w:tc>
          <w:tcPr>
            <w:tcMar>
              <w:left w:type="dxa" w:w="0"/>
              <w:right w:type="dxa" w:w="6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300"/>
        </w:trPr>
        <w:tc>
          <w:tcPr>
            <w:tcW w:type="dxa" w:w="4000"/>
            <w:tcMar>
              <w:left w:type="dxa" w:w="60"/>
              <w:right w:type="dxa" w:w="0"/>
            </w:tcMar>
            <w:hMerge w:val="restart"/>
            <w:tcBorders/>
            <w:vAlign w:val="bottom"/>
          </w:tcPr>
          <w:p>
            <w:pPr>
              <w:jc w:val="left"/>
              <w:keepNext/>
              <w:keepLines/>
              <w:spacing w:before="40" w:after="40" w:line="240" w:lineRule="auto"/>
              <w:rPr/>
            </w:pPr>
            <w:r>
              <w:rPr/>
            </w:r>
          </w:p>
        </w:tc>
        <w:tc>
          <w:tcPr>
            <w:tcW w:type="dxa" w:w="10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r>
          </w:p>
        </w:tc>
        <w:tc>
          <w:tcPr>
            <w:tcMar>
              <w:left w:type="dxa" w:w="0"/>
              <w:right w:type="dxa" w:w="6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10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r>
          </w:p>
        </w:tc>
        <w:tc>
          <w:tcPr>
            <w:tcMar>
              <w:left w:type="dxa" w:w="0"/>
              <w:right w:type="dxa" w:w="6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500"/>
        </w:trPr>
        <w:tc>
          <w:tcPr>
            <w:tcW w:type="dxa" w:w="4000"/>
            <w:tcMar>
              <w:left w:type="dxa" w:w="60"/>
              <w:right w:type="dxa" w:w="0"/>
            </w:tcMar>
            <w:hMerge w:val="restart"/>
            <w:tcBorders/>
            <w:vAlign w:val="bottom"/>
          </w:tcPr>
          <w:p>
            <w:pPr>
              <w:jc w:val="left"/>
              <w:keepNext/>
              <w:keepLines/>
              <w:spacing w:before="40" w:after="40" w:line="240" w:lineRule="auto"/>
              <w:rPr/>
            </w:pPr>
            <w:r>
              <w:rPr/>
            </w:r>
          </w:p>
        </w:tc>
        <w:tc>
          <w:tcPr>
            <w:tcW w:type="dxa" w:w="10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2018</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2017</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2017</w:t>
            </w:r>
          </w:p>
        </w:tc>
        <w:tc>
          <w:tcPr>
            <w:tcMar>
              <w:left w:type="dxa" w:w="0"/>
              <w:right w:type="dxa" w:w="60"/>
            </w:tcMar>
            <w:tcBorders>
              <w:bottom w:val="single" w:sz="8"/>
            </w:tcBorders>
            <w:hMerge w:val="continue"/>
          </w:tcPr>
          <w:p/>
        </w:tc>
        <w:tc>
          <w:tcPr>
            <w:tcW w:type="dxa" w:w="100"/>
            <w:tcMar>
              <w:left w:type="dxa" w:w="0"/>
              <w:right w:type="dxa" w:w="0"/>
            </w:tcMar>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2018</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2018</w:t>
            </w:r>
          </w:p>
        </w:tc>
        <w:tc>
          <w:tcPr>
            <w:tcMar>
              <w:left w:type="dxa" w:w="0"/>
              <w:right w:type="dxa" w:w="60"/>
            </w:tcMar>
            <w:tcBorders>
              <w:bottom w:val="single" w:sz="8"/>
            </w:tcBorders>
            <w:hMerge w:val="continue"/>
          </w:tcP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2017</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w:t>
              <w:br w:type="textWrapping"/>
              <w:t xml:space="preserve"> 2017</w:t>
            </w:r>
          </w:p>
        </w:tc>
        <w:tc>
          <w:tcPr>
            <w:tcMar>
              <w:left w:type="dxa" w:w="0"/>
              <w:right w:type="dxa" w:w="60"/>
            </w:tcMar>
            <w:tcBorders>
              <w:bottom w:val="single" w:sz="8"/>
            </w:tcBorders>
            <w:hMerge w:val="continue"/>
          </w:tcPr>
          <w:p/>
        </w:tc>
      </w:tr>
      <w:tr>
        <w:trPr>
          <w:trHeight w:hRule="exact" w:val="300"/>
        </w:trPr>
        <w:tc>
          <w:tcPr>
            <w:tcW w:type="dxa" w:w="4100"/>
            <w:tcMar>
              <w:left w:type="dxa" w:w="60"/>
              <w:right w:type="dxa" w:w="40"/>
            </w:tcMar>
            <w:hMerge w:val="restart"/>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u w:val="single" w:color="000000"/>
              </w:rPr>
              <w:t xml:space="preserve">Revenue</w:t>
            </w: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tcBorders/>
            <w:hMerge w:val="continue"/>
          </w:tcP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10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300"/>
        </w:trPr>
        <w:tc>
          <w:tcPr>
            <w:tcW w:type="dxa" w:w="400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Managed Services</w:t>
            </w:r>
          </w:p>
        </w:tc>
        <w:tc>
          <w:tcPr>
            <w:tcW w:type="dxa" w:w="10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4,859,435</w:t>
            </w:r>
          </w:p>
        </w:tc>
        <w:tc>
          <w:tcPr>
            <w:tcW w:type="dxa" w:w="77"/>
            <w:tcMar>
              <w:left w:type="dxa" w:w="0"/>
              <w:right w:type="dxa" w:w="0"/>
            </w:tcMar>
            <w:tcBorders/>
          </w:tcP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6,997,390</w:t>
            </w:r>
          </w:p>
        </w:tc>
        <w:tc>
          <w:tcPr>
            <w:tcW w:type="dxa" w:w="77"/>
            <w:tcMar>
              <w:left w:type="dxa" w:w="0"/>
              <w:right w:type="dxa" w:w="0"/>
            </w:tcMar>
            <w:tcBorders/>
          </w:tcPr>
          <w:p/>
        </w:tc>
        <w:tc>
          <w:tcPr>
            <w:tcW w:type="dxa" w:w="10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12,660,949</w:t>
            </w:r>
          </w:p>
        </w:tc>
        <w:tc>
          <w:tcPr>
            <w:tcW w:type="dxa" w:w="77"/>
            <w:tcMar>
              <w:left w:type="dxa" w:w="0"/>
              <w:right w:type="dxa" w:w="0"/>
            </w:tcMar>
            <w:tcBorders/>
          </w:tcP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17,274,313</w:t>
            </w:r>
          </w:p>
        </w:tc>
        <w:tc>
          <w:tcPr>
            <w:tcW w:type="dxa" w:w="77"/>
            <w:tcMar>
              <w:left w:type="dxa" w:w="0"/>
              <w:right w:type="dxa" w:w="0"/>
            </w:tcMar>
            <w:tcBorders/>
          </w:tcPr>
          <w:p/>
        </w:tc>
      </w:tr>
      <w:tr>
        <w:trPr>
          <w:trHeight w:hRule="exact" w:val="300"/>
        </w:trPr>
        <w:tc>
          <w:tcPr>
            <w:tcW w:type="dxa" w:w="400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SaaS Services</w:t>
            </w:r>
          </w:p>
        </w:tc>
        <w:tc>
          <w:tcPr>
            <w:tcW w:type="dxa" w:w="100"/>
            <w:tcMar>
              <w:left w:type="dxa" w:w="0"/>
              <w:right w:type="dxa" w:w="60"/>
            </w:tcMar>
            <w:tcBorders/>
            <w:vAlign w:val="bottom"/>
          </w:tcPr>
          <w:p>
            <w:pPr>
              <w:jc w:val="left"/>
              <w:keepNext/>
              <w:keepLines/>
              <w:spacing w:before="40" w:after="40" w:line="240" w:lineRule="auto"/>
              <w:rPr/>
            </w:pPr>
            <w:r>
              <w:rPr/>
            </w:r>
          </w:p>
        </w:tc>
        <w:tc>
          <w:tcPr>
            <w:tcW w:type="dxa" w:w="1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864,419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864,419</w:t>
            </w:r>
          </w:p>
        </w:tc>
        <w:tc>
          <w:tcPr>
            <w:tcW w:type="dxa" w:w="77"/>
            <w:tcMar>
              <w:left w:type="dxa" w:w="0"/>
              <w:right w:type="dxa" w:w="0"/>
            </w:tcMar>
            <w:tcBorders/>
          </w:tcPr>
          <w:p/>
        </w:tc>
        <w:tc>
          <w:tcPr>
            <w:tcW w:type="dxa" w:w="1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31,033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31,033</w:t>
            </w:r>
          </w:p>
        </w:tc>
        <w:tc>
          <w:tcPr>
            <w:tcW w:type="dxa" w:w="77"/>
            <w:tcMar>
              <w:left w:type="dxa" w:w="0"/>
              <w:right w:type="dxa" w:w="0"/>
            </w:tcMar>
            <w:tcBorders/>
          </w:tcPr>
          <w:p/>
        </w:tc>
        <w:tc>
          <w:tcPr>
            <w:tcW w:type="dxa" w:w="100"/>
            <w:tcMar>
              <w:left w:type="dxa" w:w="60"/>
              <w:right w:type="dxa" w:w="0"/>
            </w:tcMar>
            <w:tcBorders/>
            <w:vAlign w:val="bottom"/>
          </w:tcPr>
          <w:p>
            <w:pPr>
              <w:jc w:val="left"/>
              <w:keepNext/>
              <w:keepLines/>
              <w:spacing w:before="40" w:after="40" w:line="240" w:lineRule="auto"/>
              <w:rPr/>
            </w:pPr>
            <w:r>
              <w:rPr/>
            </w:r>
          </w:p>
        </w:tc>
        <w:tc>
          <w:tcPr>
            <w:tcW w:type="dxa" w:w="1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926,754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926,754</w:t>
            </w:r>
          </w:p>
        </w:tc>
        <w:tc>
          <w:tcPr>
            <w:tcW w:type="dxa" w:w="77"/>
            <w:tcMar>
              <w:left w:type="dxa" w:w="0"/>
              <w:right w:type="dxa" w:w="0"/>
            </w:tcMar>
            <w:tcBorders/>
          </w:tcPr>
          <w:p/>
        </w:tc>
        <w:tc>
          <w:tcPr>
            <w:tcW w:type="dxa" w:w="1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110,199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110,199</w:t>
            </w:r>
          </w:p>
        </w:tc>
        <w:tc>
          <w:tcPr>
            <w:tcW w:type="dxa" w:w="77"/>
            <w:tcMar>
              <w:left w:type="dxa" w:w="0"/>
              <w:right w:type="dxa" w:w="0"/>
            </w:tcMar>
            <w:tcBorders/>
          </w:tcPr>
          <w:p/>
        </w:tc>
      </w:tr>
      <w:tr>
        <w:trPr>
          <w:trHeight w:hRule="exact" w:val="300"/>
        </w:trPr>
        <w:tc>
          <w:tcPr>
            <w:tcW w:type="dxa" w:w="400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w:t>
            </w:r>
          </w:p>
        </w:tc>
        <w:tc>
          <w:tcPr>
            <w:tcW w:type="dxa" w:w="100"/>
            <w:tcMar>
              <w:left w:type="dxa" w:w="0"/>
              <w:right w:type="dxa" w:w="60"/>
            </w:tcMar>
            <w:tcBorders/>
            <w:vAlign w:val="bottom"/>
          </w:tcPr>
          <w:p>
            <w:pPr>
              <w:jc w:val="left"/>
              <w:keepNext/>
              <w:keepLines/>
              <w:spacing w:before="40" w:after="40" w:line="240" w:lineRule="auto"/>
              <w:rPr/>
            </w:pPr>
            <w:r>
              <w:rPr/>
            </w:r>
          </w:p>
        </w:tc>
        <w:tc>
          <w:tcPr>
            <w:tcW w:type="dxa" w:w="1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57,087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57,087</w:t>
            </w:r>
          </w:p>
        </w:tc>
        <w:tc>
          <w:tcPr>
            <w:tcW w:type="dxa" w:w="77"/>
            <w:tcMar>
              <w:left w:type="dxa" w:w="0"/>
              <w:right w:type="dxa" w:w="0"/>
            </w:tcMar>
            <w:tcBorders/>
          </w:tcPr>
          <w:p/>
        </w:tc>
        <w:tc>
          <w:tcPr>
            <w:tcW w:type="dxa" w:w="1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61,432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61,432</w:t>
            </w:r>
          </w:p>
        </w:tc>
        <w:tc>
          <w:tcPr>
            <w:tcW w:type="dxa" w:w="77"/>
            <w:tcMar>
              <w:left w:type="dxa" w:w="0"/>
              <w:right w:type="dxa" w:w="0"/>
            </w:tcMar>
            <w:tcBorders/>
          </w:tcPr>
          <w:p/>
        </w:tc>
        <w:tc>
          <w:tcPr>
            <w:tcW w:type="dxa" w:w="100"/>
            <w:tcMar>
              <w:left w:type="dxa" w:w="60"/>
              <w:right w:type="dxa" w:w="0"/>
            </w:tcMar>
            <w:tcBorders/>
            <w:vAlign w:val="bottom"/>
          </w:tcPr>
          <w:p>
            <w:pPr>
              <w:jc w:val="left"/>
              <w:keepNext/>
              <w:keepLines/>
              <w:spacing w:before="40" w:after="40" w:line="240" w:lineRule="auto"/>
              <w:rPr/>
            </w:pPr>
            <w:r>
              <w:rPr/>
            </w:r>
          </w:p>
        </w:tc>
        <w:tc>
          <w:tcPr>
            <w:tcW w:type="dxa" w:w="1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210,639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210,639</w:t>
            </w:r>
          </w:p>
        </w:tc>
        <w:tc>
          <w:tcPr>
            <w:tcW w:type="dxa" w:w="77"/>
            <w:tcMar>
              <w:left w:type="dxa" w:w="0"/>
              <w:right w:type="dxa" w:w="0"/>
            </w:tcMar>
            <w:tcBorders/>
          </w:tcPr>
          <w:p/>
        </w:tc>
        <w:tc>
          <w:tcPr>
            <w:tcW w:type="dxa" w:w="1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252,752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252,752</w:t>
            </w:r>
          </w:p>
        </w:tc>
        <w:tc>
          <w:tcPr>
            <w:tcW w:type="dxa" w:w="77"/>
            <w:tcMar>
              <w:left w:type="dxa" w:w="0"/>
              <w:right w:type="dxa" w:w="0"/>
            </w:tcMar>
            <w:tcBorders/>
          </w:tcPr>
          <w:p/>
        </w:tc>
      </w:tr>
      <w:tr>
        <w:trPr>
          <w:trHeight w:hRule="exact" w:val="400"/>
        </w:trPr>
        <w:tc>
          <w:tcPr>
            <w:tcW w:type="dxa" w:w="4000"/>
            <w:tcMar>
              <w:left w:type="dxa" w:w="18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Consolidated Total</w:t>
            </w:r>
          </w:p>
        </w:tc>
        <w:tc>
          <w:tcPr>
            <w:tcW w:type="dxa" w:w="10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5,780,941</w:t>
            </w:r>
          </w:p>
        </w:tc>
        <w:tc>
          <w:tcPr>
            <w:tcW w:type="dxa" w:w="77"/>
            <w:tcMar>
              <w:left w:type="dxa" w:w="0"/>
              <w:right w:type="dxa" w:w="0"/>
            </w:tcMar>
            <w:tcBorders>
              <w:top w:val="single" w:sz="8" w:space="0"/>
              <w:bottom w:val="double" w:sz="4"/>
            </w:tcBorders>
          </w:tcP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7,089,855</w:t>
            </w:r>
          </w:p>
        </w:tc>
        <w:tc>
          <w:tcPr>
            <w:tcW w:type="dxa" w:w="77"/>
            <w:tcMar>
              <w:left w:type="dxa" w:w="0"/>
              <w:right w:type="dxa" w:w="0"/>
            </w:tcMar>
            <w:tcBorders>
              <w:top w:val="single" w:sz="8" w:space="0"/>
              <w:bottom w:val="double" w:sz="4"/>
            </w:tcBorders>
          </w:tcPr>
          <w:p/>
        </w:tc>
        <w:tc>
          <w:tcPr>
            <w:tcW w:type="dxa" w:w="100"/>
            <w:tcMar>
              <w:left w:type="dxa" w:w="60"/>
              <w:right w:type="dxa" w:w="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13,798,342</w:t>
            </w:r>
          </w:p>
        </w:tc>
        <w:tc>
          <w:tcPr>
            <w:tcW w:type="dxa" w:w="77"/>
            <w:tcMar>
              <w:left w:type="dxa" w:w="0"/>
              <w:right w:type="dxa" w:w="0"/>
            </w:tcMar>
            <w:tcBorders>
              <w:top w:val="single" w:sz="8" w:space="0"/>
              <w:bottom w:val="double" w:sz="4"/>
            </w:tcBorders>
          </w:tcP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3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17,637,264</w:t>
            </w:r>
          </w:p>
        </w:tc>
        <w:tc>
          <w:tcPr>
            <w:tcW w:type="dxa" w:w="77"/>
            <w:tcMar>
              <w:left w:type="dxa" w:w="0"/>
              <w:right w:type="dxa" w:w="0"/>
            </w:tcMar>
            <w:tcBorders>
              <w:top w:val="single" w:sz="8" w:space="0"/>
              <w:bottom w:val="double" w:sz="4"/>
            </w:tcBorders>
          </w:tcP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22" w:type="default"/>
          <w:footerReference r:id="rId6" w:type="default"/>
        </w:sectPr>
      </w:pPr>
    </w:p>
    <w:p>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 10.	SUBSEQUENT EVENTS</w:t>
      </w:r>
      <w:bookmarkStart w:id="62472" w:name="NOTE_10___Subsequent_Events"/>
      <w:bookmarkEnd w:id="62472"/>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No material events have occurred after September 30, 2018 that require recognition or disclosure in the financial statements, except as follows: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On October 19, 2018, a shareholder derivative lawsuit, </w:t>
      </w:r>
      <w:r>
        <w:rPr>
          <w:rFonts w:ascii="Times New Roman" w:hAnsi="Times New Roman" w:eastAsia="Times New Roman" w:cs="Times New Roman"/>
          <w:sz w:val="20"/>
          <w:i w:val="true"/>
        </w:rPr>
        <w:t xml:space="preserve">Dennis E. Emond v. Edward H. Murphy et al., </w:t>
      </w:r>
      <w:r>
        <w:rPr>
          <w:rFonts w:ascii="Times New Roman" w:hAnsi="Times New Roman" w:eastAsia="Times New Roman" w:cs="Times New Roman"/>
          <w:sz w:val="20"/>
        </w:rPr>
        <w:t xml:space="preserve">case number 2:18-cv-9040, was instituted in the U.S. District Court for the Central District of California against certain executive officers and members of the Board of Directors for IZEA. IZEA has been named as a nominal defendant. An amended complaint was filed on October 31, 2018. The plaintiff seeks to recover damages on behalf of the Company for purported breaches of the individual defendants' fiduciary duties as directors and/or officers of IZEA, and gross mismanagement, and under federal securities laws. We believe that the plaintiff's allegations are without merit and intend to vigorously defend against the claims.</w:t>
      </w:r>
    </w:p>
    <w:p>
      <w:pPr>
        <w:sectPr>
          <w:pgNumType w:fmt="decimal" w:chapSep="period"/>
          <w:type w:val="continuous"/>
          <w:pgSz w:w="12240" w:h="15840"/>
          <w:pgMar w:top="860" w:left="1000" w:right="1000" w:bottom="860" w:footer="460" w:gutter="0" w:header="160"/>
          <w:headerReference r:id="rId22" w:type="default"/>
          <w:footerReference r:id="rId6"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2 – MANAGEMENT’S DISCUSSION AND ANALYSIS OF FINANCIAL CONDITION AND RESULTS OF OPERATIONS</w:t>
      </w:r>
      <w:bookmarkStart w:id="20146" w:name="Item_2____Management_s_Discussion_and_An"/>
      <w:bookmarkEnd w:id="20146"/>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 w:type="default"/>
          <w:footerReference r:id="rId23" w:type="default"/>
        </w:sectPr>
      </w:pP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Cautionary Note Regarding Forward-Looking Information</w:t>
      </w:r>
      <w:bookmarkStart w:id="52645" w:name="Cautionary_Note_Regarding_Forward_Lookin"/>
      <w:bookmarkEnd w:id="52645"/>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discussion and analysis is provided to increase the understanding of, and should be read in conjunction with, our consolidated financial statements and related notes included elsewhere in this report. This Quarterly Report on Form 10-Q (this "Quarterly Report") contains “forward-looking statements” within the meaning of Section 27A of the Securities Act of 1933, as amended, and Section 21E of the Securities Exchange Act of 1934, as amended, that are intended to be covered by the “safe harbor” created by those sections. The statements, which are not historical facts contained in this report, including the Management’s Discussion and Analysis of Financial Condition and Results of Operations, and notes to our consolidated financial statements, particularly those that utilize terminology such as “may,” “will,” “would,” “could,” “should,” “expects,” “anticipates,” “estimates,” “believes,” “intends,” or “plans” or comparable terminology, are forward-looking statements. Such statements are based on currently available operating, financial and competitive information, and are subject to inherent risks, uncertainties and changes in circumstances that are difficult to predict and many of which are outside of our control. Future events and our actual results and financial condition may differ materially from those reflected in these forward-looking statements. Therefore, you should not rely on any of these forward-looking statements. Important factors that might cause our actual results and financial condition to differ materially from those indicated in the forward-looking statements include, but are not limited to, the following:</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raise additional funding;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customer cancellations;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maintain and grow our business;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the successful integration of acquired companies, technologies and assets into our portfolio of software and services and into our current operations;</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pay for our acquisition liabilities in cash or to issue common stock as payment;</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variability of operating results;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the timing and outcome of pending or potential claims and litigation, including without limitation, the pending shareholder derivative lawsuits;</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2"/>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establish effective disclosure controls and procedures and internal control over financial reporting;</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2"/>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satisfy the requirements for continued listing of our common stock on the Nasdaq Capital Market;</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maintain and enhance our brand;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development and introduction of new products and services;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marketing and other business development initiatives;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competition in the industry;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general government regulation;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economic conditions;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dependence on key personnel;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the ability to attract, hire and retain personnel who possess the technical skills and experience necessary to meet the service requirements of our customers;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our ability to protect our intellectual property;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the potential liability with respect to actions taken by our existing and past employees;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risks associated with international sales; </w:t>
      </w:r>
    </w:p>
    <w:p>
      <w:pPr>
        <w:ind w:left="144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0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and the other risks and uncertainties described in the Risk Factors and in Management’s Discussion and Analysis of Financial Condition and Results of Operations sections of this Quarterly Report and our Annual Report on Form 10-K for the year ended December 31, 2017.</w:t>
      </w:r>
    </w:p>
    <w:p>
      <w:pPr>
        <w:ind w:left="144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All forward-looking statements in this document are based on our current expectations, intentions and beliefs using information currently available to us as of the date of this Quarterly Report, and we assume no obligation to update any forward-looking statements, except as required by law.  Forward-looking statements involve known and unknown risks, uncertainties and other factors that may cause the actual results to differ materially from any future results, performance or achievements expressed or implied by such forward-looking statements.</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Company Overview</w:t>
      </w:r>
      <w:bookmarkStart w:id="24836" w:name="Company_Overview"/>
      <w:bookmarkEnd w:id="24836"/>
    </w:p>
    <w:p>
      <w:pPr>
        <w:ind w:firstLine="72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IZEA creates and operates online marketplaces that connect marketers with content creators. Our technology brings the marketers and creators together, enabling their transactions to be completed at scale through the management of custom content workflow, creator search and targeting, bidding, analytics and payment processing.</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help power the creator economy, allowing everyone from college students and stay-at-home individuals to celebrities and accredited journalists the opportunity to monetize their content, creativity and influence through our marketers. These creators are compensated by IZEA for producing unique content such as long and short form text, videos, photos, status updates, and illustrations for marketers or distributing such content on behalf of marketers through their personal websites, blogs, and social media channels.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Marketers, including brands, agencies, and publishers, engage us to gain access to our industry expertise, technology, analytics, and network of creators. The majority of the marketers engage us to perform these services on their behalf, but they also have the ability to use our marketplaces on a self-service basis. Our technology is used for two primary purposes: the engagement of creators for influencer marketing campaigns (also known as “Influencer Marketing” or “Sponsored Social”), or the engagement of creators to create stand-alone custom content for the marketers' own use and distribution (“Custom Content”). Marketers receive influential consumer content and engaging, shareable stories that drive awareness.</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Our primary technology platforms, </w:t>
      </w:r>
      <w:r>
        <w:rPr>
          <w:rFonts w:ascii="Times New Roman" w:hAnsi="Times New Roman" w:eastAsia="Times New Roman" w:cs="Times New Roman"/>
          <w:sz w:val="20"/>
          <w:i w:val="true"/>
        </w:rPr>
        <w:t xml:space="preserve">The IZEA Exchange </w:t>
      </w:r>
      <w:r>
        <w:rPr>
          <w:rFonts w:ascii="Times New Roman" w:hAnsi="Times New Roman" w:eastAsia="Times New Roman" w:cs="Times New Roman"/>
          <w:sz w:val="20"/>
        </w:rPr>
        <w:t xml:space="preserve">(“</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enable transactions to be completed at scale through the management of custom content workflow, creator search and targeting, bidding, analytics, and payment processing.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are designed to provide a unified ecosystem that enables the creation and publication of multiple types of custom content through a creator's personal websites, blogs, or social media channels including Twitter, Facebook, Instagram, and YouTube, among others. In addition to </w:t>
      </w:r>
      <w:r>
        <w:rPr>
          <w:rFonts w:ascii="Times New Roman" w:hAnsi="Times New Roman" w:eastAsia="Times New Roman" w:cs="Times New Roman"/>
          <w:sz w:val="20"/>
          <w:i w:val="true"/>
        </w:rPr>
        <w:t xml:space="preserve">IZEAx </w:t>
      </w:r>
      <w:r>
        <w:rPr>
          <w:rFonts w:ascii="Times New Roman" w:hAnsi="Times New Roman" w:eastAsia="Times New Roman" w:cs="Times New Roman"/>
          <w:sz w:val="20"/>
        </w:rPr>
        <w:t xml:space="preserve">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we operate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technology platform, which we acquired in January 2015 and the </w:t>
      </w:r>
      <w:r>
        <w:rPr>
          <w:rFonts w:ascii="Times New Roman" w:hAnsi="Times New Roman" w:eastAsia="Times New Roman" w:cs="Times New Roman"/>
          <w:sz w:val="20"/>
          <w:i w:val="true"/>
        </w:rPr>
        <w:t xml:space="preserve">ZenContent</w:t>
      </w:r>
      <w:r>
        <w:rPr>
          <w:rFonts w:ascii="Times New Roman" w:hAnsi="Times New Roman" w:eastAsia="Times New Roman" w:cs="Times New Roman"/>
          <w:sz w:val="20"/>
        </w:rPr>
        <w:t xml:space="preserve"> platform, which we acquired in July 2016.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was originally designed as a self-service content marketplace to replace editorial newsrooms located in the news agencies with a “virtual newsroom” of creators to produce their content needs. The </w:t>
      </w:r>
      <w:r>
        <w:rPr>
          <w:rFonts w:ascii="Times New Roman" w:hAnsi="Times New Roman" w:eastAsia="Times New Roman" w:cs="Times New Roman"/>
          <w:sz w:val="20"/>
          <w:i w:val="true"/>
        </w:rPr>
        <w:t xml:space="preserve">ZenContent</w:t>
      </w:r>
      <w:r>
        <w:rPr>
          <w:rFonts w:ascii="Times New Roman" w:hAnsi="Times New Roman" w:eastAsia="Times New Roman" w:cs="Times New Roman"/>
          <w:sz w:val="20"/>
        </w:rPr>
        <w:t xml:space="preserve"> platform is an in-house workflow tool that enables us to produce highly scalable, multi-part production of content for both e-commerce entities, as well as brand customers.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 w:type="default"/>
          <w:footerReference r:id="rId24" w:type="default"/>
        </w:sectPr>
      </w:pPr>
    </w:p>
    <w:p>
      <w:pPr>
        <w:ind w:right="200"/>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Key Components of Results of Operations</w:t>
      </w:r>
      <w:bookmarkStart w:id="53571" w:name="Key_Components_of_Results_of_Operations"/>
      <w:bookmarkEnd w:id="53571"/>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With the addition of TapInfluence in July 2018 and its Marketplace Spend Fees revenue, we now measure revenue associated with our business under two reportable business segments; Managed Services and SaaS Services. Overall consolidated results of operations are evaluated based on Cost of Revenue, Sales and Marketing expenses, General and Administrative expenses, Depreciation and Amortization, and Other Income (Expense), net.</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Revenue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derive our revenue from providing content services or managing advertising campaigns for our customers, as well as from making our platforms available to allow customers the ability to purchase content directly from our creators. We categorize our revenue by four primary revenue streams: revenue from our managed services when a marketer (typically a brand, agency or partner) pays us to provide custom content, influencer marketing, amplification or other consulting services (“Managed Services”), revenue from fees charged to self-service customers on their marketplace spend within the Company's platforms (“Marketplace Spend Fees”), revenue derived from fees charged to access the </w:t>
      </w:r>
      <w:r>
        <w:rPr>
          <w:rFonts w:ascii="Times New Roman" w:hAnsi="Times New Roman" w:eastAsia="Times New Roman" w:cs="Times New Roman"/>
          <w:sz w:val="20"/>
          <w:i w:val="true"/>
        </w:rPr>
        <w:t xml:space="preserve">IZEAx, Ebyline,</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technology platforms (“License Fees”), and revenue from other fees such as inactivity, affiliate, and plan fees charged to users of the Company's platforms ("Other"). As discussed in more detail within “Critical Accounting Policies and Use of Estimates” in this section and in “Note 1. Company and Summary of Significant Accounting Policies,” under Item 1 of this Quarterly Report, revenue from our Managed Services and License Fees revenue are reported on a gross basis and revenue from Marketplace Spend is reported on a net basis.</w:t>
      </w:r>
    </w:p>
    <w:p>
      <w:pPr>
        <w:jc w:val="left"/>
        <w:spacing w:before="1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Cost of Revenue</w:t>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Our cost of revenue consists primarily of direct costs paid to our third-party creators who provide the custom content, influencer marketing or amplification services for our Managed Service customers where we report revenue on a gross basis. Personnel costs included in cost of services include salaries, bonuses, commissions, stock-based compensation, employee benefit costs, and miscellaneous departmental costs related to the personnel who are primarily responsible for providing support to our customers and ultimately fulfillment of our obligations under our contracts with customers. We capitalize costs that were incurred with software that is developed or acquired for our revenue supporting platforms and amortize these costs over the estimated useful lives of those platforms. This amortization is separately stated under depreciation and amortization.</w:t>
      </w:r>
    </w:p>
    <w:p>
      <w:pPr>
        <w:jc w:val="left"/>
        <w:spacing w:before="11"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Sales and Marketing</w:t>
      </w:r>
      <w:r>
        <w:rPr>
          <w:rFonts w:ascii="Times New Roman" w:hAnsi="Times New Roman" w:eastAsia="Times New Roman" w:cs="Times New Roman"/>
          <w:sz w:val="20"/>
        </w:rPr>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Our sales and marketing expenses consist primarily of salaries, bonuses, commissions, stock-based compensation, employee benefit costs, travel and miscellaneous departmental costs for our sales and sales support personnel, as well as marketing expenses such as brand marketing, public relation events, trade shows and marketing materials, and travel expenses.</w:t>
      </w:r>
    </w:p>
    <w:p>
      <w:pPr>
        <w:jc w:val="left"/>
        <w:spacing w:before="11"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General and Administrative</w:t>
      </w:r>
      <w:r>
        <w:rPr>
          <w:rFonts w:ascii="Times New Roman" w:hAnsi="Times New Roman" w:eastAsia="Times New Roman" w:cs="Times New Roman"/>
          <w:sz w:val="20"/>
          <w:b w:val="true"/>
        </w:rPr>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Our general and administrative expense consists primarily of salaries, bonuses, commissions, stock­-based compensation, employee benefit costs, and miscellaneous departmental costs related to our executive, finance, legal, human resources, and other administrative personnel. It also includes travel, public company and investor relations expenses, as well as accounting and legal professional services fees, leasehold facilities­ costs, and other corporate-related expenses. General and administrative expense also includes our technology and development costs consisting primarily of our payroll costs for our internal engineers and contractors responsible for developing, maintaining and improving our technology, along with hosting and software subscription costs. These costs are expensed as incurred, except to the extent that they are associated with internal use software that qualifies for capitalization, which are then recorded as software development costs in the consolidated balance sheet. We also capitalize costs that are related to our acquired intangible assets. Depreciation and amortization related to these costs are separately stated under depreciation and amortization. General and administrative expense also includes costs related to our acquisitions and fluctuations in our estimates on contingent earnout payments and compensation allocations related to these acquisitions. To the extent that our contingent earnout estimates change, there will be fluctuations in the amount expensed each period.</w:t>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Depreciation and Amortization</w:t>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Depreciation and amortization consists primarily of amortization on our internal use software and acquired intangible assets from our business acquisitions. To a lesser extent, we also have depreciation and amortization on equipment and leasehold improvements used by our personnel. Costs are amortized or depreciated over the estimated useful lives of those assets.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Other Income (Expense)</w:t>
      </w:r>
    </w:p>
    <w:p>
      <w:pPr>
        <w:jc w:val="left"/>
        <w:spacing w:before="1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320"/>
        <w:jc w:val="left"/>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	Interest Expense. </w:t>
      </w:r>
      <w:r>
        <w:rPr>
          <w:rFonts w:ascii="Times New Roman" w:hAnsi="Times New Roman" w:eastAsia="Times New Roman" w:cs="Times New Roman"/>
          <w:sz w:val="20"/>
        </w:rPr>
        <w:t xml:space="preserve">Interest expense is mainly related to the imputed interest on our acquisition costs payable and interest when we use our line of credit facility.</w:t>
      </w:r>
    </w:p>
    <w:p>
      <w:pPr>
        <w:jc w:val="left"/>
        <w:spacing w:before="11"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	</w:t>
      </w:r>
    </w:p>
    <w:p>
      <w:pPr>
        <w:jc w:val="left"/>
        <w:spacing w:before="11"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	Change in Fair Value of Restricted Stock and Derivatives, net. </w:t>
      </w:r>
      <w:r>
        <w:rPr>
          <w:rFonts w:ascii="Times New Roman" w:hAnsi="Times New Roman" w:eastAsia="Times New Roman" w:cs="Times New Roman"/>
          <w:sz w:val="20"/>
        </w:rPr>
        <w:t xml:space="preserve">On occasion, we enter into financing transactions that give rise to derivative liabilities. Additionally, we issue restricted stock to non-employees that vests over future periods. These financial instruments are carried at fair value in our financial statements. Changes in the fair value of such financial instruments are required to be recorded in other income (expense) in the period of change.</w:t>
      </w:r>
    </w:p>
    <w:p>
      <w:pPr>
        <w:ind w:right="280"/>
        <w:jc w:val="left"/>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ind w:right="280"/>
        <w:jc w:val="left"/>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	Other Income (Expense). </w:t>
      </w:r>
      <w:r>
        <w:rPr>
          <w:rFonts w:ascii="Times New Roman" w:hAnsi="Times New Roman" w:eastAsia="Times New Roman" w:cs="Times New Roman"/>
          <w:sz w:val="20"/>
        </w:rPr>
        <w:t xml:space="preserve">Other income consists of interest income for interest earned on our cash and cash equivalent balances, the value of cryptocurrency received from our IZEA cryptocurrency mining operations which commenced in January 2018, and foreign currency exchange gains and losses on foreign currency transactions, primarily related to the Canadian Dollar.</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 w:type="default"/>
          <w:footerReference r:id="rId25" w:type="default"/>
        </w:sectPr>
      </w:pP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Results of Operations for the </w:t>
      </w:r>
      <w:r>
        <w:rPr>
          <w:rFonts w:ascii="Times New Roman" w:hAnsi="Times New Roman" w:eastAsia="Times New Roman" w:cs="Times New Roman"/>
          <w:sz w:val="20"/>
          <w:b w:val="true"/>
        </w:rPr>
        <w:t xml:space="preserve">Three Months Ended</w:t>
      </w:r>
      <w:r>
        <w:rPr>
          <w:rFonts w:ascii="Times New Roman" w:hAnsi="Times New Roman" w:eastAsia="Times New Roman" w:cs="Times New Roman"/>
          <w:sz w:val="20"/>
          <w:b w:val="true"/>
        </w:rPr>
        <w:t xml:space="preserve"> </w:t>
      </w:r>
      <w:r>
        <w:rPr>
          <w:rFonts w:ascii="Times New Roman" w:hAnsi="Times New Roman" w:eastAsia="Times New Roman" w:cs="Times New Roman"/>
          <w:sz w:val="20"/>
          <w:b w:val="true"/>
        </w:rPr>
        <w:t xml:space="preserve">September 30, 2018</w:t>
      </w:r>
      <w:r>
        <w:rPr>
          <w:rFonts w:ascii="Times New Roman" w:hAnsi="Times New Roman" w:eastAsia="Times New Roman" w:cs="Times New Roman"/>
          <w:sz w:val="20"/>
          <w:b w:val="true"/>
        </w:rPr>
        <w:t xml:space="preserve"> and </w:t>
      </w:r>
      <w:r>
        <w:rPr>
          <w:rFonts w:ascii="Times New Roman" w:hAnsi="Times New Roman" w:eastAsia="Times New Roman" w:cs="Times New Roman"/>
          <w:sz w:val="20"/>
          <w:b w:val="true"/>
        </w:rPr>
        <w:t xml:space="preserve">2017</w:t>
      </w:r>
      <w:r>
        <w:rPr>
          <w:rFonts w:ascii="Times New Roman" w:hAnsi="Times New Roman" w:eastAsia="Times New Roman" w:cs="Times New Roman"/>
          <w:sz w:val="20"/>
          <w:b w:val="true"/>
        </w:rPr>
      </w:r>
      <w:bookmarkStart w:id="61816" w:name="Comparison_of_Three_Months_Ended"/>
      <w:bookmarkEnd w:id="61816"/>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following table sets forth a summary of our consolidated statements of operations and the percentage of change between the periods:</w:t>
      </w:r>
    </w:p>
    <w:tbl>
      <w:tblPr>
        <w:tblW w:type="dxa" w:w="10260"/>
        <w:tblLayout w:type="fixed"/>
        <w:jc w:val="justify"/>
      </w:tblPr>
      <w:tblGrid>
        <w:gridCol w:w="5020"/>
        <w:gridCol w:w="110"/>
        <w:gridCol w:w="1113"/>
        <w:gridCol w:w="77"/>
        <w:gridCol w:w="80"/>
        <w:gridCol w:w="110"/>
        <w:gridCol w:w="1113"/>
        <w:gridCol w:w="77"/>
        <w:gridCol w:w="80"/>
        <w:gridCol w:w="110"/>
        <w:gridCol w:w="1013"/>
        <w:gridCol w:w="77"/>
        <w:gridCol w:w="80"/>
        <w:gridCol w:w="956"/>
        <w:gridCol w:w="244"/>
      </w:tblGrid>
      <w:tr>
        <w:trPr>
          <w:trHeight w:hRule="exact" w:val="300"/>
        </w:trPr>
        <w:tc>
          <w:tcPr>
            <w:tcW w:type="dxa" w:w="502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(Unaudited)</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(Unaudited)</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6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left"/>
              <w:keepNext/>
              <w:keepLines/>
              <w:spacing w:before="40" w:after="40" w:line="240" w:lineRule="auto"/>
              <w:rPr/>
            </w:pPr>
            <w:r>
              <w:rPr/>
            </w:r>
          </w:p>
        </w:tc>
        <w:tc>
          <w:tcPr>
            <w:tcMar>
              <w:left w:type="dxa" w:w="6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956"/>
            <w:tcMar>
              <w:left w:type="dxa" w:w="6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tc>
      </w:tr>
      <w:tr>
        <w:trPr>
          <w:trHeight w:hRule="exact" w:val="500"/>
        </w:trPr>
        <w:tc>
          <w:tcPr>
            <w:tcW w:type="dxa" w:w="502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September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September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6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left"/>
              <w:keepNext/>
              <w:keepLines/>
              <w:spacing w:before="40" w:after="40" w:line="240" w:lineRule="auto"/>
              <w:rPr/>
            </w:pPr>
            <w:r>
              <w:rPr/>
            </w:r>
          </w:p>
        </w:tc>
        <w:tc>
          <w:tcPr>
            <w:tcMar>
              <w:left w:type="dxa" w:w="60"/>
              <w:right w:type="dxa" w:w="60"/>
            </w:tcMar>
            <w:hMerge w:val="continue"/>
            <w:tcBorders/>
          </w:tcPr>
          <w:p>
            <w:pPr>
              <w:jc w:val="left"/>
              <w:keepNext/>
              <w:keepLines/>
              <w:spacing w:before="40" w:after="40" w:line="240" w:lineRule="auto"/>
              <w:rPr/>
            </w:pPr>
            <w:r>
              <w:rPr/>
            </w:r>
          </w:p>
        </w:tc>
        <w:tc>
          <w:tcPr>
            <w:tcMar>
              <w:left w:type="dxa" w:w="0"/>
              <w:right w:type="dxa" w:w="6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r>
      <w:tr>
        <w:trPr>
          <w:trHeight w:hRule="exact" w:val="300"/>
        </w:trPr>
        <w:tc>
          <w:tcPr>
            <w:tcW w:type="dxa" w:w="5020"/>
            <w:tcMar>
              <w:left w:type="dxa" w:w="60"/>
              <w:right w:type="dxa" w:w="0"/>
            </w:tcMar>
            <w:hMerge w:val="restart"/>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0"/>
              <w:right w:type="dxa" w:w="60"/>
            </w:tcMar>
            <w:tcBorders>
              <w:top w:val="single" w:sz="8" w:space="0"/>
              <w:bottom w:val="single" w:sz="8"/>
            </w:tcBorders>
            <w:hMerge w:val="continue"/>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bottom w:val="single" w:sz="8"/>
            </w:tcBorders>
            <w:vAlign w:val="bottom"/>
          </w:tcPr>
          <w:p>
            <w:pPr>
              <w:jc w:val="left"/>
              <w:keepNext/>
              <w:keepLines/>
              <w:spacing w:before="40" w:after="40" w:line="240" w:lineRule="auto"/>
              <w:rPr/>
            </w:pPr>
            <w:r>
              <w:rPr/>
            </w:r>
          </w:p>
        </w:tc>
        <w:tc>
          <w:tcPr>
            <w:tcW w:type="dxa" w:w="956"/>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top w:val="single" w:sz="8" w:space="0"/>
              <w:bottom w:val="single" w:sz="8"/>
            </w:tcBorders>
            <w:hMerge w:val="continue"/>
          </w:tcPr>
          <w:p/>
        </w:tc>
      </w:tr>
      <w:tr>
        <w:trPr>
          <w:trHeight w:hRule="exact" w:val="280"/>
        </w:trPr>
        <w:tc>
          <w:tcPr>
            <w:tcW w:type="dxa" w:w="50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Revenue</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5,780,941</w:t>
            </w:r>
          </w:p>
        </w:tc>
        <w:tc>
          <w:tcPr>
            <w:tcW w:type="dxa" w:w="77"/>
            <w:tcMar>
              <w:left w:type="dxa" w:w="0"/>
              <w:right w:type="dxa" w:w="0"/>
            </w:tcMar>
            <w:tcBorders>
              <w:top w:val="single" w:sz="8" w:space="0"/>
            </w:tcBorders>
          </w:tcPr>
          <w:p/>
        </w:tc>
        <w:tc>
          <w:tcPr>
            <w:tcW w:type="dxa" w:w="80"/>
            <w:tcMar>
              <w:left w:type="dxa" w:w="60"/>
              <w:right w:type="dxa" w:w="0"/>
            </w:tcMar>
            <w:tcBorders>
              <w:top w:val="single" w:sz="8" w:space="0"/>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7,089,855</w:t>
            </w:r>
          </w:p>
        </w:tc>
        <w:tc>
          <w:tcPr>
            <w:tcW w:type="dxa" w:w="77"/>
            <w:tcMar>
              <w:left w:type="dxa" w:w="0"/>
              <w:right w:type="dxa" w:w="0"/>
            </w:tcMar>
            <w:tcBorders>
              <w:top w:val="single" w:sz="8" w:space="0"/>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(1,308,914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9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180"/>
        </w:trPr>
        <w:tc>
          <w:tcPr>
            <w:tcW w:type="dxa" w:w="502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56"/>
            <w:tcMar>
              <w:left w:type="dxa" w:w="60"/>
              <w:right w:type="dxa" w:w="0"/>
            </w:tcMar>
            <w:tcBorders/>
            <w:vAlign w:val="bottom"/>
            <w:hMerge w:val="restart"/>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50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Costs and expenses:</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56"/>
            <w:tcMar>
              <w:left w:type="dxa" w:w="60"/>
              <w:right w:type="dxa" w:w="0"/>
            </w:tcMar>
            <w:tcBorders/>
            <w:vAlign w:val="bottom"/>
            <w:hMerge w:val="restart"/>
          </w:tcPr>
          <w:p>
            <w:pPr>
              <w:jc w:val="left"/>
              <w:keepNext/>
              <w:keepLines/>
              <w:spacing w:before="40" w:after="40" w:line="240" w:lineRule="auto"/>
              <w:rPr/>
            </w:pPr>
            <w:r>
              <w:rPr/>
            </w:r>
          </w:p>
        </w:tc>
        <w:tc>
          <w:tcPr>
            <w:tcMar>
              <w:left w:type="dxa" w:w="0"/>
              <w:right w:type="dxa" w:w="0"/>
            </w:tcMar>
            <w:tcBorders/>
            <w:hMerge w:val="continue"/>
          </w:tcPr>
          <w:p/>
        </w:tc>
      </w:tr>
      <w:tr>
        <w:trPr>
          <w:trHeight w:hRule="exact" w:val="300"/>
        </w:trPr>
        <w:tc>
          <w:tcPr>
            <w:tcW w:type="dxa" w:w="502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Cost of revenue (exclusive of amortization)</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2,397,466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2,397,466</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3,302,626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3,302,626</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(905,160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(905,160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9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2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Sales and marketing</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1,574,335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1,574,335</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1,733,178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1,733,178</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(158,843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(158,843</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9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2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General and administrative</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2,699,978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2,699,978</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2,312,301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2,312,301</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387,677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387,677</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20"/>
            <w:tcMar>
              <w:left w:type="dxa" w:w="1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Depreciation and amortization</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370,674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370,674</w:t>
            </w:r>
          </w:p>
        </w:tc>
        <w:tc>
          <w:tcPr>
            <w:tcW w:type="dxa" w:w="77"/>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374,965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374,965</w:t>
            </w:r>
          </w:p>
        </w:tc>
        <w:tc>
          <w:tcPr>
            <w:tcW w:type="dxa" w:w="77"/>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(4,291</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(4,291</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95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244"/>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20"/>
            <w:tcMar>
              <w:left w:type="dxa" w:w="7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costs and expenses</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7,042,453</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7,042,453</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7,723,070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7,723,070</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(680,617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(680,617</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95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w:t>
            </w:r>
          </w:p>
        </w:tc>
        <w:tc>
          <w:tcPr>
            <w:tcW w:type="dxa" w:w="244"/>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Loss from operations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(1,261,512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(1,261,512</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(633,215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(633,215</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(628,297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(628,297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9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99</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income (expense):</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956"/>
            <w:tcMar>
              <w:left w:type="dxa" w:w="60"/>
              <w:right w:type="dxa" w:w="0"/>
            </w:tcMar>
            <w:tcBorders/>
            <w:vAlign w:val="bottom"/>
            <w:hMerge w:val="restart"/>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502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Interest expense</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(90,452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(90,452</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(15,058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(15,058</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(75,394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(75,394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9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501</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2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Change in fair value of derivatives, net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45,160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45,160</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(45,160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(45,160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9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20"/>
            <w:tcMar>
              <w:left w:type="dxa" w:w="1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income, net</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19,135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19,135</w:t>
            </w:r>
          </w:p>
        </w:tc>
        <w:tc>
          <w:tcPr>
            <w:tcW w:type="dxa" w:w="77"/>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44,308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44,308</w:t>
            </w:r>
          </w:p>
        </w:tc>
        <w:tc>
          <w:tcPr>
            <w:tcW w:type="dxa" w:w="77"/>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(25,173</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(25,173</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95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w:t>
            </w:r>
          </w:p>
        </w:tc>
        <w:tc>
          <w:tcPr>
            <w:tcW w:type="dxa" w:w="244"/>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20"/>
            <w:tcMar>
              <w:left w:type="dxa" w:w="7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other income (expense), net</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(71,317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(71,317</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74,410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74,410</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(145,727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(145,727</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95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(196</w:t>
            </w:r>
          </w:p>
        </w:tc>
        <w:tc>
          <w:tcPr>
            <w:tcW w:type="dxa" w:w="244"/>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5020"/>
            <w:tcMar>
              <w:left w:type="dxa" w:w="60"/>
              <w:right w:type="dxa" w:w="4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Net loss</w:t>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(1,332,829</w:t>
            </w:r>
          </w:p>
        </w:tc>
        <w:tc>
          <w:tcPr>
            <w:tcW w:type="dxa" w:w="77"/>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(558,805</w:t>
            </w:r>
          </w:p>
        </w:tc>
        <w:tc>
          <w:tcPr>
            <w:tcW w:type="dxa" w:w="77"/>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(774,024</w:t>
            </w:r>
          </w:p>
        </w:tc>
        <w:tc>
          <w:tcPr>
            <w:tcW w:type="dxa" w:w="77"/>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956"/>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139</w:t>
            </w:r>
          </w:p>
        </w:tc>
        <w:tc>
          <w:tcPr>
            <w:tcW w:type="dxa" w:w="244"/>
            <w:tcMar>
              <w:left w:type="dxa" w:w="0"/>
              <w:right w:type="dxa" w:w="0"/>
            </w:tcMar>
            <w:tcBorders>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left"/>
        <w:spacing w:before="60"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Revenue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following table illustrates our revenue by type, the percentage of total revenue by type, and the percentage of change between the periods:</w:t>
      </w:r>
    </w:p>
    <w:tbl>
      <w:tblPr>
        <w:tblW w:type="dxa" w:w="10260"/>
        <w:tblLayout w:type="fixed"/>
        <w:jc w:val="left"/>
      </w:tblPr>
      <w:tblGrid>
        <w:gridCol w:w="4100"/>
        <w:gridCol w:w="110"/>
        <w:gridCol w:w="1013"/>
        <w:gridCol w:w="77"/>
        <w:gridCol w:w="523"/>
        <w:gridCol w:w="177"/>
        <w:gridCol w:w="80"/>
        <w:gridCol w:w="110"/>
        <w:gridCol w:w="1013"/>
        <w:gridCol w:w="77"/>
        <w:gridCol w:w="523"/>
        <w:gridCol w:w="177"/>
        <w:gridCol w:w="80"/>
        <w:gridCol w:w="110"/>
        <w:gridCol w:w="1013"/>
        <w:gridCol w:w="77"/>
        <w:gridCol w:w="756"/>
        <w:gridCol w:w="244"/>
      </w:tblGrid>
      <w:tr>
        <w:trPr>
          <w:trHeight w:hRule="exact" w:val="300"/>
        </w:trPr>
        <w:tc>
          <w:tcPr>
            <w:tcW w:type="dxa" w:w="410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r>
          </w:p>
        </w:tc>
        <w:tc>
          <w:tcPr>
            <w:tcMar>
              <w:left w:type="dxa" w:w="0"/>
              <w:right w:type="dxa" w:w="6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c>
          <w:tcPr>
            <w:tcW w:type="dxa" w:w="0"/>
            <w:tcMar>
              <w:left w:type="dxa" w:w="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left"/>
              <w:keepNext/>
              <w:keepLines/>
              <w:spacing w:before="40" w:after="40" w:line="240" w:lineRule="auto"/>
              <w:rPr/>
            </w:pPr>
            <w:r>
              <w:rPr/>
            </w:r>
          </w:p>
        </w:tc>
        <w:tc>
          <w:tcPr>
            <w:tcMar>
              <w:left w:type="dxa" w:w="60"/>
              <w:right w:type="dxa" w:w="60"/>
            </w:tcMar>
            <w:tcBorders>
              <w:bottom w:val="single" w:sz="8"/>
            </w:tcBorders>
            <w:hMerge w:val="continue"/>
          </w:tcPr>
          <w:p>
            <w:pPr>
              <w:jc w:val="left"/>
              <w:keepNext/>
              <w:keepLines/>
              <w:spacing w:before="40" w:after="40" w:line="240" w:lineRule="auto"/>
              <w:rPr/>
            </w:pPr>
            <w:r>
              <w:rPr/>
            </w:r>
          </w:p>
        </w:tc>
        <w:tc>
          <w:tcPr>
            <w:tcMar>
              <w:left w:type="dxa" w:w="0"/>
              <w:right w:type="dxa" w:w="60"/>
            </w:tcMar>
            <w:tcBorders>
              <w:bottom w:val="single" w:sz="8"/>
            </w:tcBorders>
            <w:hMerge w:val="continue"/>
          </w:tcPr>
          <w:p/>
        </w:tc>
        <w:tc>
          <w:tcPr>
            <w:tcW w:type="dxa" w:w="756"/>
            <w:tcMar>
              <w:left w:type="dxa" w:w="60"/>
              <w:right w:type="dxa" w:w="60"/>
            </w:tcMar>
            <w:tcBorders>
              <w:bottom w:val="single" w:sz="8"/>
            </w:tcBorders>
            <w:vAlign w:val="bottom"/>
            <w:hMerge w:val="restart"/>
          </w:tcPr>
          <w:p>
            <w:pPr>
              <w:jc w:val="left"/>
              <w:keepNext/>
              <w:keepLines/>
              <w:spacing w:before="40" w:after="40" w:line="240" w:lineRule="auto"/>
              <w:rPr/>
            </w:pPr>
            <w:r>
              <w:rPr/>
            </w:r>
          </w:p>
        </w:tc>
        <w:tc>
          <w:tcPr>
            <w:tcMar>
              <w:left w:type="dxa" w:w="0"/>
              <w:right w:type="dxa" w:w="60"/>
            </w:tcMar>
            <w:tcBorders>
              <w:bottom w:val="single" w:sz="8"/>
            </w:tcBorders>
            <w:hMerge w:val="continue"/>
          </w:tcPr>
          <w:p/>
        </w:tc>
      </w:tr>
      <w:tr>
        <w:trPr>
          <w:trHeight w:hRule="exact" w:val="300"/>
        </w:trPr>
        <w:tc>
          <w:tcPr>
            <w:tcW w:type="dxa" w:w="410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2018</w:t>
            </w:r>
          </w:p>
        </w:tc>
        <w:tc>
          <w:tcPr>
            <w:tcMar>
              <w:left w:type="dxa" w:w="60"/>
              <w:right w:type="dxa" w:w="60"/>
            </w:tcMar>
            <w:hMerge w:val="continue"/>
            <w:tcBorders>
              <w:top w:val="single" w:sz="8" w:space="0"/>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2018</w:t>
            </w:r>
          </w:p>
        </w:tc>
        <w:tc>
          <w:tcPr>
            <w:tcMar>
              <w:left w:type="dxa" w:w="0"/>
              <w:right w:type="dxa" w:w="60"/>
            </w:tcMar>
            <w:hMerge w:val="continue"/>
            <w:tcBorders>
              <w:top w:val="single" w:sz="8" w:space="0"/>
            </w:tcBorders>
          </w:tcPr>
          <w:p/>
        </w:tc>
        <w:tc>
          <w:tcPr>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Mar>
              <w:left w:type="dxa" w:w="0"/>
              <w:right w:type="dxa" w:w="0"/>
            </w:tcMar>
            <w:hMerge w:val="continue"/>
            <w:tcBorders>
              <w:top w:val="single" w:sz="8" w:space="0"/>
            </w:tcBorders>
          </w:tcPr>
          <w:p/>
        </w:tc>
        <w:tc>
          <w:tcPr>
            <w:tcW w:type="dxa" w:w="80"/>
            <w:tcMar>
              <w:left w:type="dxa" w:w="0"/>
              <w:right w:type="dxa" w:w="0"/>
            </w:tcMar>
            <w:hMerge w:val="restart"/>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hMerge w:val="restart"/>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2017</w:t>
            </w:r>
          </w:p>
        </w:tc>
        <w:tc>
          <w:tcPr>
            <w:tcMar>
              <w:left w:type="dxa" w:w="60"/>
              <w:right w:type="dxa" w:w="60"/>
            </w:tcMar>
            <w:hMerge w:val="continue"/>
            <w:tcBorders>
              <w:top w:val="single" w:sz="8" w:space="0"/>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2017</w:t>
            </w:r>
          </w:p>
        </w:tc>
        <w:tc>
          <w:tcPr>
            <w:tcMar>
              <w:left w:type="dxa" w:w="0"/>
              <w:right w:type="dxa" w:w="60"/>
            </w:tcMar>
            <w:hMerge w:val="continue"/>
            <w:tcBorders>
              <w:top w:val="single" w:sz="8" w:space="0"/>
            </w:tcBorders>
          </w:tcPr>
          <w:p/>
        </w:tc>
        <w:tc>
          <w:tcPr>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Mar>
              <w:left w:type="dxa" w:w="0"/>
              <w:right w:type="dxa" w:w="0"/>
            </w:tcMar>
            <w:hMerge w:val="continue"/>
            <w:tcBorders>
              <w:top w:val="single" w:sz="8" w:space="0"/>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bottom w:val="single" w:sz="8"/>
            </w:tcBorders>
            <w:hMerge w:val="continue"/>
          </w:tcPr>
          <w:p/>
        </w:tc>
        <w:tc>
          <w:tcPr>
            <w:tcW w:type="dxa" w:w="756"/>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bottom w:val="single" w:sz="8"/>
            </w:tcBorders>
            <w:hMerge w:val="continue"/>
          </w:tcPr>
          <w:p/>
        </w:tc>
      </w:tr>
      <w:tr>
        <w:trPr>
          <w:trHeight w:hRule="exact" w:val="280"/>
        </w:trPr>
        <w:tc>
          <w:tcPr>
            <w:tcW w:type="dxa" w:w="41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Managed Services</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4,859,435</w:t>
            </w:r>
          </w:p>
        </w:tc>
        <w:tc>
          <w:tcPr>
            <w:tcW w:type="dxa" w:w="77"/>
            <w:tcMar>
              <w:left w:type="dxa" w:w="0"/>
              <w:right w:type="dxa" w:w="0"/>
            </w:tcMar>
            <w:tcBorders>
              <w:top w:val="single" w:sz="8" w:space="0"/>
            </w:tcBorders>
          </w:tcPr>
          <w:p/>
        </w:tc>
        <w:tc>
          <w:tcPr>
            <w:tcW w:type="dxa" w:w="5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w:t>
            </w:r>
          </w:p>
        </w:tc>
        <w:tc>
          <w:tcPr>
            <w:tcW w:type="dxa" w:w="177"/>
            <w:tcMar>
              <w:left w:type="dxa" w:w="0"/>
              <w:right w:type="dxa" w:w="0"/>
            </w:tcMar>
            <w:tcBorders>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6,997,390</w:t>
            </w:r>
          </w:p>
        </w:tc>
        <w:tc>
          <w:tcPr>
            <w:tcW w:type="dxa" w:w="77"/>
            <w:tcMar>
              <w:left w:type="dxa" w:w="0"/>
              <w:right w:type="dxa" w:w="0"/>
            </w:tcMar>
            <w:tcBorders>
              <w:top w:val="single" w:sz="8" w:space="0"/>
            </w:tcBorders>
          </w:tcPr>
          <w:p/>
        </w:tc>
        <w:tc>
          <w:tcPr>
            <w:tcW w:type="dxa" w:w="5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99</w:t>
            </w:r>
          </w:p>
        </w:tc>
        <w:tc>
          <w:tcPr>
            <w:tcW w:type="dxa" w:w="177"/>
            <w:tcMar>
              <w:left w:type="dxa" w:w="0"/>
              <w:right w:type="dxa" w:w="0"/>
            </w:tcMar>
            <w:tcBorders>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(2,137,955</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1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Marketplace Spend Fees, net</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378,768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378,768</w:t>
            </w:r>
          </w:p>
        </w:tc>
        <w:tc>
          <w:tcPr>
            <w:tcW w:type="dxa" w:w="77"/>
            <w:tcMar>
              <w:left w:type="dxa" w:w="0"/>
              <w:right w:type="dxa" w:w="0"/>
            </w:tcMar>
            <w:tcBorders/>
          </w:tcPr>
          <w:p/>
        </w:tc>
        <w:tc>
          <w:tcPr>
            <w:tcW w:type="dxa" w:w="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21,680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21,680</w:t>
            </w:r>
          </w:p>
        </w:tc>
        <w:tc>
          <w:tcPr>
            <w:tcW w:type="dxa" w:w="77"/>
            <w:tcMar>
              <w:left w:type="dxa" w:w="0"/>
              <w:right w:type="dxa" w:w="0"/>
            </w:tcMar>
            <w:tcBorders/>
          </w:tcPr>
          <w:p/>
        </w:tc>
        <w:tc>
          <w:tcPr>
            <w:tcW w:type="dxa" w:w="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357,088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357,088</w:t>
            </w:r>
          </w:p>
        </w:tc>
        <w:tc>
          <w:tcPr>
            <w:tcW w:type="dxa" w:w="77"/>
            <w:tcMar>
              <w:left w:type="dxa" w:w="0"/>
              <w:right w:type="dxa" w:w="0"/>
            </w:tcMar>
            <w:tcBorders/>
          </w:tcP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1,647</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1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License Fees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485,651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485,651</w:t>
            </w:r>
          </w:p>
        </w:tc>
        <w:tc>
          <w:tcPr>
            <w:tcW w:type="dxa" w:w="77"/>
            <w:tcMar>
              <w:left w:type="dxa" w:w="0"/>
              <w:right w:type="dxa" w:w="0"/>
            </w:tcMar>
            <w:tcBorders/>
          </w:tcPr>
          <w:p/>
        </w:tc>
        <w:tc>
          <w:tcPr>
            <w:tcW w:type="dxa" w:w="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9,353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9,353</w:t>
            </w:r>
          </w:p>
        </w:tc>
        <w:tc>
          <w:tcPr>
            <w:tcW w:type="dxa" w:w="77"/>
            <w:tcMar>
              <w:left w:type="dxa" w:w="0"/>
              <w:right w:type="dxa" w:w="0"/>
            </w:tcMar>
            <w:tcBorders/>
          </w:tcPr>
          <w:p/>
        </w:tc>
        <w:tc>
          <w:tcPr>
            <w:tcW w:type="dxa" w:w="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476,298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476,298</w:t>
            </w:r>
          </w:p>
        </w:tc>
        <w:tc>
          <w:tcPr>
            <w:tcW w:type="dxa" w:w="77"/>
            <w:tcMar>
              <w:left w:type="dxa" w:w="0"/>
              <w:right w:type="dxa" w:w="0"/>
            </w:tcMar>
            <w:tcBorders/>
          </w:tcP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5,092</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1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Legacy Workflow, net</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48,409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48,409</w:t>
            </w:r>
          </w:p>
        </w:tc>
        <w:tc>
          <w:tcPr>
            <w:tcW w:type="dxa" w:w="77"/>
            <w:tcMar>
              <w:left w:type="dxa" w:w="0"/>
              <w:right w:type="dxa" w:w="0"/>
            </w:tcMar>
            <w:tcBorders/>
          </w:tcPr>
          <w:p/>
        </w:tc>
        <w:tc>
          <w:tcPr>
            <w:tcW w:type="dxa" w:w="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55,297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55,297</w:t>
            </w:r>
          </w:p>
        </w:tc>
        <w:tc>
          <w:tcPr>
            <w:tcW w:type="dxa" w:w="77"/>
            <w:tcMar>
              <w:left w:type="dxa" w:w="0"/>
              <w:right w:type="dxa" w:w="0"/>
            </w:tcMar>
            <w:tcBorders/>
          </w:tcPr>
          <w:p/>
        </w:tc>
        <w:tc>
          <w:tcPr>
            <w:tcW w:type="dxa" w:w="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(6,888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(6,888</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1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8,678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8,678</w:t>
            </w:r>
          </w:p>
        </w:tc>
        <w:tc>
          <w:tcPr>
            <w:tcW w:type="dxa" w:w="77"/>
            <w:tcMar>
              <w:left w:type="dxa" w:w="0"/>
              <w:right w:type="dxa" w:w="0"/>
            </w:tcMar>
            <w:tcBorders/>
          </w:tcPr>
          <w:p/>
        </w:tc>
        <w:tc>
          <w:tcPr>
            <w:tcW w:type="dxa" w:w="5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6,135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6,135</w:t>
            </w:r>
          </w:p>
        </w:tc>
        <w:tc>
          <w:tcPr>
            <w:tcW w:type="dxa" w:w="77"/>
            <w:tcMar>
              <w:left w:type="dxa" w:w="0"/>
              <w:right w:type="dxa" w:w="0"/>
            </w:tcMar>
            <w:tcBorders/>
          </w:tcPr>
          <w:p/>
        </w:tc>
        <w:tc>
          <w:tcPr>
            <w:tcW w:type="dxa" w:w="5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2,543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2,543</w:t>
            </w:r>
          </w:p>
        </w:tc>
        <w:tc>
          <w:tcPr>
            <w:tcW w:type="dxa" w:w="77"/>
            <w:tcMar>
              <w:left w:type="dxa" w:w="0"/>
              <w:right w:type="dxa" w:w="0"/>
            </w:tcMar>
            <w:tcBorders/>
          </w:tcP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10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Revenue by type</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5,780,941</w:t>
            </w:r>
          </w:p>
        </w:tc>
        <w:tc>
          <w:tcPr>
            <w:tcW w:type="dxa" w:w="77"/>
            <w:tcMar>
              <w:left w:type="dxa" w:w="0"/>
              <w:right w:type="dxa" w:w="0"/>
            </w:tcMar>
            <w:tcBorders>
              <w:top w:val="single" w:sz="8" w:space="0"/>
              <w:bottom w:val="double" w:sz="4"/>
            </w:tcBorders>
          </w:tcPr>
          <w:p/>
        </w:tc>
        <w:tc>
          <w:tcPr>
            <w:tcW w:type="dxa" w:w="5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177"/>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7,089,855</w:t>
            </w:r>
          </w:p>
        </w:tc>
        <w:tc>
          <w:tcPr>
            <w:tcW w:type="dxa" w:w="77"/>
            <w:tcMar>
              <w:left w:type="dxa" w:w="0"/>
              <w:right w:type="dxa" w:w="0"/>
            </w:tcMar>
            <w:tcBorders>
              <w:top w:val="single" w:sz="8" w:space="0"/>
              <w:bottom w:val="double" w:sz="4"/>
            </w:tcBorders>
          </w:tcPr>
          <w:p/>
        </w:tc>
        <w:tc>
          <w:tcPr>
            <w:tcW w:type="dxa" w:w="5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177"/>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(1,308,914</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56"/>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w:t>
            </w:r>
          </w:p>
        </w:tc>
        <w:tc>
          <w:tcPr>
            <w:tcW w:type="dxa" w:w="244"/>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center"/>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Total revenue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decreased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$1,308,914</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18%</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have invested the majority of our time and resources in our Managed Services, which generates the majority of our revenue. Our acquisitions of Ebyline and ZenContent allowed us to expand our product offerings to provide custom content in addition to and in combination with our influencer marketing campaigns. Our merger with TapInfluence allows us to immediately increase our market share of the marketplace spend and licensed SaaS revenue business, and enables us to scale more quickly in this space.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Managed Services </w:t>
      </w:r>
      <w:r>
        <w:rPr>
          <w:rFonts w:ascii="Times New Roman" w:hAnsi="Times New Roman" w:eastAsia="Times New Roman" w:cs="Times New Roman"/>
          <w:sz w:val="20"/>
        </w:rPr>
        <w:t xml:space="preserve">revenue declined due to lower annual commitments from some of our larger customers for their 2018 advertising spends, along with a decrease in the number of smaller customers running short-term campaigns. Additionally, the revenue reported in 2017 is being reported pursuant to the previous GAAP reporting standards under ASC 605 while the revenue reported in 2018 is being reported pursuant to ASC 606. We adopted the new standards under the modified retrospective approach whereby we were not required to recalculate the revenue at each prior year reporting period. Changes between the standards results in timing differences on how revenue is recognized. As discussed in Note 8 under Item 1 of this Quarterly Report, the change in GAAP reporting standards resulted in an increase in revenue of </w:t>
      </w:r>
      <w:r>
        <w:rPr>
          <w:rFonts w:ascii="Times New Roman" w:hAnsi="Times New Roman" w:eastAsia="Times New Roman" w:cs="Times New Roman"/>
          <w:sz w:val="20"/>
        </w:rPr>
        <w:t xml:space="preserve">$16,459</w:t>
      </w:r>
      <w:r>
        <w:rPr>
          <w:rFonts w:ascii="Times New Roman" w:hAnsi="Times New Roman" w:eastAsia="Times New Roman" w:cs="Times New Roman"/>
          <w:sz w:val="20"/>
        </w:rPr>
        <w:t xml:space="preserve"> between the periods.</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Marketplace Spend Fees</w:t>
      </w:r>
      <w:r>
        <w:rPr>
          <w:rFonts w:ascii="Times New Roman" w:hAnsi="Times New Roman" w:eastAsia="Times New Roman" w:cs="Times New Roman"/>
          <w:sz w:val="20"/>
        </w:rPr>
        <w:t xml:space="preserve"> revenue results primarily from marketers and partners using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beginning in July 2018, the </w:t>
      </w:r>
      <w:r>
        <w:rPr>
          <w:rFonts w:ascii="Times New Roman" w:hAnsi="Times New Roman" w:eastAsia="Times New Roman" w:cs="Times New Roman"/>
          <w:sz w:val="20"/>
          <w:i w:val="true"/>
        </w:rPr>
        <w:t xml:space="preserve">TapInfluence </w:t>
      </w:r>
      <w:r>
        <w:rPr>
          <w:rFonts w:ascii="Times New Roman" w:hAnsi="Times New Roman" w:eastAsia="Times New Roman" w:cs="Times New Roman"/>
          <w:sz w:val="20"/>
        </w:rPr>
        <w:t xml:space="preserve">platforms on a self-service basis to create and distribute content for marketing and sponsored social advertising campaigns. This also includes revenue from creation and distribution of content related to newspaper and traditional publishers who utilize the Company's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("Legacy Workflow"), to produce and process their content needs. Revenue from Marketplace Spend Fees </w:t>
      </w:r>
      <w:r>
        <w:rPr>
          <w:rFonts w:ascii="Times New Roman" w:hAnsi="Times New Roman" w:eastAsia="Times New Roman" w:cs="Times New Roman"/>
          <w:sz w:val="20"/>
        </w:rPr>
        <w:t xml:space="preserve">increased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357,088</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1,647%</w:t>
      </w:r>
      <w:r>
        <w:rPr>
          <w:rFonts w:ascii="Times New Roman" w:hAnsi="Times New Roman" w:eastAsia="Times New Roman" w:cs="Times New Roman"/>
          <w:sz w:val="20"/>
        </w:rPr>
        <w:t xml:space="preserve">, in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compared to the same period in 2017, primarily as a result of the Company's merger with TapInfluence in July 2018, which acquired business accounted for approximately $363,764 of the consolidated Marketplace Spend Fees revenue for period. Revenue from Marketplace Spend Fees represents our net margins received on this business, which averaged approximately </w:t>
      </w:r>
      <w:r>
        <w:rPr>
          <w:rFonts w:ascii="Times New Roman" w:hAnsi="Times New Roman" w:eastAsia="Times New Roman" w:cs="Times New Roman"/>
          <w:sz w:val="20"/>
        </w:rPr>
        <w:t xml:space="preserve">12%</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37%</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We expect to see continued increases in total Marketplace Spend Fees revenue and improved margins due to the addition of the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platform as well as continued organic growth related to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platform.</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License Fees </w:t>
      </w:r>
      <w:r>
        <w:rPr>
          <w:rFonts w:ascii="Times New Roman" w:hAnsi="Times New Roman" w:eastAsia="Times New Roman" w:cs="Times New Roman"/>
          <w:sz w:val="20"/>
        </w:rPr>
        <w:t xml:space="preserve">revenue is generated primarily through the granting of limited, non-exclusive, non-transferable licenses to customers for the use of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TapIfluence</w:t>
      </w:r>
      <w:r>
        <w:rPr>
          <w:rFonts w:ascii="Times New Roman" w:hAnsi="Times New Roman" w:eastAsia="Times New Roman" w:cs="Times New Roman"/>
          <w:sz w:val="20"/>
        </w:rPr>
        <w:t xml:space="preserve"> technology platforms for an agreed-upon subscription period. Customers license the platforms to manage their own sponsored social advertising campaigns. Fees for subscription or licensing services are recognized straight-line over the term of the service. License Fees revenue </w:t>
      </w:r>
      <w:r>
        <w:rPr>
          <w:rFonts w:ascii="Times New Roman" w:hAnsi="Times New Roman" w:eastAsia="Times New Roman" w:cs="Times New Roman"/>
          <w:sz w:val="20"/>
        </w:rPr>
        <w:t xml:space="preserve">increased</w:t>
      </w:r>
      <w:r>
        <w:rPr>
          <w:rFonts w:ascii="Times New Roman" w:hAnsi="Times New Roman" w:eastAsia="Times New Roman" w:cs="Times New Roman"/>
          <w:sz w:val="20"/>
        </w:rPr>
        <w:t xml:space="preserve"> significantly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to $</w:t>
      </w:r>
      <w:r>
        <w:rPr>
          <w:rFonts w:ascii="Times New Roman" w:hAnsi="Times New Roman" w:eastAsia="Times New Roman" w:cs="Times New Roman"/>
          <w:sz w:val="20"/>
        </w:rPr>
        <w:t xml:space="preserve">485,651</w:t>
      </w:r>
      <w:r>
        <w:rPr>
          <w:rFonts w:ascii="Times New Roman" w:hAnsi="Times New Roman" w:eastAsia="Times New Roman" w:cs="Times New Roman"/>
          <w:sz w:val="20"/>
        </w:rPr>
        <w:t xml:space="preserve">, primarily as a result of the business acquired in the merger with TapInfluence, compared to $</w:t>
      </w:r>
      <w:r>
        <w:rPr>
          <w:rFonts w:ascii="Times New Roman" w:hAnsi="Times New Roman" w:eastAsia="Times New Roman" w:cs="Times New Roman"/>
          <w:sz w:val="20"/>
        </w:rPr>
        <w:t xml:space="preserve">9,353</w:t>
      </w:r>
      <w:r>
        <w:rPr>
          <w:rFonts w:ascii="Times New Roman" w:hAnsi="Times New Roman" w:eastAsia="Times New Roman" w:cs="Times New Roman"/>
          <w:sz w:val="20"/>
        </w:rPr>
        <w:t xml:space="preserve"> in the same period of the prior year.</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Legacy Workflow</w:t>
      </w:r>
      <w:r>
        <w:rPr>
          <w:rFonts w:ascii="Times New Roman" w:hAnsi="Times New Roman" w:eastAsia="Times New Roman" w:cs="Times New Roman"/>
          <w:sz w:val="20"/>
        </w:rPr>
        <w:t xml:space="preserve"> revenue represent transactions through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which is declining year over year due to the ongoing consolidation and cutbacks in the newspaper industry. Revenue from Legacy Workflow transactions </w:t>
      </w:r>
      <w:r>
        <w:rPr>
          <w:rFonts w:ascii="Times New Roman" w:hAnsi="Times New Roman" w:eastAsia="Times New Roman" w:cs="Times New Roman"/>
          <w:sz w:val="20"/>
        </w:rPr>
        <w:t xml:space="preserve">decreased</w:t>
      </w:r>
      <w:r>
        <w:rPr>
          <w:rFonts w:ascii="Times New Roman" w:hAnsi="Times New Roman" w:eastAsia="Times New Roman" w:cs="Times New Roman"/>
          <w:sz w:val="20"/>
        </w:rPr>
        <w:t xml:space="preserve"> to </w:t>
      </w:r>
      <w:r>
        <w:rPr>
          <w:rFonts w:ascii="Times New Roman" w:hAnsi="Times New Roman" w:eastAsia="Times New Roman" w:cs="Times New Roman"/>
          <w:sz w:val="20"/>
        </w:rPr>
        <w:t xml:space="preserve">$48,409</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compared to </w:t>
      </w:r>
      <w:r>
        <w:rPr>
          <w:rFonts w:ascii="Times New Roman" w:hAnsi="Times New Roman" w:eastAsia="Times New Roman" w:cs="Times New Roman"/>
          <w:sz w:val="20"/>
        </w:rPr>
        <w:t xml:space="preserve">$55,297</w:t>
      </w:r>
      <w:r>
        <w:rPr>
          <w:rFonts w:ascii="Times New Roman" w:hAnsi="Times New Roman" w:eastAsia="Times New Roman" w:cs="Times New Roman"/>
          <w:sz w:val="20"/>
        </w:rPr>
        <w:t xml:space="preserve"> for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With the addition of TapInfluence and its SaaS revenue model, the Company has shifted its focus away from content related to newspapers and traditional publishers, and expects Legacy Workflow revenue to continue to decline going forward.</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Other </w:t>
      </w:r>
      <w:r>
        <w:rPr>
          <w:rFonts w:ascii="Times New Roman" w:hAnsi="Times New Roman" w:eastAsia="Times New Roman" w:cs="Times New Roman"/>
          <w:sz w:val="20"/>
        </w:rPr>
        <w:t xml:space="preserve">revenue consists of other fees generated from partners using the platforms, such as inactivity fees and affiliate fees, which did not have a significant effect on our operations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color w:val="000000"/>
          <w:u w:val="single" w:color="000000"/>
        </w:rPr>
        <w:t xml:space="preserve">Gross Billings by Segment</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Company management evaluates its operations and makes strategic decisions based, in part, on gross billings from its two operating segments, Managed Services and SaaS Services. We define gross billings as the total dollar value of the amounts earned from our customers for the services we performed, or the amounts charged to our customers for their self-service purchase of goods and services on our platforms. This is the amount of our reported revenue plus the cost of payments we made to third-party creators providing the content or sponsorship services which are netted against revenue for GAAP reporting purposes. Managed Services gross billings is the same as revenue being reported on a GAAP basis as there is no requirement to net the revenue against costs of revenue. SaaS Services consists of gross billings generated by the self-service use of the Company's technology platforms by marketers to manage their own content workflow and sponsored social campaigns, as well as license subscriptions to access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 </w:t>
      </w:r>
      <w:r>
        <w:rPr>
          <w:rFonts w:ascii="Times New Roman" w:hAnsi="Times New Roman" w:eastAsia="Times New Roman" w:cs="Times New Roman"/>
          <w:sz w:val="20"/>
        </w:rPr>
        <w:t xml:space="preserve">platforms, which includes license fees and marketplace spend fees.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ind w:right="2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Gross billings for Marketplace Spend Fees differs from revenue reported in our consolidated statements of operations, which is presented net of the amounts we pay to our third-party creators providing the content or sponsorship services. Gross billings for all other revenue equals the revenue reported in our consolidated statements of operations. We consider this metric to be an important indicator of our performance as it measures the total dollar volume of transactions generated through our marketplaces. Tracking gross billings allows us to monitor the percentage of gross billings that we are able to retain after payments to our creators. Additionally, tracking gross billings is critical as it pertains to our credit risk and cash flow. We invoice our customers based on our services performed or based on their self-service transactions plus our fee. Then we remit the agreed-upon transaction price to the creators. If we do not collect the money from our customers prior to the time of payment to our creators, we could experience large swings in our cash flows. Finally, gross billings allows us to evaluate our transaction totals on an equal basis in order for us to see our contribution margins by revenue type so that we can better understand where we should be allocating our resources.</w:t>
      </w:r>
    </w:p>
    <w:p>
      <w:pPr>
        <w:ind w:right="2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Gross billings for our SaaS Services segment were </w:t>
      </w:r>
      <w:r>
        <w:rPr>
          <w:rFonts w:ascii="Times New Roman" w:hAnsi="Times New Roman" w:eastAsia="Times New Roman" w:cs="Times New Roman"/>
          <w:sz w:val="20"/>
        </w:rPr>
        <w:t xml:space="preserve">$3,677,135</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an increase</w:t>
      </w:r>
      <w:r>
        <w:rPr>
          <w:rFonts w:ascii="Times New Roman" w:hAnsi="Times New Roman" w:eastAsia="Times New Roman" w:cs="Times New Roman"/>
          <w:sz w:val="20"/>
        </w:rPr>
        <w:t xml:space="preserve"> of </w:t>
      </w:r>
      <w:r>
        <w:rPr>
          <w:rFonts w:ascii="Times New Roman" w:hAnsi="Times New Roman" w:eastAsia="Times New Roman" w:cs="Times New Roman"/>
          <w:sz w:val="20"/>
        </w:rPr>
        <w:t xml:space="preserve">$3,608,919</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The increase was primarily due to the addition of TapInfluence in July 2018, accounting for approximately $3.5 million of billings during the third quarter of 2018. Our merger with TapInfluence is expected to have a continuing significant positive impact on our future gross billings in this segment as we build on the significant marketer base obtained as a result of the merger, offset by the phasing out of our Legacy Workflow activity. Refer to the below section titled "Non-GAAP Financial Measures" for a reconciliation of gross billings to a GAAP measure.</w:t>
      </w:r>
    </w:p>
    <w:p>
      <w:pPr>
        <w:ind w:right="2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color w:val="000000"/>
          <w:u w:val="single" w:color="000000"/>
        </w:rPr>
        <w:t xml:space="preserve">Net Bookings</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Net bookings is a measure of sales orders received minus any cancellations or adjustments in a given period. Management uses net bookings as a leading indicator of future revenue recognition as revenue is typically recognized within 90-120 days of booking, though larger contracts may be recognized over twelve months from the original booking date. Net bookings can be affected by, among other things, cancellations or changes to orders that occur in future periods. Reductions in net bookings or changes in the expected timing of delivery for services due to delays and customer preferences or other considerations may result in fluctuations in expected future revenue. Net bookings related to our Managed Services were approximately $4.7 million in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compared to $6.7 million in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2017</w:t>
      </w:r>
      <w:r>
        <w:rPr>
          <w:rFonts w:ascii="Times New Roman" w:hAnsi="Times New Roman" w:eastAsia="Times New Roman" w:cs="Times New Roman"/>
          <w:sz w:val="20"/>
        </w:rPr>
        <w:t xml:space="preserve">.</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decrease in net bookings is the result of a decreasing new opportunity pipeline (defined as the measure of the total dollar amount of sales opportunities represented by proposals with potential customers) in the first through third quarters of 2017, which impacts bookings and revenue on a trailing basis. In addition to reduced overall pipeline activity, there was also a higher concentration of larger opportunities in the pipeline during this period, thereby increasing our reliance on a smaller number of clients and campaigns. In the fourth quarter of 2017 through the second quarter of 2018, we saw a number of larger clients reduce, shift, or eliminate their spending compared to prior years, which has significantly reduced our 2018 results. Year-over-year new opportunity pipeline growth began to return in the fourth quarter of 2017 and has continued in the first through third quarters of 2018. The Company has seen a positive effect from this pipeline growth, and increased bookings in the third quarter of 2018 compared to the second quarter, with revenue recognition trailing bookings. We anticipate lower year-over-year revenues from Managed Services when compared to prior years for the remainder of 2018, but increased revenues from Marketplace Spend Fees and License Fees and Other revenue due to additional SaaS customers licensing and the utilization of our platforms for marketplace spending.</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Cost of Revenue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Cost of revenue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decreased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$905,160</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27%</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Cost of revenue as a percentage of revenue decreased from </w:t>
      </w:r>
      <w:r>
        <w:rPr>
          <w:rFonts w:ascii="Times New Roman" w:hAnsi="Times New Roman" w:eastAsia="Times New Roman" w:cs="Times New Roman"/>
          <w:sz w:val="20"/>
        </w:rPr>
        <w:t xml:space="preserve">47%</w:t>
      </w:r>
      <w:r>
        <w:rPr>
          <w:rFonts w:ascii="Times New Roman" w:hAnsi="Times New Roman" w:eastAsia="Times New Roman" w:cs="Times New Roman"/>
          <w:sz w:val="20"/>
        </w:rPr>
        <w:t xml:space="preserve"> in 2017 to </w:t>
      </w:r>
      <w:r>
        <w:rPr>
          <w:rFonts w:ascii="Times New Roman" w:hAnsi="Times New Roman" w:eastAsia="Times New Roman" w:cs="Times New Roman"/>
          <w:sz w:val="20"/>
        </w:rPr>
        <w:t xml:space="preserve">41%</w:t>
      </w:r>
      <w:r>
        <w:rPr>
          <w:rFonts w:ascii="Times New Roman" w:hAnsi="Times New Roman" w:eastAsia="Times New Roman" w:cs="Times New Roman"/>
          <w:sz w:val="20"/>
        </w:rPr>
        <w:t xml:space="preserve"> in 2018. Our cost of revenue consists primarily of direct costs paid to our third-party creators who provide custom content and advertising and our internal personnel costs for the personnel who are primarily responsible for fulfillment of our obligations under our contracts for Managed Services. Overall increase in cost of revenue was primarily driven by the addition of Marketplace Spend Fee activity acquired through the Company's merger with TapInfluence in July 2018. Our direct costs related to third-party creators are variable with the revenue they generate. The direct costs decreased to </w:t>
      </w:r>
      <w:r>
        <w:rPr>
          <w:rFonts w:ascii="Times New Roman" w:hAnsi="Times New Roman" w:eastAsia="Times New Roman" w:cs="Times New Roman"/>
          <w:sz w:val="20"/>
        </w:rPr>
        <w:t xml:space="preserve">39%</w:t>
      </w:r>
      <w:r>
        <w:rPr>
          <w:rFonts w:ascii="Times New Roman" w:hAnsi="Times New Roman" w:eastAsia="Times New Roman" w:cs="Times New Roman"/>
          <w:sz w:val="20"/>
        </w:rPr>
        <w:t xml:space="preserve"> of revenues for Managed Services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compared to </w:t>
      </w:r>
      <w:r>
        <w:rPr>
          <w:rFonts w:ascii="Times New Roman" w:hAnsi="Times New Roman" w:eastAsia="Times New Roman" w:cs="Times New Roman"/>
          <w:sz w:val="20"/>
        </w:rPr>
        <w:t xml:space="preserve">99%</w:t>
      </w:r>
      <w:r>
        <w:rPr>
          <w:rFonts w:ascii="Times New Roman" w:hAnsi="Times New Roman" w:eastAsia="Times New Roman" w:cs="Times New Roman"/>
          <w:sz w:val="20"/>
        </w:rPr>
        <w:t xml:space="preserve"> for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Our internal fulfillment costs are mostly fixed and do not track directly to the revenue that is produced during the period. As a result, as Managed Services revenue fell, our internal fulfillment costs increased to 12% of revenues for Managed Services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compared to 9% for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ind w:right="280"/>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Sales and Marketing</w:t>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Sales and marketing expenses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decreased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$158,843</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9%</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The number of our sales, marketing and support personnel and contractors declined by 8% compared to the prior year period, which along with the decrease in variable compensation linked with sales performance, contributed to a reduction of approximately $248,000 in sales and marketing payroll and personnel-related expenses. Marketing costs increased by approximately $29,000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due to our State of the Creator Economy survey which was produced and distributed during 2018 as an update to our latest report produced at the end of 2016. This survey provides key insight and sales resources for our internal team and customers.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ind w:right="280"/>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General and Administrative</w:t>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General and administrative expense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increased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$387,677</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17%</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The increase was primarily attributable to an accrual for estimated legal expenses of $500,000 offset by overall reduction in operating costs and change in our acquisition cost liability estimate related to the ZenContent acquisition in July 2016.</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July 31, 2016, we purchased all of the outstanding shares of capital stock of ZenContent, Inc. for aggregate consideration up to $4,500,000, consisting of guaranteed payments of $2,000,000 and contingent performance payments up to $2,500,000 based on ZenContent meeting certain revenue targets for each of the three years ending July 31, 2017, 2018 and 2019. These payments were subject to a downward adjustment of up to 30% if ZenContent’s co-founder was terminated by IZEA for cause or if she terminated her employment without good reason. As a result, the Company initially reduced its remaining guaranteed acquisition cost liability and its estimated contingent performance payments by 30% to be accrued as compensation expense over the three-year term rather than allocated to the purchase price. The compensation expense recorded as general and administrative expense and accrued to the guaranteed portion of acquisition cost liability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$5,209</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$28,125</w:t>
      </w:r>
      <w:r>
        <w:rPr>
          <w:rFonts w:ascii="Times New Roman" w:hAnsi="Times New Roman" w:eastAsia="Times New Roman" w:cs="Times New Roman"/>
          <w:sz w:val="20"/>
        </w:rPr>
        <w:t xml:space="preserve">, respectively.</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Based on the July 2018 amendment to the ZenContent Stock Purchase Agreement, as further described in Note 2 to our financial statements, which resulted in a future fixed amount for the contingent performance payments, we determined that the current fair value of the $2,500,000 contingent performance payments for ZenContent was </w:t>
      </w:r>
      <w:r>
        <w:rPr>
          <w:rFonts w:ascii="Times New Roman" w:hAnsi="Times New Roman" w:eastAsia="Times New Roman" w:cs="Times New Roman"/>
          <w:sz w:val="20"/>
        </w:rPr>
        <w:t xml:space="preserve">$88,055</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compared to $</w:t>
      </w:r>
      <w:r>
        <w:rPr>
          <w:rFonts w:ascii="Times New Roman" w:hAnsi="Times New Roman" w:eastAsia="Times New Roman" w:cs="Times New Roman"/>
          <w:sz w:val="20"/>
        </w:rPr>
        <w:t xml:space="preserve">96,998</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June 30, 2018</w:t>
      </w:r>
      <w:r>
        <w:rPr>
          <w:rFonts w:ascii="Times New Roman" w:hAnsi="Times New Roman" w:eastAsia="Times New Roman" w:cs="Times New Roman"/>
          <w:sz w:val="20"/>
        </w:rPr>
        <w:t xml:space="preserve">. Therefore, we recorded a </w:t>
      </w:r>
      <w:r>
        <w:rPr>
          <w:rFonts w:ascii="Times New Roman" w:hAnsi="Times New Roman" w:eastAsia="Times New Roman" w:cs="Times New Roman"/>
          <w:sz w:val="20"/>
        </w:rPr>
        <w:t xml:space="preserve">$875</w:t>
      </w:r>
      <w:r>
        <w:rPr>
          <w:rFonts w:ascii="Times New Roman" w:hAnsi="Times New Roman" w:eastAsia="Times New Roman" w:cs="Times New Roman"/>
          <w:sz w:val="20"/>
        </w:rPr>
        <w:t xml:space="preserve"> decrease in the fair value of the contingent performance payments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which was allocated as a decrease in compensation expense.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2017</w:t>
      </w:r>
      <w:r>
        <w:rPr>
          <w:rFonts w:ascii="Times New Roman" w:hAnsi="Times New Roman" w:eastAsia="Times New Roman" w:cs="Times New Roman"/>
          <w:sz w:val="20"/>
        </w:rPr>
        <w:t xml:space="preserve">, we recorded a </w:t>
      </w:r>
      <w:r>
        <w:rPr>
          <w:rFonts w:ascii="Times New Roman" w:hAnsi="Times New Roman" w:eastAsia="Times New Roman" w:cs="Times New Roman"/>
          <w:sz w:val="20"/>
        </w:rPr>
        <w:t xml:space="preserve">$165,583</w:t>
      </w:r>
      <w:r>
        <w:rPr>
          <w:rFonts w:ascii="Times New Roman" w:hAnsi="Times New Roman" w:eastAsia="Times New Roman" w:cs="Times New Roman"/>
          <w:sz w:val="20"/>
        </w:rPr>
        <w:t xml:space="preserve"> increase in the fair value of the contingent performance payments when the estimated fair value increased from the estimate of $</w:t>
      </w:r>
      <w:r>
        <w:rPr>
          <w:rFonts w:ascii="Times New Roman" w:hAnsi="Times New Roman" w:eastAsia="Times New Roman" w:cs="Times New Roman"/>
          <w:sz w:val="20"/>
        </w:rPr>
        <w:t xml:space="preserve">342,861</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June 30, 2017</w:t>
      </w:r>
      <w:r>
        <w:rPr>
          <w:rFonts w:ascii="Times New Roman" w:hAnsi="Times New Roman" w:eastAsia="Times New Roman" w:cs="Times New Roman"/>
          <w:sz w:val="20"/>
        </w:rPr>
        <w:t xml:space="preserve"> to $</w:t>
      </w:r>
      <w:r>
        <w:rPr>
          <w:rFonts w:ascii="Times New Roman" w:hAnsi="Times New Roman" w:eastAsia="Times New Roman" w:cs="Times New Roman"/>
          <w:sz w:val="20"/>
        </w:rPr>
        <w:t xml:space="preserve">508,444</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September 30, 2017</w:t>
      </w:r>
      <w:r>
        <w:rPr>
          <w:rFonts w:ascii="Times New Roman" w:hAnsi="Times New Roman" w:eastAsia="Times New Roman" w:cs="Times New Roman"/>
          <w:sz w:val="20"/>
        </w:rPr>
        <w:t xml:space="preserve">. Of this amount, </w:t>
      </w:r>
      <w:r>
        <w:rPr>
          <w:rFonts w:ascii="Times New Roman" w:hAnsi="Times New Roman" w:eastAsia="Times New Roman" w:cs="Times New Roman"/>
          <w:sz w:val="20"/>
        </w:rPr>
        <w:t xml:space="preserve">$47,583</w:t>
      </w:r>
      <w:r>
        <w:rPr>
          <w:rFonts w:ascii="Times New Roman" w:hAnsi="Times New Roman" w:eastAsia="Times New Roman" w:cs="Times New Roman"/>
          <w:sz w:val="20"/>
        </w:rPr>
        <w:t xml:space="preserve"> was allocated as an increase in compensation expense and </w:t>
      </w:r>
      <w:r>
        <w:rPr>
          <w:rFonts w:ascii="Times New Roman" w:hAnsi="Times New Roman" w:eastAsia="Times New Roman" w:cs="Times New Roman"/>
          <w:sz w:val="20"/>
        </w:rPr>
        <w:t xml:space="preserve">$118,000</w:t>
      </w:r>
      <w:r>
        <w:rPr>
          <w:rFonts w:ascii="Times New Roman" w:hAnsi="Times New Roman" w:eastAsia="Times New Roman" w:cs="Times New Roman"/>
          <w:sz w:val="20"/>
        </w:rPr>
        <w:t xml:space="preserve"> was allocated as an increase in the fair value of the contingent performance payments.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total change in our acquisition cost liability related to both the guaranteed and contingent performance payments noted above was a decrease of </w:t>
      </w:r>
      <w:r>
        <w:rPr>
          <w:rFonts w:ascii="Times New Roman" w:hAnsi="Times New Roman" w:eastAsia="Times New Roman" w:cs="Times New Roman"/>
          <w:sz w:val="20"/>
        </w:rPr>
        <w:t xml:space="preserve">$6,084</w:t>
      </w:r>
      <w:r>
        <w:rPr>
          <w:rFonts w:ascii="Times New Roman" w:hAnsi="Times New Roman" w:eastAsia="Times New Roman" w:cs="Times New Roman"/>
          <w:sz w:val="20"/>
        </w:rPr>
        <w:t xml:space="preserve"> and an increase of </w:t>
      </w:r>
      <w:r>
        <w:rPr>
          <w:rFonts w:ascii="Times New Roman" w:hAnsi="Times New Roman" w:eastAsia="Times New Roman" w:cs="Times New Roman"/>
          <w:sz w:val="20"/>
        </w:rPr>
        <w:t xml:space="preserve">$193,708</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thus contributing $199,792 to the increase between periods in general and administrative expense.</w:t>
      </w:r>
    </w:p>
    <w:p>
      <w:pPr>
        <w:ind w:left="1080" w:firstLine="-36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Professional fees increased approximately $488,000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as compared to the prior year period primarily due to our acquisition activities and an accrual of $500,000 for estimated legal expenses. Contractor expense increase approximately $175,000, primarily related to increased needs for external engineering contractors. These increased costs were offset by reductions in general and administrative expense due to lower payroll, stock compensation, and personnel related expenses of approximately $39,000 and capitalization of software development costs of </w:t>
      </w:r>
      <w:r>
        <w:rPr>
          <w:rFonts w:ascii="Times New Roman" w:hAnsi="Times New Roman" w:eastAsia="Times New Roman" w:cs="Times New Roman"/>
          <w:sz w:val="20"/>
        </w:rPr>
        <w:t xml:space="preserve">$229,000</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ind w:right="280"/>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Depreciation and Amortization</w:t>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Depreciation and amortization expense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decreased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$4,291</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1%</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Depreciation and amortization expense on property and equipment was </w:t>
      </w:r>
      <w:r>
        <w:rPr>
          <w:rFonts w:ascii="Times New Roman" w:hAnsi="Times New Roman" w:eastAsia="Times New Roman" w:cs="Times New Roman"/>
          <w:sz w:val="20"/>
        </w:rPr>
        <w:t xml:space="preserve">$55,034</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$50,168</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Our amortization expense was </w:t>
      </w:r>
      <w:r>
        <w:rPr>
          <w:rFonts w:ascii="Times New Roman" w:hAnsi="Times New Roman" w:eastAsia="Times New Roman" w:cs="Times New Roman"/>
          <w:sz w:val="20"/>
        </w:rPr>
        <w:t xml:space="preserve">$315,640</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$324,797</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Amortization expense related to intangible assets acquired in the Ebyline, ZenContent, and TapInfluence acquisitions was </w:t>
      </w:r>
      <w:r>
        <w:rPr>
          <w:rFonts w:ascii="Times New Roman" w:hAnsi="Times New Roman" w:eastAsia="Times New Roman" w:cs="Times New Roman"/>
          <w:sz w:val="20"/>
        </w:rPr>
        <w:t xml:space="preserve">$242,018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$247,907</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Amortization expense on our intangible acquisition assets will increase significantly as a result of the TapInfluence merger completed in July 2018, offset by assets that have become fully amortized related to prior acquisitions. Amortization expense related to internal use software development costs was </w:t>
      </w:r>
      <w:r>
        <w:rPr>
          <w:rFonts w:ascii="Times New Roman" w:hAnsi="Times New Roman" w:eastAsia="Times New Roman" w:cs="Times New Roman"/>
          <w:sz w:val="20"/>
        </w:rPr>
        <w:t xml:space="preserve">$73,622</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$76,890</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related to our previous development of our current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platform.</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Other Income (Expense)</w:t>
      </w:r>
    </w:p>
    <w:p>
      <w:pPr>
        <w:jc w:val="left"/>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Other income (expense) consists primarily of interest expense and the change in the fair value of derivatives.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Interest expense </w:t>
      </w:r>
      <w:r>
        <w:rPr>
          <w:rFonts w:ascii="Times New Roman" w:hAnsi="Times New Roman" w:eastAsia="Times New Roman" w:cs="Times New Roman"/>
          <w:sz w:val="20"/>
        </w:rPr>
        <w:t xml:space="preserve">increased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$75,394</w:t>
      </w:r>
      <w:r>
        <w:rPr>
          <w:rFonts w:ascii="Times New Roman" w:hAnsi="Times New Roman" w:eastAsia="Times New Roman" w:cs="Times New Roman"/>
          <w:sz w:val="20"/>
        </w:rPr>
        <w:t xml:space="preserve"> to </w:t>
      </w:r>
      <w:r>
        <w:rPr>
          <w:rFonts w:ascii="Times New Roman" w:hAnsi="Times New Roman" w:eastAsia="Times New Roman" w:cs="Times New Roman"/>
          <w:sz w:val="20"/>
        </w:rPr>
        <w:t xml:space="preserve">$90,452</w:t>
      </w: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primarily due to higher interest rates and higher amounts outstanding on our credit facility in 2018.</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recorded income of </w:t>
      </w:r>
      <w:r>
        <w:rPr>
          <w:rFonts w:ascii="Times New Roman" w:hAnsi="Times New Roman" w:eastAsia="Times New Roman" w:cs="Times New Roman"/>
          <w:sz w:val="20"/>
        </w:rPr>
        <w:t xml:space="preserve">$0</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$45,160</w:t>
      </w:r>
      <w:r>
        <w:rPr>
          <w:rFonts w:ascii="Times New Roman" w:hAnsi="Times New Roman" w:eastAsia="Times New Roman" w:cs="Times New Roman"/>
          <w:sz w:val="20"/>
        </w:rPr>
        <w:t xml:space="preserve"> resulting from the change in the fair value of derivatives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w:t>
      </w:r>
      <w:r>
        <w:rPr>
          <w:rFonts w:ascii="Times New Roman" w:hAnsi="Times New Roman" w:eastAsia="Times New Roman" w:cs="Times New Roman"/>
          <w:sz w:val="20"/>
        </w:rPr>
        <w:t xml:space="preserve">$25,173</w:t>
      </w:r>
      <w:r>
        <w:rPr>
          <w:rFonts w:ascii="Times New Roman" w:hAnsi="Times New Roman" w:eastAsia="Times New Roman" w:cs="Times New Roman"/>
          <w:sz w:val="20"/>
        </w:rPr>
        <w:t xml:space="preserve"> increase in other income (expense) between the periods is the result of the net value of cryptocurrency we received from our cryptocurrency mining operations of approximately $7,000 as well as currency exchange changes related to our Canadian transactions during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Net Loss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Net loss for the </w:t>
      </w:r>
      <w:r>
        <w:rPr>
          <w:rFonts w:ascii="Times New Roman" w:hAnsi="Times New Roman" w:eastAsia="Times New Roman" w:cs="Times New Roman"/>
          <w:sz w:val="20"/>
        </w:rPr>
        <w:t xml:space="preserve">three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$1,332,829</w:t>
      </w:r>
      <w:r>
        <w:rPr>
          <w:rFonts w:ascii="Times New Roman" w:hAnsi="Times New Roman" w:eastAsia="Times New Roman" w:cs="Times New Roman"/>
          <w:sz w:val="20"/>
        </w:rPr>
        <w:t xml:space="preserve">, which increased from a net loss of </w:t>
      </w:r>
      <w:r>
        <w:rPr>
          <w:rFonts w:ascii="Times New Roman" w:hAnsi="Times New Roman" w:eastAsia="Times New Roman" w:cs="Times New Roman"/>
          <w:sz w:val="20"/>
        </w:rPr>
        <w:t xml:space="preserve">$558,805</w:t>
      </w:r>
      <w:r>
        <w:rPr>
          <w:rFonts w:ascii="Times New Roman" w:hAnsi="Times New Roman" w:eastAsia="Times New Roman" w:cs="Times New Roman"/>
          <w:sz w:val="20"/>
        </w:rPr>
        <w:t xml:space="preserve"> for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The increase in net loss was primarily the result of reduced revenue as discussed above.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990" w:right="990" w:bottom="860" w:footer="460" w:gutter="0" w:header="160"/>
          <w:headerReference r:id="rId1" w:type="default"/>
          <w:footerReference r:id="rId26"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Results of Operations for the </w:t>
      </w:r>
      <w:r>
        <w:rPr>
          <w:rFonts w:ascii="Times New Roman" w:hAnsi="Times New Roman" w:eastAsia="Times New Roman" w:cs="Times New Roman"/>
          <w:sz w:val="20"/>
          <w:b w:val="true"/>
        </w:rPr>
        <w:t xml:space="preserve">Nine Months Ended</w:t>
      </w:r>
      <w:r>
        <w:rPr>
          <w:rFonts w:ascii="Times New Roman" w:hAnsi="Times New Roman" w:eastAsia="Times New Roman" w:cs="Times New Roman"/>
          <w:sz w:val="20"/>
          <w:b w:val="true"/>
        </w:rPr>
        <w:t xml:space="preserve"> </w:t>
      </w:r>
      <w:r>
        <w:rPr>
          <w:rFonts w:ascii="Times New Roman" w:hAnsi="Times New Roman" w:eastAsia="Times New Roman" w:cs="Times New Roman"/>
          <w:sz w:val="20"/>
          <w:b w:val="true"/>
        </w:rPr>
        <w:t xml:space="preserve">September 30, 2018</w:t>
      </w:r>
      <w:r>
        <w:rPr>
          <w:rFonts w:ascii="Times New Roman" w:hAnsi="Times New Roman" w:eastAsia="Times New Roman" w:cs="Times New Roman"/>
          <w:sz w:val="20"/>
          <w:b w:val="true"/>
        </w:rPr>
        <w:t xml:space="preserve"> and </w:t>
      </w:r>
      <w:r>
        <w:rPr>
          <w:rFonts w:ascii="Times New Roman" w:hAnsi="Times New Roman" w:eastAsia="Times New Roman" w:cs="Times New Roman"/>
          <w:sz w:val="20"/>
          <w:b w:val="true"/>
        </w:rPr>
        <w:t xml:space="preserve">2017</w:t>
      </w:r>
      <w:bookmarkStart w:id="43812" w:name="Comparison_of_Nine_Months_Ended"/>
      <w:bookmarkEnd w:id="43812"/>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following table sets forth a summary of our consolidated statements of operations and the percentage of change between the periods:</w:t>
      </w:r>
    </w:p>
    <w:tbl>
      <w:tblPr>
        <w:tblW w:type="dxa" w:w="10240"/>
        <w:tblLayout w:type="fixed"/>
        <w:jc w:val="justify"/>
      </w:tblPr>
      <w:tblGrid>
        <w:gridCol w:w="5080"/>
        <w:gridCol w:w="110"/>
        <w:gridCol w:w="1113"/>
        <w:gridCol w:w="77"/>
        <w:gridCol w:w="80"/>
        <w:gridCol w:w="110"/>
        <w:gridCol w:w="1113"/>
        <w:gridCol w:w="77"/>
        <w:gridCol w:w="80"/>
        <w:gridCol w:w="110"/>
        <w:gridCol w:w="1013"/>
        <w:gridCol w:w="77"/>
        <w:gridCol w:w="956"/>
        <w:gridCol w:w="244"/>
      </w:tblGrid>
      <w:tr>
        <w:trPr>
          <w:trHeight w:hRule="exact" w:val="300"/>
        </w:trPr>
        <w:tc>
          <w:tcPr>
            <w:tcW w:type="dxa" w:w="50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(Unaudited)</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(Unaudited)</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6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vAlign w:val="bottom"/>
            <w:hMerge w:val="restart"/>
          </w:tcPr>
          <w:p>
            <w:pPr>
              <w:jc w:val="left"/>
              <w:keepNext/>
              <w:keepLines/>
              <w:spacing w:before="40" w:after="40" w:line="240" w:lineRule="auto"/>
              <w:rPr/>
            </w:pPr>
            <w:r>
              <w:rPr/>
            </w:r>
          </w:p>
        </w:tc>
        <w:tc>
          <w:tcPr>
            <w:tcMar>
              <w:left w:type="dxa" w:w="6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956"/>
            <w:tcMar>
              <w:left w:type="dxa" w:w="6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tc>
      </w:tr>
      <w:tr>
        <w:trPr>
          <w:trHeight w:hRule="exact" w:val="500"/>
        </w:trPr>
        <w:tc>
          <w:tcPr>
            <w:tcW w:type="dxa" w:w="50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br w:type="textWrapping"/>
              <w:t xml:space="preserve">September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br w:type="textWrapping"/>
              <w:t xml:space="preserve">September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6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left"/>
              <w:keepNext/>
              <w:keepLines/>
              <w:spacing w:before="40" w:after="40" w:line="240" w:lineRule="auto"/>
              <w:rPr/>
            </w:pPr>
            <w:r>
              <w:rPr/>
            </w:r>
          </w:p>
        </w:tc>
        <w:tc>
          <w:tcPr>
            <w:tcMar>
              <w:left w:type="dxa" w:w="60"/>
              <w:right w:type="dxa" w:w="60"/>
            </w:tcMar>
            <w:hMerge w:val="continue"/>
            <w:tcBorders/>
          </w:tcPr>
          <w:p>
            <w:pPr>
              <w:jc w:val="left"/>
              <w:keepNext/>
              <w:keepLines/>
              <w:spacing w:before="40" w:after="40" w:line="240" w:lineRule="auto"/>
              <w:rPr/>
            </w:pPr>
            <w:r>
              <w:rPr/>
            </w:r>
          </w:p>
        </w:tc>
        <w:tc>
          <w:tcPr>
            <w:tcMar>
              <w:left w:type="dxa" w:w="0"/>
              <w:right w:type="dxa" w:w="6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r>
      <w:tr>
        <w:trPr>
          <w:trHeight w:hRule="exact" w:val="300"/>
        </w:trPr>
        <w:tc>
          <w:tcPr>
            <w:tcW w:type="dxa" w:w="5080"/>
            <w:tcMar>
              <w:left w:type="dxa" w:w="60"/>
              <w:right w:type="dxa" w:w="0"/>
            </w:tcMar>
            <w:hMerge w:val="restart"/>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0"/>
              <w:right w:type="dxa" w:w="60"/>
            </w:tcMar>
            <w:tcBorders>
              <w:top w:val="single" w:sz="8" w:space="0"/>
              <w:bottom w:val="single" w:sz="8"/>
            </w:tcBorders>
            <w:hMerge w:val="continue"/>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top w:val="single" w:sz="8" w:space="0"/>
              <w:bottom w:val="single" w:sz="8"/>
            </w:tcBorders>
            <w:hMerge w:val="continue"/>
          </w:tcPr>
          <w:p/>
        </w:tc>
        <w:tc>
          <w:tcPr>
            <w:tcW w:type="dxa" w:w="956"/>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top w:val="single" w:sz="8" w:space="0"/>
              <w:bottom w:val="single" w:sz="8"/>
            </w:tcBorders>
            <w:hMerge w:val="continue"/>
          </w:tcPr>
          <w:p/>
        </w:tc>
      </w:tr>
      <w:tr>
        <w:trPr>
          <w:trHeight w:hRule="exact" w:val="280"/>
        </w:trPr>
        <w:tc>
          <w:tcPr>
            <w:tcW w:type="dxa" w:w="50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Revenue</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13,798,342</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17,637,264</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(3,838,922</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180"/>
        </w:trPr>
        <w:tc>
          <w:tcPr>
            <w:tcW w:type="dxa" w:w="50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956"/>
            <w:tcMar>
              <w:left w:type="dxa" w:w="60"/>
              <w:right w:type="dxa" w:w="0"/>
            </w:tcMar>
            <w:tcBorders/>
            <w:vAlign w:val="bottom"/>
            <w:hMerge w:val="restart"/>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50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Costs and expenses:</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956"/>
            <w:tcMar>
              <w:left w:type="dxa" w:w="60"/>
              <w:right w:type="dxa" w:w="0"/>
            </w:tcMar>
            <w:tcBorders/>
            <w:vAlign w:val="bottom"/>
            <w:hMerge w:val="restart"/>
          </w:tcPr>
          <w:p>
            <w:pPr>
              <w:jc w:val="left"/>
              <w:keepNext/>
              <w:keepLines/>
              <w:spacing w:before="40" w:after="40" w:line="240" w:lineRule="auto"/>
              <w:rPr/>
            </w:pPr>
            <w:r>
              <w:rPr/>
            </w:r>
          </w:p>
        </w:tc>
        <w:tc>
          <w:tcPr>
            <w:tcMar>
              <w:left w:type="dxa" w:w="0"/>
              <w:right w:type="dxa" w:w="0"/>
            </w:tcMar>
            <w:tcBorders/>
            <w:hMerge w:val="continue"/>
          </w:tcPr>
          <w:p/>
        </w:tc>
      </w:tr>
      <w:tr>
        <w:trPr>
          <w:trHeight w:hRule="exact" w:val="300"/>
        </w:trPr>
        <w:tc>
          <w:tcPr>
            <w:tcW w:type="dxa" w:w="508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Cost of revenue (exclusive of amortization)</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6,490,906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6,490,906</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8,354,385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8,354,385</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(1,863,479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(1,863,479</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8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Sales and marketing</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5,065,457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5,065,457</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6,008,526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6,008,526</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(943,069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(943,069</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8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General and administrative</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6,285,810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6,285,810</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6,925,589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6,925,589</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(639,779</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(639,779</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80"/>
            <w:tcMar>
              <w:left w:type="dxa" w:w="1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Depreciation and amortization</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846,820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846,820</w:t>
            </w:r>
          </w:p>
        </w:tc>
        <w:tc>
          <w:tcPr>
            <w:tcW w:type="dxa" w:w="77"/>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1,095,831</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1,095,831</w:t>
            </w:r>
          </w:p>
        </w:tc>
        <w:tc>
          <w:tcPr>
            <w:tcW w:type="dxa" w:w="77"/>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(249,011</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(249,011</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w:t>
            </w:r>
          </w:p>
        </w:tc>
        <w:tc>
          <w:tcPr>
            <w:tcW w:type="dxa" w:w="244"/>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80"/>
            <w:tcMar>
              <w:left w:type="dxa" w:w="7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costs and expenses</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18,688,993</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18,688,993</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22,384,331</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22,384,331</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(3,695,338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(3,695,338</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w:t>
            </w:r>
          </w:p>
        </w:tc>
        <w:tc>
          <w:tcPr>
            <w:tcW w:type="dxa" w:w="244"/>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Loss from operations</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(4,890,651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(4,890,651</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(4,747,067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(4,747,067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(143,584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(143,584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income (expense):</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956"/>
            <w:tcMar>
              <w:left w:type="dxa" w:w="60"/>
              <w:right w:type="dxa" w:w="0"/>
            </w:tcMar>
            <w:tcBorders/>
            <w:vAlign w:val="bottom"/>
            <w:hMerge w:val="restart"/>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508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Interest expense</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(147,166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(147,166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(45,406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(45,406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(101,760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(101,760</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224</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8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Change in fair value of derivatives, net</w:t>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(11,794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(11,794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36,122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36,122</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(47,916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(47,916</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(133</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80"/>
            <w:tcMar>
              <w:left w:type="dxa" w:w="1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 income, net</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23,907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23,907</w:t>
            </w:r>
          </w:p>
        </w:tc>
        <w:tc>
          <w:tcPr>
            <w:tcW w:type="dxa" w:w="77"/>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31,728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31,728</w:t>
            </w:r>
          </w:p>
        </w:tc>
        <w:tc>
          <w:tcPr>
            <w:tcW w:type="dxa" w:w="77"/>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(7,821</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(7,821</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w:t>
            </w:r>
          </w:p>
        </w:tc>
        <w:tc>
          <w:tcPr>
            <w:tcW w:type="dxa" w:w="244"/>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80"/>
            <w:tcMar>
              <w:left w:type="dxa" w:w="7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other income (expense), net</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(135,053</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(135,053</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22,444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22,444</w:t>
            </w:r>
          </w:p>
        </w:tc>
        <w:tc>
          <w:tcPr>
            <w:tcW w:type="dxa" w:w="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(157,497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(157,497</w:t>
            </w:r>
          </w:p>
        </w:tc>
        <w:tc>
          <w:tcPr>
            <w:tcW w:type="dxa" w:w="77"/>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(702</w:t>
            </w:r>
          </w:p>
        </w:tc>
        <w:tc>
          <w:tcPr>
            <w:tcW w:type="dxa" w:w="244"/>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5080"/>
            <w:tcMar>
              <w:left w:type="dxa" w:w="60"/>
              <w:right w:type="dxa" w:w="4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Net loss</w:t>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(5,025,704</w:t>
            </w:r>
          </w:p>
        </w:tc>
        <w:tc>
          <w:tcPr>
            <w:tcW w:type="dxa" w:w="77"/>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(4,724,623</w:t>
            </w:r>
          </w:p>
        </w:tc>
        <w:tc>
          <w:tcPr>
            <w:tcW w:type="dxa" w:w="77"/>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bottom w:val="double" w:sz="4"/>
            </w:tcBorders>
            <w:vAlign w:val="bottom"/>
          </w:tcPr>
          <w:p>
            <w:pPr>
              <w:jc w:val="left"/>
              <w:keepLines/>
              <w:spacing w:before="40" w:after="40" w:line="240" w:lineRule="auto"/>
              <w:rPr/>
            </w:pPr>
            <w:r>
              <w:rPr/>
            </w:r>
          </w:p>
        </w:tc>
        <w:tc>
          <w:tcPr>
            <w:tcW w:type="dxa" w:w="110"/>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(301,081</w:t>
            </w:r>
          </w:p>
        </w:tc>
        <w:tc>
          <w:tcPr>
            <w:tcW w:type="dxa" w:w="77"/>
            <w:tcMar>
              <w:left w:type="dxa" w:w="0"/>
              <w:right w:type="dxa" w:w="0"/>
            </w:tcMar>
            <w:tcBorders>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56"/>
            <w:tcMar>
              <w:left w:type="dxa" w:w="0"/>
              <w:right w:type="dxa" w:w="0"/>
            </w:tcMar>
            <w:tcBorders>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w:t>
            </w:r>
          </w:p>
        </w:tc>
        <w:tc>
          <w:tcPr>
            <w:tcW w:type="dxa" w:w="244"/>
            <w:tcMar>
              <w:left w:type="dxa" w:w="0"/>
              <w:right w:type="dxa" w:w="0"/>
            </w:tcMar>
            <w:tcBorders>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both"/>
        <w:spacing w:before="60"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both"/>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Revenue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following table illustrates our revenue by type, the percentage of total revenue by type, and the percentage of change between the periods:</w:t>
      </w:r>
    </w:p>
    <w:tbl>
      <w:tblPr>
        <w:tblW w:type="dxa" w:w="10240"/>
        <w:tblLayout w:type="fixed"/>
        <w:jc w:val="left"/>
      </w:tblPr>
      <w:tblGrid>
        <w:gridCol w:w="4080"/>
        <w:gridCol w:w="110"/>
        <w:gridCol w:w="1013"/>
        <w:gridCol w:w="77"/>
        <w:gridCol w:w="523"/>
        <w:gridCol w:w="177"/>
        <w:gridCol w:w="80"/>
        <w:gridCol w:w="110"/>
        <w:gridCol w:w="1013"/>
        <w:gridCol w:w="77"/>
        <w:gridCol w:w="523"/>
        <w:gridCol w:w="177"/>
        <w:gridCol w:w="80"/>
        <w:gridCol w:w="110"/>
        <w:gridCol w:w="1013"/>
        <w:gridCol w:w="77"/>
        <w:gridCol w:w="756"/>
        <w:gridCol w:w="244"/>
      </w:tblGrid>
      <w:tr>
        <w:trPr>
          <w:trHeight w:hRule="exact" w:val="300"/>
        </w:trPr>
        <w:tc>
          <w:tcPr>
            <w:tcW w:type="dxa" w:w="40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r>
          </w:p>
        </w:tc>
        <w:tc>
          <w:tcPr>
            <w:tcMar>
              <w:left w:type="dxa" w:w="0"/>
              <w:right w:type="dxa" w:w="6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left"/>
              <w:keepNext/>
              <w:keepLines/>
              <w:spacing w:before="40" w:after="40" w:line="240" w:lineRule="auto"/>
              <w:rPr/>
            </w:pPr>
            <w:r>
              <w:rPr/>
            </w:r>
          </w:p>
        </w:tc>
        <w:tc>
          <w:tcPr>
            <w:tcMar>
              <w:left w:type="dxa" w:w="60"/>
              <w:right w:type="dxa" w:w="60"/>
            </w:tcMar>
            <w:tcBorders>
              <w:bottom w:val="single" w:sz="8"/>
            </w:tcBorders>
            <w:hMerge w:val="continue"/>
          </w:tcPr>
          <w:p>
            <w:pPr>
              <w:jc w:val="left"/>
              <w:keepNext/>
              <w:keepLines/>
              <w:spacing w:before="40" w:after="40" w:line="240" w:lineRule="auto"/>
              <w:rPr/>
            </w:pPr>
            <w:r>
              <w:rPr/>
            </w:r>
          </w:p>
        </w:tc>
        <w:tc>
          <w:tcPr>
            <w:tcMar>
              <w:left w:type="dxa" w:w="0"/>
              <w:right w:type="dxa" w:w="60"/>
            </w:tcMar>
            <w:tcBorders>
              <w:bottom w:val="single" w:sz="8"/>
            </w:tcBorders>
            <w:hMerge w:val="continue"/>
          </w:tcPr>
          <w:p/>
        </w:tc>
        <w:tc>
          <w:tcPr>
            <w:tcW w:type="dxa" w:w="756"/>
            <w:tcMar>
              <w:left w:type="dxa" w:w="60"/>
              <w:right w:type="dxa" w:w="60"/>
            </w:tcMar>
            <w:tcBorders>
              <w:bottom w:val="single" w:sz="8"/>
            </w:tcBorders>
            <w:vAlign w:val="bottom"/>
            <w:hMerge w:val="restart"/>
          </w:tcPr>
          <w:p>
            <w:pPr>
              <w:jc w:val="left"/>
              <w:keepNext/>
              <w:keepLines/>
              <w:spacing w:before="40" w:after="40" w:line="240" w:lineRule="auto"/>
              <w:rPr/>
            </w:pPr>
            <w:r>
              <w:rPr/>
            </w:r>
          </w:p>
        </w:tc>
        <w:tc>
          <w:tcPr>
            <w:tcMar>
              <w:left w:type="dxa" w:w="0"/>
              <w:right w:type="dxa" w:w="60"/>
            </w:tcMar>
            <w:tcBorders>
              <w:bottom w:val="single" w:sz="8"/>
            </w:tcBorders>
            <w:hMerge w:val="continue"/>
          </w:tcPr>
          <w:p/>
        </w:tc>
      </w:tr>
      <w:tr>
        <w:trPr>
          <w:trHeight w:hRule="exact" w:val="300"/>
        </w:trPr>
        <w:tc>
          <w:tcPr>
            <w:tcW w:type="dxa" w:w="40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2018</w:t>
            </w:r>
          </w:p>
        </w:tc>
        <w:tc>
          <w:tcPr>
            <w:tcMar>
              <w:left w:type="dxa" w:w="60"/>
              <w:right w:type="dxa" w:w="60"/>
            </w:tcMar>
            <w:hMerge w:val="continue"/>
            <w:tcBorders>
              <w:top w:val="single" w:sz="8" w:space="0"/>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2018</w:t>
            </w:r>
          </w:p>
        </w:tc>
        <w:tc>
          <w:tcPr>
            <w:tcMar>
              <w:left w:type="dxa" w:w="0"/>
              <w:right w:type="dxa" w:w="60"/>
            </w:tcMar>
            <w:hMerge w:val="continue"/>
            <w:tcBorders>
              <w:top w:val="single" w:sz="8" w:space="0"/>
            </w:tcBorders>
          </w:tcPr>
          <w:p/>
        </w:tc>
        <w:tc>
          <w:tcPr>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Mar>
              <w:left w:type="dxa" w:w="0"/>
              <w:right w:type="dxa" w:w="0"/>
            </w:tcMar>
            <w:hMerge w:val="continue"/>
            <w:tcBorders>
              <w:top w:val="single" w:sz="8" w:space="0"/>
            </w:tcBorders>
          </w:tcPr>
          <w:p/>
        </w:tc>
        <w:tc>
          <w:tcPr>
            <w:tcW w:type="dxa" w:w="80"/>
            <w:tcMar>
              <w:left w:type="dxa" w:w="0"/>
              <w:right w:type="dxa" w:w="0"/>
            </w:tcMar>
            <w:hMerge w:val="restart"/>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hMerge w:val="restart"/>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2017</w:t>
            </w:r>
          </w:p>
        </w:tc>
        <w:tc>
          <w:tcPr>
            <w:tcMar>
              <w:left w:type="dxa" w:w="60"/>
              <w:right w:type="dxa" w:w="60"/>
            </w:tcMar>
            <w:hMerge w:val="continue"/>
            <w:tcBorders>
              <w:top w:val="single" w:sz="8" w:space="0"/>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2017</w:t>
            </w:r>
          </w:p>
        </w:tc>
        <w:tc>
          <w:tcPr>
            <w:tcMar>
              <w:left w:type="dxa" w:w="0"/>
              <w:right w:type="dxa" w:w="60"/>
            </w:tcMar>
            <w:hMerge w:val="continue"/>
            <w:tcBorders>
              <w:top w:val="single" w:sz="8" w:space="0"/>
            </w:tcBorders>
          </w:tcPr>
          <w:p/>
        </w:tc>
        <w:tc>
          <w:tcPr>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Mar>
              <w:left w:type="dxa" w:w="0"/>
              <w:right w:type="dxa" w:w="0"/>
            </w:tcMar>
            <w:hMerge w:val="continue"/>
            <w:tcBorders>
              <w:top w:val="single" w:sz="8" w:space="0"/>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bottom w:val="single" w:sz="8"/>
            </w:tcBorders>
            <w:hMerge w:val="continue"/>
          </w:tcPr>
          <w:p/>
        </w:tc>
        <w:tc>
          <w:tcPr>
            <w:tcW w:type="dxa" w:w="756"/>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bottom w:val="single" w:sz="8"/>
            </w:tcBorders>
            <w:hMerge w:val="continue"/>
          </w:tcPr>
          <w:p/>
        </w:tc>
      </w:tr>
      <w:tr>
        <w:trPr>
          <w:trHeight w:hRule="exact" w:val="280"/>
        </w:trPr>
        <w:tc>
          <w:tcPr>
            <w:tcW w:type="dxa" w:w="40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Managed Services</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12,660,949</w:t>
            </w:r>
          </w:p>
        </w:tc>
        <w:tc>
          <w:tcPr>
            <w:tcW w:type="dxa" w:w="77"/>
            <w:tcMar>
              <w:left w:type="dxa" w:w="0"/>
              <w:right w:type="dxa" w:w="0"/>
            </w:tcMar>
            <w:tcBorders>
              <w:top w:val="single" w:sz="8" w:space="0"/>
            </w:tcBorders>
          </w:tcPr>
          <w:p/>
        </w:tc>
        <w:tc>
          <w:tcPr>
            <w:tcW w:type="dxa" w:w="5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w:t>
            </w:r>
          </w:p>
        </w:tc>
        <w:tc>
          <w:tcPr>
            <w:tcW w:type="dxa" w:w="177"/>
            <w:tcMar>
              <w:left w:type="dxa" w:w="0"/>
              <w:right w:type="dxa" w:w="0"/>
            </w:tcMar>
            <w:tcBorders>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17,274,314</w:t>
            </w:r>
          </w:p>
        </w:tc>
        <w:tc>
          <w:tcPr>
            <w:tcW w:type="dxa" w:w="77"/>
            <w:tcMar>
              <w:left w:type="dxa" w:w="0"/>
              <w:right w:type="dxa" w:w="0"/>
            </w:tcMar>
            <w:tcBorders>
              <w:top w:val="single" w:sz="8" w:space="0"/>
            </w:tcBorders>
          </w:tcPr>
          <w:p/>
        </w:tc>
        <w:tc>
          <w:tcPr>
            <w:tcW w:type="dxa" w:w="5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98</w:t>
            </w:r>
          </w:p>
        </w:tc>
        <w:tc>
          <w:tcPr>
            <w:tcW w:type="dxa" w:w="177"/>
            <w:tcMar>
              <w:left w:type="dxa" w:w="0"/>
              <w:right w:type="dxa" w:w="0"/>
            </w:tcMar>
            <w:tcBorders>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(4,613,365</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0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Marketplace Spend Fees, net</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388,492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388,492</w:t>
            </w:r>
          </w:p>
        </w:tc>
        <w:tc>
          <w:tcPr>
            <w:tcW w:type="dxa" w:w="77"/>
            <w:tcMar>
              <w:left w:type="dxa" w:w="0"/>
              <w:right w:type="dxa" w:w="0"/>
            </w:tcMar>
            <w:tcBorders/>
          </w:tcPr>
          <w:p/>
        </w:tc>
        <w:tc>
          <w:tcPr>
            <w:tcW w:type="dxa" w:w="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45,708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45,708</w:t>
            </w:r>
          </w:p>
        </w:tc>
        <w:tc>
          <w:tcPr>
            <w:tcW w:type="dxa" w:w="77"/>
            <w:tcMar>
              <w:left w:type="dxa" w:w="0"/>
              <w:right w:type="dxa" w:w="0"/>
            </w:tcMar>
            <w:tcBorders/>
          </w:tcPr>
          <w:p/>
        </w:tc>
        <w:tc>
          <w:tcPr>
            <w:tcW w:type="dxa" w:w="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342,784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342,784</w:t>
            </w:r>
          </w:p>
        </w:tc>
        <w:tc>
          <w:tcPr>
            <w:tcW w:type="dxa" w:w="77"/>
            <w:tcMar>
              <w:left w:type="dxa" w:w="0"/>
              <w:right w:type="dxa" w:w="0"/>
            </w:tcMar>
            <w:tcBorders/>
          </w:tcP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750</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0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License Fees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538,262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538,262</w:t>
            </w:r>
          </w:p>
        </w:tc>
        <w:tc>
          <w:tcPr>
            <w:tcW w:type="dxa" w:w="77"/>
            <w:tcMar>
              <w:left w:type="dxa" w:w="0"/>
              <w:right w:type="dxa" w:w="0"/>
            </w:tcMar>
            <w:tcBorders/>
          </w:tcPr>
          <w:p/>
        </w:tc>
        <w:tc>
          <w:tcPr>
            <w:tcW w:type="dxa" w:w="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64,491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64,491</w:t>
            </w:r>
          </w:p>
        </w:tc>
        <w:tc>
          <w:tcPr>
            <w:tcW w:type="dxa" w:w="77"/>
            <w:tcMar>
              <w:left w:type="dxa" w:w="0"/>
              <w:right w:type="dxa" w:w="0"/>
            </w:tcMar>
            <w:tcBorders/>
          </w:tcPr>
          <w:p/>
        </w:tc>
        <w:tc>
          <w:tcPr>
            <w:tcW w:type="dxa" w:w="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473,771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473,771</w:t>
            </w:r>
          </w:p>
        </w:tc>
        <w:tc>
          <w:tcPr>
            <w:tcW w:type="dxa" w:w="77"/>
            <w:tcMar>
              <w:left w:type="dxa" w:w="0"/>
              <w:right w:type="dxa" w:w="0"/>
            </w:tcMar>
            <w:tcBorders/>
          </w:tcP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735</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0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Legacy Workflow, net</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164,994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164,994</w:t>
            </w:r>
          </w:p>
        </w:tc>
        <w:tc>
          <w:tcPr>
            <w:tcW w:type="dxa" w:w="77"/>
            <w:tcMar>
              <w:left w:type="dxa" w:w="0"/>
              <w:right w:type="dxa" w:w="0"/>
            </w:tcMar>
            <w:tcBorders/>
          </w:tcPr>
          <w:p/>
        </w:tc>
        <w:tc>
          <w:tcPr>
            <w:tcW w:type="dxa" w:w="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227,441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227,441</w:t>
            </w:r>
          </w:p>
        </w:tc>
        <w:tc>
          <w:tcPr>
            <w:tcW w:type="dxa" w:w="77"/>
            <w:tcMar>
              <w:left w:type="dxa" w:w="0"/>
              <w:right w:type="dxa" w:w="0"/>
            </w:tcMar>
            <w:tcBorders/>
          </w:tcPr>
          <w:p/>
        </w:tc>
        <w:tc>
          <w:tcPr>
            <w:tcW w:type="dxa" w:w="5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(62,447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(62,447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0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45,645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45,645</w:t>
            </w:r>
          </w:p>
        </w:tc>
        <w:tc>
          <w:tcPr>
            <w:tcW w:type="dxa" w:w="77"/>
            <w:tcMar>
              <w:left w:type="dxa" w:w="0"/>
              <w:right w:type="dxa" w:w="0"/>
            </w:tcMar>
            <w:tcBorders/>
          </w:tcPr>
          <w:p/>
        </w:tc>
        <w:tc>
          <w:tcPr>
            <w:tcW w:type="dxa" w:w="5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25,310</w:t>
            </w:r>
          </w:p>
        </w:tc>
        <w:tc>
          <w:tcPr>
            <w:tcW w:type="dxa" w:w="77"/>
            <w:tcMar>
              <w:left w:type="dxa" w:w="0"/>
              <w:right w:type="dxa" w:w="0"/>
            </w:tcMar>
            <w:tcBorders>
              <w:bottom w:val="single" w:sz="8"/>
            </w:tcBorders>
          </w:tcPr>
          <w:p/>
        </w:tc>
        <w:tc>
          <w:tcPr>
            <w:tcW w:type="dxa" w:w="5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20,335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20,335</w:t>
            </w:r>
          </w:p>
        </w:tc>
        <w:tc>
          <w:tcPr>
            <w:tcW w:type="dxa" w:w="77"/>
            <w:tcMar>
              <w:left w:type="dxa" w:w="0"/>
              <w:right w:type="dxa" w:w="0"/>
            </w:tcMar>
            <w:tcBorders/>
          </w:tcPr>
          <w:p/>
        </w:tc>
        <w:tc>
          <w:tcPr>
            <w:tcW w:type="dxa" w:w="7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08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Revenue by type</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13,798,342</w:t>
            </w:r>
          </w:p>
        </w:tc>
        <w:tc>
          <w:tcPr>
            <w:tcW w:type="dxa" w:w="77"/>
            <w:tcMar>
              <w:left w:type="dxa" w:w="0"/>
              <w:right w:type="dxa" w:w="0"/>
            </w:tcMar>
            <w:tcBorders>
              <w:top w:val="single" w:sz="8" w:space="0"/>
              <w:bottom w:val="double" w:sz="4"/>
            </w:tcBorders>
          </w:tcPr>
          <w:p/>
        </w:tc>
        <w:tc>
          <w:tcPr>
            <w:tcW w:type="dxa" w:w="5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177"/>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17,637,264</w:t>
            </w:r>
          </w:p>
        </w:tc>
        <w:tc>
          <w:tcPr>
            <w:tcW w:type="dxa" w:w="77"/>
            <w:tcMar>
              <w:left w:type="dxa" w:w="0"/>
              <w:right w:type="dxa" w:w="0"/>
            </w:tcMar>
            <w:tcBorders>
              <w:top w:val="single" w:sz="8" w:space="0"/>
              <w:bottom w:val="double" w:sz="4"/>
            </w:tcBorders>
          </w:tcPr>
          <w:p/>
        </w:tc>
        <w:tc>
          <w:tcPr>
            <w:tcW w:type="dxa" w:w="5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177"/>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(3,838,922</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56"/>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w:t>
            </w:r>
          </w:p>
        </w:tc>
        <w:tc>
          <w:tcPr>
            <w:tcW w:type="dxa" w:w="244"/>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Revenues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decreased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$3,838,922</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22%</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w:t>
      </w:r>
    </w:p>
    <w:p>
      <w:pPr>
        <w:ind w:right="280"/>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have invested the majority of our time and resources in our Managed Services, which generates the majority of our revenue. Our acquisitions of Ebyline, ZenContent, and TapInfluence have allowed us to expand our product offerings to provide custom content in addition to and in combination with our influencer marketing campaigns. In particular, our merger with TapInfluence provides an immediate increase of market share of the marketplace spend and licensed SaaS revenue business, and enables us to scale more quickly in this space.</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Managed Services</w:t>
      </w:r>
      <w:r>
        <w:rPr>
          <w:rFonts w:ascii="Times New Roman" w:hAnsi="Times New Roman" w:eastAsia="Times New Roman" w:cs="Times New Roman"/>
          <w:sz w:val="20"/>
        </w:rPr>
        <w:t xml:space="preserve"> revenue declined due to lower initial annual commitments from some of our larger customers for their 2018 advertising spends, along with a decrease in the number of smaller customers running short-term campaigns.  Net bookings related to Managed Services were $14.4 million in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compared to $18.5 million in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2017</w:t>
      </w:r>
      <w:r>
        <w:rPr>
          <w:rFonts w:ascii="Times New Roman" w:hAnsi="Times New Roman" w:eastAsia="Times New Roman" w:cs="Times New Roman"/>
          <w:sz w:val="20"/>
        </w:rPr>
        <w:t xml:space="preserve">. The decrease in net bookings is the result of a decreasing new opportunity pipeline in the first through third quarters of 2017, which impacts bookings and revenue on a trailing basis. Although our annual revenue has historically increased since inception, we have seen a year-over-year decrease in revenue in the first three quarters of 2018 and believe revenue related to our Managed Services will also be down year-over-year in the fourth quarter of 2018 based on these lower net bookings as they translate into future revenue.</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revenue reported in 2017 is being reported pursuant to the previous GAAP reporting standards under ASC 605 while the revenue reported in 2018 is being reported pursuant to ASC 606. We adopted the new standards under the modified retrospective approach whereby we were not required to recalculate the revenue at each prior year reporting period. Changes between the standards results in timing differences on how revenue is recognized. As discussed in Note 8 under Item 1 of this Quarterly Report, the change in standards resulted in a revenue decrease of </w:t>
      </w:r>
      <w:r>
        <w:rPr>
          <w:rFonts w:ascii="Times New Roman" w:hAnsi="Times New Roman" w:eastAsia="Times New Roman" w:cs="Times New Roman"/>
          <w:sz w:val="20"/>
        </w:rPr>
        <w:t xml:space="preserve">$29,405</w:t>
      </w:r>
      <w:r>
        <w:rPr>
          <w:rFonts w:ascii="Times New Roman" w:hAnsi="Times New Roman" w:eastAsia="Times New Roman" w:cs="Times New Roman"/>
          <w:sz w:val="20"/>
        </w:rPr>
        <w:t xml:space="preserve"> between the periods.</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Marketplace Spend Fees</w:t>
      </w:r>
      <w:r>
        <w:rPr>
          <w:rFonts w:ascii="Times New Roman" w:hAnsi="Times New Roman" w:eastAsia="Times New Roman" w:cs="Times New Roman"/>
          <w:sz w:val="20"/>
        </w:rPr>
        <w:t xml:space="preserve"> revenue primarily results from marketers and partners using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beginning in July 2018, the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platforms on a SaaS basis to distribute content for marketing and sponsored social advertising campaigns. This also includes revenue from the Company's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("Legacy Workflow"). Revenue from Marketplace Spend Fees increased by $</w:t>
      </w:r>
      <w:r>
        <w:rPr>
          <w:rFonts w:ascii="Times New Roman" w:hAnsi="Times New Roman" w:eastAsia="Times New Roman" w:cs="Times New Roman"/>
          <w:sz w:val="20"/>
        </w:rPr>
        <w:t xml:space="preserve">342,784</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750%</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primarily as a result of the Company's merger with TapInfluence, which accounted for approximately $363,764 of the consolidated Marketplace Spend Fees revenue for the period. Self-service use for transactions on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is declining year over year due to the ongoing consolidation and cutbacks in the newspaper industry. Revenue from Marketplace Spend Fees represents our net margins received on this business, which averaged approximately </w:t>
      </w:r>
      <w:r>
        <w:rPr>
          <w:rFonts w:ascii="Times New Roman" w:hAnsi="Times New Roman" w:eastAsia="Times New Roman" w:cs="Times New Roman"/>
          <w:sz w:val="20"/>
        </w:rPr>
        <w:t xml:space="preserve">12%</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40%</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We expect to see continued increases in total Marketplace Spend Fees revenue, and improved margins, compared to prior year levels due to the addition of the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platform, as well as expected organic growth related to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platform.</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left"/>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	License Fees </w:t>
      </w:r>
      <w:r>
        <w:rPr>
          <w:rFonts w:ascii="Times New Roman" w:hAnsi="Times New Roman" w:eastAsia="Times New Roman" w:cs="Times New Roman"/>
          <w:sz w:val="20"/>
        </w:rPr>
        <w:t xml:space="preserve">revenue is generated primarily through the granting of limited, non-exclusive, non-transferable licenses to customers for the use of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TapIfluence</w:t>
      </w:r>
      <w:r>
        <w:rPr>
          <w:rFonts w:ascii="Times New Roman" w:hAnsi="Times New Roman" w:eastAsia="Times New Roman" w:cs="Times New Roman"/>
          <w:sz w:val="20"/>
        </w:rPr>
        <w:t xml:space="preserve"> technology platforms for an agreed-upon subscription period. Customers license the platforms to manage their own sponsored social advertising campaigns. Fees for subscription or licensing services are recognized straight-line over the term of the service. License Fees revenue </w:t>
      </w:r>
      <w:r>
        <w:rPr>
          <w:rFonts w:ascii="Times New Roman" w:hAnsi="Times New Roman" w:eastAsia="Times New Roman" w:cs="Times New Roman"/>
          <w:sz w:val="20"/>
        </w:rPr>
        <w:t xml:space="preserve">increased</w:t>
      </w:r>
      <w:r>
        <w:rPr>
          <w:rFonts w:ascii="Times New Roman" w:hAnsi="Times New Roman" w:eastAsia="Times New Roman" w:cs="Times New Roman"/>
          <w:sz w:val="20"/>
        </w:rPr>
        <w:t xml:space="preserve"> significantly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to $</w:t>
      </w:r>
      <w:r>
        <w:rPr>
          <w:rFonts w:ascii="Times New Roman" w:hAnsi="Times New Roman" w:eastAsia="Times New Roman" w:cs="Times New Roman"/>
          <w:sz w:val="20"/>
        </w:rPr>
        <w:t xml:space="preserve">538,262</w:t>
      </w:r>
      <w:r>
        <w:rPr>
          <w:rFonts w:ascii="Times New Roman" w:hAnsi="Times New Roman" w:eastAsia="Times New Roman" w:cs="Times New Roman"/>
          <w:sz w:val="20"/>
        </w:rPr>
        <w:t xml:space="preserve">, primarily as a result of the merger with TapInfluence, compared to $</w:t>
      </w:r>
      <w:r>
        <w:rPr>
          <w:rFonts w:ascii="Times New Roman" w:hAnsi="Times New Roman" w:eastAsia="Times New Roman" w:cs="Times New Roman"/>
          <w:sz w:val="20"/>
        </w:rPr>
        <w:t xml:space="preserve">64,491</w:t>
      </w:r>
      <w:r>
        <w:rPr>
          <w:rFonts w:ascii="Times New Roman" w:hAnsi="Times New Roman" w:eastAsia="Times New Roman" w:cs="Times New Roman"/>
          <w:sz w:val="20"/>
        </w:rPr>
        <w:t xml:space="preserve"> in the same period of the prior year.</w:t>
      </w:r>
    </w:p>
    <w:p>
      <w:pPr>
        <w:jc w:val="left"/>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left"/>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	Legacy Workflow</w:t>
      </w:r>
      <w:r>
        <w:rPr>
          <w:rFonts w:ascii="Times New Roman" w:hAnsi="Times New Roman" w:eastAsia="Times New Roman" w:cs="Times New Roman"/>
          <w:sz w:val="20"/>
        </w:rPr>
        <w:t xml:space="preserve"> revenue represents transactions through the </w:t>
      </w:r>
      <w:r>
        <w:rPr>
          <w:rFonts w:ascii="Times New Roman" w:hAnsi="Times New Roman" w:eastAsia="Times New Roman" w:cs="Times New Roman"/>
          <w:sz w:val="20"/>
          <w:i w:val="true"/>
        </w:rPr>
        <w:t xml:space="preserve">Ebyline</w:t>
      </w:r>
      <w:r>
        <w:rPr>
          <w:rFonts w:ascii="Times New Roman" w:hAnsi="Times New Roman" w:eastAsia="Times New Roman" w:cs="Times New Roman"/>
          <w:sz w:val="20"/>
        </w:rPr>
        <w:t xml:space="preserve"> platform, which is declining year over year due to the ongoing consolidation and cutbacks in the newspaper industry. Revenue from Legacy Workflow transactions </w:t>
      </w:r>
      <w:r>
        <w:rPr>
          <w:rFonts w:ascii="Times New Roman" w:hAnsi="Times New Roman" w:eastAsia="Times New Roman" w:cs="Times New Roman"/>
          <w:sz w:val="20"/>
        </w:rPr>
        <w:t xml:space="preserve">decreased</w:t>
      </w:r>
      <w:r>
        <w:rPr>
          <w:rFonts w:ascii="Times New Roman" w:hAnsi="Times New Roman" w:eastAsia="Times New Roman" w:cs="Times New Roman"/>
          <w:sz w:val="20"/>
        </w:rPr>
        <w:t xml:space="preserve"> to </w:t>
      </w:r>
      <w:r>
        <w:rPr>
          <w:rFonts w:ascii="Times New Roman" w:hAnsi="Times New Roman" w:eastAsia="Times New Roman" w:cs="Times New Roman"/>
          <w:sz w:val="20"/>
        </w:rPr>
        <w:t xml:space="preserve">$164,994</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compared to </w:t>
      </w:r>
      <w:r>
        <w:rPr>
          <w:rFonts w:ascii="Times New Roman" w:hAnsi="Times New Roman" w:eastAsia="Times New Roman" w:cs="Times New Roman"/>
          <w:sz w:val="20"/>
        </w:rPr>
        <w:t xml:space="preserve">$227,442</w:t>
      </w:r>
      <w:r>
        <w:rPr>
          <w:rFonts w:ascii="Times New Roman" w:hAnsi="Times New Roman" w:eastAsia="Times New Roman" w:cs="Times New Roman"/>
          <w:sz w:val="20"/>
        </w:rPr>
        <w:t xml:space="preserve"> for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With the addition of TapInfluence and its SaaS revenue model, the Company has shifted its focus away from content related to newspapers and traditional publishers, and expects Legacy Workflow revenue to continue to decline going forward.</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r>
        <w:rPr>
          <w:rFonts w:ascii="Times New Roman" w:hAnsi="Times New Roman" w:eastAsia="Times New Roman" w:cs="Times New Roman"/>
          <w:sz w:val="20"/>
          <w:i w:val="true"/>
        </w:rPr>
        <w:t xml:space="preserve">Other </w:t>
      </w:r>
      <w:r>
        <w:rPr>
          <w:rFonts w:ascii="Times New Roman" w:hAnsi="Times New Roman" w:eastAsia="Times New Roman" w:cs="Times New Roman"/>
          <w:sz w:val="20"/>
        </w:rPr>
        <w:t xml:space="preserve">revenue consists of other fees generated from partners using the platforms, such as inactivity fees and affiliate fees, which did not have a significant effect on our operations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color w:val="000000"/>
          <w:u w:val="single" w:color="000000"/>
        </w:rPr>
        <w:t xml:space="preserve">Gross Billings by Segment</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Company management evaluates its operations and makes strategic decisions based, in part, on gross billings from its two operating segments, Managed Services and SaaS Services. We define gross billings as the total dollar value of the amounts earned from our customers for the services we performed, or the amounts charged to our customers for their self-service purchase of goods and services on our platforms. This is the amount of our reported revenue plus the cost of payments we made to third-party creators providing the content or sponsorship services which are netted against revenue for GAAP reporting purposes. Managed Services gross billings is the same as revenue being reported on a GAAP basis as there is no requirement to net the revenue against costs of revenue. SaaS Services consists of gross billings generated by the self-service use of the Company's technology platforms by marketers to manage their own content workflow and sponsored social campaigns, as well as license subscriptions to access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 </w:t>
      </w:r>
      <w:r>
        <w:rPr>
          <w:rFonts w:ascii="Times New Roman" w:hAnsi="Times New Roman" w:eastAsia="Times New Roman" w:cs="Times New Roman"/>
          <w:sz w:val="20"/>
        </w:rPr>
        <w:t xml:space="preserve">platforms, which includes license fees and marketplace spend fees.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Gross billings for Marketplace Spend Fees differs from revenue reported in our consolidated statements of operations, which is presented net of the amounts we pay to our third-party creators providing the content or sponsorship services. Gross billings for all other revenue equals the revenue reported in our consolidated statements of operations. We consider this metric to be an important indicator of our performance as it measures the total dollar volume of transactions generated through our marketplaces. Tracking gross billings allows us to monitor the percentage of gross billings that we are able to retain after payments to our creators. Additionally, tracking gross billings is critical as it pertains to our credit risk and cash flow. We invoice our customers based on our services performed or based on their self-service transactions plus our fee. Then we remit the agreed-upon transaction price to the creators. If we do not collect the money from our customers prior to the time of payment to our creators, we could experience large swings in our cash flows. Finally, gross billings allows us to evaluate our transaction totals on an equal basis in order for us to see our contribution margins by revenue type so that we can better understand where we should be allocating our resources.</w:t>
      </w:r>
    </w:p>
    <w:p>
      <w:pPr>
        <w:ind w:right="2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Gross billings for our SaaS Services segment were </w:t>
      </w:r>
      <w:r>
        <w:rPr>
          <w:rFonts w:ascii="Times New Roman" w:hAnsi="Times New Roman" w:eastAsia="Times New Roman" w:cs="Times New Roman"/>
          <w:sz w:val="20"/>
        </w:rPr>
        <w:t xml:space="preserve">$3,787,789</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an increase</w:t>
      </w:r>
      <w:r>
        <w:rPr>
          <w:rFonts w:ascii="Times New Roman" w:hAnsi="Times New Roman" w:eastAsia="Times New Roman" w:cs="Times New Roman"/>
          <w:sz w:val="20"/>
        </w:rPr>
        <w:t xml:space="preserve"> of </w:t>
      </w:r>
      <w:r>
        <w:rPr>
          <w:rFonts w:ascii="Times New Roman" w:hAnsi="Times New Roman" w:eastAsia="Times New Roman" w:cs="Times New Roman"/>
          <w:sz w:val="20"/>
        </w:rPr>
        <w:t xml:space="preserve">$3,608,748</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The increase was primarily due to the addition of TapInfluence in July 2018, accounting for approximately $3.5 million of billings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2018. Our merger with TapInfluence is expected to have a continuing significant positive impact on our future gross billings in this segment as we build on the significant marketer base obtained as a result of the merger, offset by the phasing out of our Legacy Workflow activity. Refer to the below section titled "Non-GAAP Financial Measures" for a reconciliation of gross billings to a GAAP measure.</w:t>
      </w:r>
    </w:p>
    <w:p>
      <w:pPr>
        <w:ind w:right="2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color w:val="000000"/>
          <w:u w:val="single" w:color="000000"/>
        </w:rPr>
        <w:t xml:space="preserve">Net Bookings</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Net bookings is a measure of sales orders received minus any cancellations or adjustments in a given period. Management uses net bookings as a leading indicator of future revenue recognition as revenue is typically recognized within 90-120 days of booking, though larger contracts may be recognized over twelve months from the original booking date. Net bookings can be affected by, among other things, cancellations or changes to orders that occur in future periods. Reductions in net bookings or changes in the expected timing of delivery for services due to delays and customer preferences or other considerations may result in fluctuations in expected future revenue. Net bookings related to our Managed Services were approximately $12.8 million in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compared to $18.5 million in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2017</w:t>
      </w:r>
      <w:r>
        <w:rPr>
          <w:rFonts w:ascii="Times New Roman" w:hAnsi="Times New Roman" w:eastAsia="Times New Roman" w:cs="Times New Roman"/>
          <w:sz w:val="20"/>
        </w:rPr>
        <w:t xml:space="preserve">.</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decrease in net bookings is the result of a decreasing new opportunity pipeline (defined as the measure of the total dollar amount of sales opportunities represented by proposals with potential customers) in the first through third quarters of 2017, which impacts bookings and revenue on a trailing basis. In addition to reduced overall pipeline activity, there was also a higher concentration of larger opportunities in the pipeline during this period, thereby increasing our reliance on a smaller number of clients and campaigns. In the fourth quarter of 2017 through the second quarter of 2018, we saw a number of larger clients reduce, shift, or eliminate their spending compared to prior years, which has significantly reduced our 2018 results. Year-over-year new opportunity pipeline growth began to return in the fourth quarter of 2017 and has continued in the first through third quarters of 2018. The Company has seen a positive effect from this pipeline growth, and increased bookings in the third quarter of 2018 compared to the second quarter, with revenue recognition trailing bookings. We anticipate lower year-over-year revenues from Managed Services when compared to prior years for the remainder of 2018, but increased revenues from Marketplace Spend Fees and License Fees and Other revenue due to additional SaaS customers licensing and the utilization of our platforms for marketplace spending.</w:t>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Cost of Revenue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Cost of revenue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decreased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$1,863,479</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22%</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Cost of revenue as a percentage of revenue remained level at approximately </w:t>
      </w:r>
      <w:r>
        <w:rPr>
          <w:rFonts w:ascii="Times New Roman" w:hAnsi="Times New Roman" w:eastAsia="Times New Roman" w:cs="Times New Roman"/>
          <w:sz w:val="20"/>
        </w:rPr>
        <w:t xml:space="preserve">47%</w:t>
      </w:r>
      <w:r>
        <w:rPr>
          <w:rFonts w:ascii="Times New Roman" w:hAnsi="Times New Roman" w:eastAsia="Times New Roman" w:cs="Times New Roman"/>
          <w:sz w:val="20"/>
        </w:rPr>
        <w:t xml:space="preserve"> for both periods. Our cost of revenue consists primarily of direct costs paid to our third-party creators who provide custom content and advertising and our internal personnel costs for those primarily responsible for fulfillment of our obligations under our Managed Services. Our direct costs related to third-party creators are variable with the revenue they generate and these remained consistent at approximately 39% of revenue for Managed Services in 2018 and 2017. Our internal fulfillment costs are mostly fixed and do not track directly to the revenue that is produced during the period. As a result, as Managed Services revenue fell, our internal fulfillment costs increased to 13% of revenues for Managed Services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compared to 10% for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ind w:right="280"/>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Sales and Marketing</w:t>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Sales and marketing expenses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decreased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$943,069</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16%</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In February 2017, we held our IZEAFest Conference for marketers and creators. This event was not repeated in 2018 and the non-recurrence of this event contributed to a reduction in our public relations expense of approximately $480,000. Our sales, marketing and support personnel declined by 8%, which along with the decrease in variable compensation linked with sales performance, contributed to a reduction of approximately $870,000 in sales and marketing payroll and personnel related expenses. Marketing costs increased by approximately $181,000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due to our State of the Creator Economy survey which was produced and distributed during 2018 as an update to our latest report produced at the end of 2016. This survey provides key insight and sales resources for our internal team and customers.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ind w:right="280"/>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General and Administrative</w:t>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General and administrative expense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decreased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$639,779</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9%</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The decrease was primarily attributable to an overall reduction in operating costs and the change in our acquisition cost liability estimate related to the ZenContent acquisition in July 2016, offset by the accrual of estimated legal expenses of $500,000.</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July 31, 2016, we purchased all of the outstanding shares of capital stock of ZenContent, Inc. for aggregate consideration up to $4,500,000, consisting of guaranteed payments of $2,000,000 and contingent performance payments up to $2,500,000 based on ZenContent meeting certain revenue targets for each of the three years ending July 31, 2017, 2018 and 2019. These payments were subject to downward adjustment of up to 30% if ZenContent’s co-founder was terminated by IZEA for cause or if she terminated her employment without good reason. As a result, the Company initially reduced its remaining guaranteed acquisition cost liability and its estimated contingent performance payments by 30% to be accrued as compensation expense over the three-year term rather than allocated to the purchase price. The compensation expense recorded as general and administrative expense and accrued to the guaranteed portion of acquisition cost liability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$28,125</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$151,042</w:t>
      </w:r>
      <w:r>
        <w:rPr>
          <w:rFonts w:ascii="Times New Roman" w:hAnsi="Times New Roman" w:eastAsia="Times New Roman" w:cs="Times New Roman"/>
          <w:sz w:val="20"/>
        </w:rPr>
        <w:t xml:space="preserve">, respectively.</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Based on the July 2018 amendment to the ZenContent Stock Purchase Agreement, as further described in Note 2 to our financial statements, which resulted in a future fixed amount for the contingent performance payments, we determined that the current fair value of the $2,500,000 contingent performance payments for ZenContent was </w:t>
      </w:r>
      <w:r>
        <w:rPr>
          <w:rFonts w:ascii="Times New Roman" w:hAnsi="Times New Roman" w:eastAsia="Times New Roman" w:cs="Times New Roman"/>
          <w:sz w:val="20"/>
        </w:rPr>
        <w:t xml:space="preserve">$88,055</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compared to </w:t>
      </w:r>
      <w:r>
        <w:rPr>
          <w:rFonts w:ascii="Times New Roman" w:hAnsi="Times New Roman" w:eastAsia="Times New Roman" w:cs="Times New Roman"/>
          <w:sz w:val="20"/>
        </w:rPr>
        <w:t xml:space="preserve">$744,510</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December 31, 2017</w:t>
      </w:r>
      <w:r>
        <w:rPr>
          <w:rFonts w:ascii="Times New Roman" w:hAnsi="Times New Roman" w:eastAsia="Times New Roman" w:cs="Times New Roman"/>
          <w:sz w:val="20"/>
        </w:rPr>
        <w:t xml:space="preserve">. Therefore, we recorded a </w:t>
      </w:r>
      <w:r>
        <w:rPr>
          <w:rFonts w:ascii="Times New Roman" w:hAnsi="Times New Roman" w:eastAsia="Times New Roman" w:cs="Times New Roman"/>
          <w:sz w:val="20"/>
        </w:rPr>
        <w:t xml:space="preserve">$646,637</w:t>
      </w:r>
      <w:r>
        <w:rPr>
          <w:rFonts w:ascii="Times New Roman" w:hAnsi="Times New Roman" w:eastAsia="Times New Roman" w:cs="Times New Roman"/>
          <w:sz w:val="20"/>
        </w:rPr>
        <w:t xml:space="preserve"> decrease in the fair value of the contingent performance payments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Of this amount, </w:t>
      </w:r>
      <w:r>
        <w:rPr>
          <w:rFonts w:ascii="Times New Roman" w:hAnsi="Times New Roman" w:eastAsia="Times New Roman" w:cs="Times New Roman"/>
          <w:sz w:val="20"/>
        </w:rPr>
        <w:t xml:space="preserve">$160,890</w:t>
      </w:r>
      <w:r>
        <w:rPr>
          <w:rFonts w:ascii="Times New Roman" w:hAnsi="Times New Roman" w:eastAsia="Times New Roman" w:cs="Times New Roman"/>
          <w:sz w:val="20"/>
        </w:rPr>
        <w:t xml:space="preserve"> was allocated as a decrease in compensation expense and </w:t>
      </w:r>
      <w:r>
        <w:rPr>
          <w:rFonts w:ascii="Times New Roman" w:hAnsi="Times New Roman" w:eastAsia="Times New Roman" w:cs="Times New Roman"/>
          <w:sz w:val="20"/>
        </w:rPr>
        <w:t xml:space="preserve">$485,747</w:t>
      </w:r>
      <w:r>
        <w:rPr>
          <w:rFonts w:ascii="Times New Roman" w:hAnsi="Times New Roman" w:eastAsia="Times New Roman" w:cs="Times New Roman"/>
          <w:sz w:val="20"/>
        </w:rPr>
        <w:t xml:space="preserve"> was allocated as a decrease in the fair value of the contingent performance payments.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2017</w:t>
      </w:r>
      <w:r>
        <w:rPr>
          <w:rFonts w:ascii="Times New Roman" w:hAnsi="Times New Roman" w:eastAsia="Times New Roman" w:cs="Times New Roman"/>
          <w:sz w:val="20"/>
        </w:rPr>
        <w:t xml:space="preserve">, we recorded a </w:t>
      </w:r>
      <w:r>
        <w:rPr>
          <w:rFonts w:ascii="Times New Roman" w:hAnsi="Times New Roman" w:eastAsia="Times New Roman" w:cs="Times New Roman"/>
          <w:sz w:val="20"/>
        </w:rPr>
        <w:t xml:space="preserve">$184,444</w:t>
      </w:r>
      <w:r>
        <w:rPr>
          <w:rFonts w:ascii="Times New Roman" w:hAnsi="Times New Roman" w:eastAsia="Times New Roman" w:cs="Times New Roman"/>
          <w:sz w:val="20"/>
        </w:rPr>
        <w:t xml:space="preserve"> increase in the fair value of the contingent performance payments when the estimated fair value increased from the estimate of </w:t>
      </w:r>
      <w:r>
        <w:rPr>
          <w:rFonts w:ascii="Times New Roman" w:hAnsi="Times New Roman" w:eastAsia="Times New Roman" w:cs="Times New Roman"/>
          <w:sz w:val="20"/>
        </w:rPr>
        <w:t xml:space="preserve">$324,000</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December 31, 2017</w:t>
      </w:r>
      <w:r>
        <w:rPr>
          <w:rFonts w:ascii="Times New Roman" w:hAnsi="Times New Roman" w:eastAsia="Times New Roman" w:cs="Times New Roman"/>
          <w:sz w:val="20"/>
        </w:rPr>
        <w:t xml:space="preserve"> to </w:t>
      </w:r>
      <w:r>
        <w:rPr>
          <w:rFonts w:ascii="Times New Roman" w:hAnsi="Times New Roman" w:eastAsia="Times New Roman" w:cs="Times New Roman"/>
          <w:sz w:val="20"/>
        </w:rPr>
        <w:t xml:space="preserve">$342,861</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September 30, 2017</w:t>
      </w:r>
      <w:r>
        <w:rPr>
          <w:rFonts w:ascii="Times New Roman" w:hAnsi="Times New Roman" w:eastAsia="Times New Roman" w:cs="Times New Roman"/>
          <w:sz w:val="20"/>
        </w:rPr>
        <w:t xml:space="preserve">. Of this amount, </w:t>
      </w:r>
      <w:r>
        <w:rPr>
          <w:rFonts w:ascii="Times New Roman" w:hAnsi="Times New Roman" w:eastAsia="Times New Roman" w:cs="Times New Roman"/>
          <w:sz w:val="20"/>
        </w:rPr>
        <w:t xml:space="preserve">$122,444</w:t>
      </w:r>
      <w:r>
        <w:rPr>
          <w:rFonts w:ascii="Times New Roman" w:hAnsi="Times New Roman" w:eastAsia="Times New Roman" w:cs="Times New Roman"/>
          <w:sz w:val="20"/>
        </w:rPr>
        <w:t xml:space="preserve"> was allocated as an increase in compensation expense and </w:t>
      </w:r>
      <w:r>
        <w:rPr>
          <w:rFonts w:ascii="Times New Roman" w:hAnsi="Times New Roman" w:eastAsia="Times New Roman" w:cs="Times New Roman"/>
          <w:sz w:val="20"/>
        </w:rPr>
        <w:t xml:space="preserve">$62,000</w:t>
      </w:r>
      <w:r>
        <w:rPr>
          <w:rFonts w:ascii="Times New Roman" w:hAnsi="Times New Roman" w:eastAsia="Times New Roman" w:cs="Times New Roman"/>
          <w:sz w:val="20"/>
        </w:rPr>
        <w:t xml:space="preserve"> was allocated as a increase in the fair value of the contingent performance payments.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total change in our acquisition cost liability related to both the guaranteed and contingent performance payments noted above was a decrease of </w:t>
      </w:r>
      <w:r>
        <w:rPr>
          <w:rFonts w:ascii="Times New Roman" w:hAnsi="Times New Roman" w:eastAsia="Times New Roman" w:cs="Times New Roman"/>
          <w:sz w:val="20"/>
        </w:rPr>
        <w:t xml:space="preserve">$618,512</w:t>
      </w:r>
      <w:r>
        <w:rPr>
          <w:rFonts w:ascii="Times New Roman" w:hAnsi="Times New Roman" w:eastAsia="Times New Roman" w:cs="Times New Roman"/>
          <w:sz w:val="20"/>
        </w:rPr>
        <w:t xml:space="preserve"> and an increase of </w:t>
      </w:r>
      <w:r>
        <w:rPr>
          <w:rFonts w:ascii="Times New Roman" w:hAnsi="Times New Roman" w:eastAsia="Times New Roman" w:cs="Times New Roman"/>
          <w:sz w:val="20"/>
        </w:rPr>
        <w:t xml:space="preserve">$335,486</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thus contributing </w:t>
      </w:r>
      <w:r>
        <w:rPr>
          <w:rFonts w:ascii="Times New Roman" w:hAnsi="Times New Roman" w:eastAsia="Times New Roman" w:cs="Times New Roman"/>
          <w:sz w:val="20"/>
        </w:rPr>
        <w:t xml:space="preserve">$953,998</w:t>
      </w:r>
      <w:r>
        <w:rPr>
          <w:rFonts w:ascii="Times New Roman" w:hAnsi="Times New Roman" w:eastAsia="Times New Roman" w:cs="Times New Roman"/>
          <w:sz w:val="20"/>
        </w:rPr>
        <w:t xml:space="preserve"> to the decrease between periods in general and administrative expense.</w:t>
      </w:r>
    </w:p>
    <w:p>
      <w:pPr>
        <w:ind w:left="1080" w:firstLine="-36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remaining decrease in general and administrative expense was due to (i) lower payroll, stock compensation, and personnel-related expenses of approximately $561,000 due to lower commissions and bonus amounts accrued and lower stock expense on vested options in 2018, (ii) capitalization of software development costs of </w:t>
      </w:r>
      <w:r>
        <w:rPr>
          <w:rFonts w:ascii="Times New Roman" w:hAnsi="Times New Roman" w:eastAsia="Times New Roman" w:cs="Times New Roman"/>
          <w:sz w:val="20"/>
        </w:rPr>
        <w:t xml:space="preserve">$401,000</w:t>
      </w:r>
      <w:r>
        <w:rPr>
          <w:rFonts w:ascii="Times New Roman" w:hAnsi="Times New Roman" w:eastAsia="Times New Roman" w:cs="Times New Roman"/>
          <w:sz w:val="20"/>
        </w:rPr>
        <w:t xml:space="preserve">, and (iii) decreased investor relations costs of approximately $17,000 due to the non-renewal of our investor relations firm agreement in May 2017. Legal and accounting fees increased approximately $604,000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as compared to the prior year period due our acquisition activities, additional procedures related to revised statements and implementation of ASC 606 in our public filings, and an accrual of $500,000 for estimated legal expenses.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Depreciation and Amortization</w:t>
      </w:r>
    </w:p>
    <w:p>
      <w:pPr>
        <w:ind w:right="2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Depreciation and amortization expense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t>
      </w:r>
      <w:r>
        <w:rPr>
          <w:rFonts w:ascii="Times New Roman" w:hAnsi="Times New Roman" w:eastAsia="Times New Roman" w:cs="Times New Roman"/>
          <w:sz w:val="20"/>
        </w:rPr>
        <w:t xml:space="preserve">decreased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$249,011</w:t>
      </w:r>
      <w:r>
        <w:rPr>
          <w:rFonts w:ascii="Times New Roman" w:hAnsi="Times New Roman" w:eastAsia="Times New Roman" w:cs="Times New Roman"/>
          <w:sz w:val="20"/>
        </w:rPr>
        <w:t xml:space="preserve">, or approximately </w:t>
      </w:r>
      <w:r>
        <w:rPr>
          <w:rFonts w:ascii="Times New Roman" w:hAnsi="Times New Roman" w:eastAsia="Times New Roman" w:cs="Times New Roman"/>
          <w:sz w:val="20"/>
        </w:rPr>
        <w:t xml:space="preserve">23%</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Depreciation and amortization expense on property and equipment was </w:t>
      </w:r>
      <w:r>
        <w:rPr>
          <w:rFonts w:ascii="Times New Roman" w:hAnsi="Times New Roman" w:eastAsia="Times New Roman" w:cs="Times New Roman"/>
          <w:sz w:val="20"/>
        </w:rPr>
        <w:t xml:space="preserve">$167,900</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$163,597</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Depreciation expense increased in 2018 due to acquisition of cryptocurrency mining equipment, acquired assets from TapInfluence,  and minimal increases in our property and equipment, offset by certain assets becoming fully depreciated.</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Our amortization expense was </w:t>
      </w:r>
      <w:r>
        <w:rPr>
          <w:rFonts w:ascii="Times New Roman" w:hAnsi="Times New Roman" w:eastAsia="Times New Roman" w:cs="Times New Roman"/>
          <w:sz w:val="20"/>
        </w:rPr>
        <w:t xml:space="preserve">$678,920</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$932,234</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Amortization expense related to intangible assets acquired in the Ebyline, ZenContent, and TapInfluence acquisitions was </w:t>
      </w:r>
      <w:r>
        <w:rPr>
          <w:rFonts w:ascii="Times New Roman" w:hAnsi="Times New Roman" w:eastAsia="Times New Roman" w:cs="Times New Roman"/>
          <w:sz w:val="20"/>
        </w:rPr>
        <w:t xml:space="preserve">$458,054</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$747,720</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Amortization expense on our intangible acquisition assets is declined through July 2018 as several of the items completed the amortization period for their useful lives, with offsetting increase starting in late July for the newly acquired TapInfluence intangible assets. Amortization expense related to internal use software development costs was </w:t>
      </w:r>
      <w:r>
        <w:rPr>
          <w:rFonts w:ascii="Times New Roman" w:hAnsi="Times New Roman" w:eastAsia="Times New Roman" w:cs="Times New Roman"/>
          <w:sz w:val="20"/>
        </w:rPr>
        <w:t xml:space="preserve">$220,866</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$184,514</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 and is increasing as we continue to amortize costs associated with the development our current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platform.</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Other Income (Expense)</w:t>
      </w:r>
    </w:p>
    <w:p>
      <w:pPr>
        <w:jc w:val="left"/>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Other income (expense) consists primarily of interest expense and the change in the fair value of derivatives.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Interest expense </w:t>
      </w:r>
      <w:r>
        <w:rPr>
          <w:rFonts w:ascii="Times New Roman" w:hAnsi="Times New Roman" w:eastAsia="Times New Roman" w:cs="Times New Roman"/>
          <w:sz w:val="20"/>
        </w:rPr>
        <w:t xml:space="preserve">increased</w:t>
      </w:r>
      <w:r>
        <w:rPr>
          <w:rFonts w:ascii="Times New Roman" w:hAnsi="Times New Roman" w:eastAsia="Times New Roman" w:cs="Times New Roman"/>
          <w:sz w:val="20"/>
        </w:rPr>
        <w:t xml:space="preserve"> by </w:t>
      </w:r>
      <w:r>
        <w:rPr>
          <w:rFonts w:ascii="Times New Roman" w:hAnsi="Times New Roman" w:eastAsia="Times New Roman" w:cs="Times New Roman"/>
          <w:sz w:val="20"/>
        </w:rPr>
        <w:t xml:space="preserve">$101,760</w:t>
      </w:r>
      <w:r>
        <w:rPr>
          <w:rFonts w:ascii="Times New Roman" w:hAnsi="Times New Roman" w:eastAsia="Times New Roman" w:cs="Times New Roman"/>
          <w:sz w:val="20"/>
        </w:rPr>
        <w:t xml:space="preserve"> to </w:t>
      </w:r>
      <w:r>
        <w:rPr>
          <w:rFonts w:ascii="Times New Roman" w:hAnsi="Times New Roman" w:eastAsia="Times New Roman" w:cs="Times New Roman"/>
          <w:sz w:val="20"/>
        </w:rPr>
        <w:t xml:space="preserve">$147,166</w:t>
      </w: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compared to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primarily due to higher interest rates and higher amounts outstanding on our credit facility in 2018.</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recorded expense of </w:t>
      </w:r>
      <w:r>
        <w:rPr>
          <w:rFonts w:ascii="Times New Roman" w:hAnsi="Times New Roman" w:eastAsia="Times New Roman" w:cs="Times New Roman"/>
          <w:sz w:val="20"/>
        </w:rPr>
        <w:t xml:space="preserve">$11,794</w:t>
      </w:r>
      <w:r>
        <w:rPr>
          <w:rFonts w:ascii="Times New Roman" w:hAnsi="Times New Roman" w:eastAsia="Times New Roman" w:cs="Times New Roman"/>
          <w:sz w:val="20"/>
        </w:rPr>
        <w:t xml:space="preserve"> and income of </w:t>
      </w:r>
      <w:r>
        <w:rPr>
          <w:rFonts w:ascii="Times New Roman" w:hAnsi="Times New Roman" w:eastAsia="Times New Roman" w:cs="Times New Roman"/>
          <w:sz w:val="20"/>
        </w:rPr>
        <w:t xml:space="preserve">$36,122</w:t>
      </w:r>
      <w:r>
        <w:rPr>
          <w:rFonts w:ascii="Times New Roman" w:hAnsi="Times New Roman" w:eastAsia="Times New Roman" w:cs="Times New Roman"/>
          <w:sz w:val="20"/>
        </w:rPr>
        <w:t xml:space="preserve"> resulting from the change in the fair value of restricted stock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respectively.</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w:t>
      </w:r>
      <w:r>
        <w:rPr>
          <w:rFonts w:ascii="Times New Roman" w:hAnsi="Times New Roman" w:eastAsia="Times New Roman" w:cs="Times New Roman"/>
          <w:sz w:val="20"/>
        </w:rPr>
        <w:t xml:space="preserve">$7,821</w:t>
      </w:r>
      <w:r>
        <w:rPr>
          <w:rFonts w:ascii="Times New Roman" w:hAnsi="Times New Roman" w:eastAsia="Times New Roman" w:cs="Times New Roman"/>
          <w:sz w:val="20"/>
        </w:rPr>
        <w:t xml:space="preserve"> increase in other income (expense) between the periods is the result of the net value of cryptocurrency we received from our cryptocurrency mining operations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of approximately $24,000 offset by currency exchange losses related to our Canadian transactions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Net Loss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Net loss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$5,025,704</w:t>
      </w:r>
      <w:r>
        <w:rPr>
          <w:rFonts w:ascii="Times New Roman" w:hAnsi="Times New Roman" w:eastAsia="Times New Roman" w:cs="Times New Roman"/>
          <w:sz w:val="20"/>
        </w:rPr>
        <w:t xml:space="preserve">, a </w:t>
      </w:r>
      <w:r>
        <w:rPr>
          <w:rFonts w:ascii="Times New Roman" w:hAnsi="Times New Roman" w:eastAsia="Times New Roman" w:cs="Times New Roman"/>
          <w:sz w:val="20"/>
        </w:rPr>
        <w:t xml:space="preserve">$301,081</w:t>
      </w:r>
      <w:r>
        <w:rPr>
          <w:rFonts w:ascii="Times New Roman" w:hAnsi="Times New Roman" w:eastAsia="Times New Roman" w:cs="Times New Roman"/>
          <w:sz w:val="20"/>
        </w:rPr>
        <w:t xml:space="preserve"> increase over the net loss of </w:t>
      </w:r>
      <w:r>
        <w:rPr>
          <w:rFonts w:ascii="Times New Roman" w:hAnsi="Times New Roman" w:eastAsia="Times New Roman" w:cs="Times New Roman"/>
          <w:sz w:val="20"/>
        </w:rPr>
        <w:t xml:space="preserve">$4,724,623</w:t>
      </w:r>
      <w:r>
        <w:rPr>
          <w:rFonts w:ascii="Times New Roman" w:hAnsi="Times New Roman" w:eastAsia="Times New Roman" w:cs="Times New Roman"/>
          <w:sz w:val="20"/>
        </w:rPr>
        <w:t xml:space="preserve"> for the same period in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  The increase in net loss was primarily the result of reduced revenues as discussed above.</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 w:type="default"/>
          <w:footerReference r:id="rId27"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Non-GAAP Financial Measures</w:t>
      </w:r>
      <w:bookmarkStart w:id="48237" w:name="Non_GAAP_Financial_Measures"/>
      <w:bookmarkEnd w:id="48237"/>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Below are financial measures of our gross billings, cash-based operating expenses (“Cash Opex”) and Adjusted EBITDA. These are “non-GAAP financial measures” as defined under the rules of the Securities and Exchange Commission (the “SEC”). We use these non-GAAP financial measures to assess the progress of our business and make decisions on where to allocate our resources. As our business evolves, we may make changes in future periods to the key financial metrics that we consider to measure our business.</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define gross billings as the total dollar value of the amounts earned from our customers for the services we performed, or the amounts charged to our customers for their self-service purchase of goods and services on our platforms. This is the amount of our reported revenue plus the cost of payments we made to third-party creators providing the content or sponsorship services which are netted against revenue for GAAP reporting purposes.</w:t>
      </w:r>
    </w:p>
    <w:p>
      <w:pPr>
        <w:ind w:left="1100" w:firstLine="-300" w:right="2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00"/>
        <w:jc w:val="left"/>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	</w:t>
      </w:r>
      <w:r>
        <w:rPr>
          <w:rFonts w:ascii="Times New Roman" w:hAnsi="Times New Roman" w:eastAsia="Times New Roman" w:cs="Times New Roman"/>
          <w:sz w:val="20"/>
        </w:rPr>
        <w:t xml:space="preserve">Gross billings for Marketplace Spend Fees differs from revenue reported in our consolidated statements of operations, which is presented net of the amounts we pay to our third-party creators providing the content or sponsorship services. Gross billings for all other revenue equals the revenue reported in our consolidated statements of operations. We consider this metric to be an important indicator of our performance as it measures the total dollar volume of transactions generated through our marketplaces. Tracking gross billings allows us to monitor the percentage of gross billings that we are able to retain after payments to our creators. Additionally, tracking gross billings is critical as it pertains to our credit risk and cash flow. We invoice our customers based on our services performed or based on their self-service transactions plus our fee. Then we remit the agreed-upon transaction price to the creators. If we do not collect the money from our customers prior to the time of payment to our creators, we could experience large swings in our cash flows. Finally, gross billings allows us to evaluate our transaction totals on an equal basis in order for us to see our contribution margins by revenue type so that we can better understand where we should be allocating our resources.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The following table sets forth a reconciliation from the GAAP measurement of Revenue to our non-GAAP financial measure of gross billings and the percentage change between the periods:</w:t>
      </w:r>
    </w:p>
    <w:tbl>
      <w:tblPr>
        <w:tblW w:type="dxa" w:w="10240"/>
        <w:tblLayout w:type="fixed"/>
        <w:jc w:val="left"/>
      </w:tblPr>
      <w:tblGrid>
        <w:gridCol w:w="5080"/>
        <w:gridCol w:w="110"/>
        <w:gridCol w:w="1113"/>
        <w:gridCol w:w="77"/>
        <w:gridCol w:w="80"/>
        <w:gridCol w:w="110"/>
        <w:gridCol w:w="1113"/>
        <w:gridCol w:w="77"/>
        <w:gridCol w:w="80"/>
        <w:gridCol w:w="110"/>
        <w:gridCol w:w="1113"/>
        <w:gridCol w:w="77"/>
        <w:gridCol w:w="856"/>
        <w:gridCol w:w="244"/>
      </w:tblGrid>
      <w:tr>
        <w:trPr>
          <w:trHeight w:hRule="exact" w:val="500"/>
        </w:trPr>
        <w:tc>
          <w:tcPr>
            <w:tcW w:type="dxa" w:w="50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September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September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bottom w:val="single" w:sz="8"/>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left"/>
              <w:keepNext/>
              <w:keepLines/>
              <w:spacing w:before="40" w:after="40" w:line="240" w:lineRule="auto"/>
              <w:rPr/>
            </w:pPr>
            <w:r>
              <w:rPr/>
            </w:r>
          </w:p>
        </w:tc>
        <w:tc>
          <w:tcPr>
            <w:tcMar>
              <w:left w:type="dxa" w:w="60"/>
              <w:right w:type="dxa" w:w="60"/>
            </w:tcMar>
            <w:hMerge w:val="continue"/>
            <w:tcBorders/>
          </w:tcPr>
          <w:p>
            <w:pPr>
              <w:jc w:val="left"/>
              <w:keepNext/>
              <w:keepLines/>
              <w:spacing w:before="40" w:after="40" w:line="240" w:lineRule="auto"/>
              <w:rPr/>
            </w:pPr>
            <w:r>
              <w:rPr/>
            </w:r>
          </w:p>
        </w:tc>
        <w:tc>
          <w:tcPr>
            <w:tcMar>
              <w:left w:type="dxa" w:w="0"/>
              <w:right w:type="dxa" w:w="6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r>
      <w:tr>
        <w:trPr>
          <w:trHeight w:hRule="exact" w:val="300"/>
        </w:trPr>
        <w:tc>
          <w:tcPr>
            <w:tcW w:type="dxa" w:w="5080"/>
            <w:tcMar>
              <w:left w:type="dxa" w:w="60"/>
              <w:right w:type="dxa" w:w="0"/>
            </w:tcMar>
            <w:hMerge w:val="restart"/>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top w:val="single" w:sz="8" w:space="0"/>
              <w:bottom w:val="single" w:sz="8"/>
            </w:tcBorders>
            <w:hMerge w:val="continue"/>
          </w:tcPr>
          <w:p/>
        </w:tc>
        <w:tc>
          <w:tcPr>
            <w:tcW w:type="dxa" w:w="856"/>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top w:val="single" w:sz="8" w:space="0"/>
              <w:bottom w:val="single" w:sz="8"/>
            </w:tcBorders>
            <w:hMerge w:val="continue"/>
          </w:tcPr>
          <w:p/>
        </w:tc>
      </w:tr>
      <w:tr>
        <w:trPr>
          <w:trHeight w:hRule="exact" w:val="300"/>
        </w:trPr>
        <w:tc>
          <w:tcPr>
            <w:tcW w:type="dxa" w:w="50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Revenue</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5,780,941</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7,089,855</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(1,308,914</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8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Plus transaction costs for third-party creators </w:t>
            </w:r>
            <w:r>
              <w:rPr>
                <w:rFonts w:ascii="Times New Roman" w:hAnsi="Times New Roman" w:eastAsia="Times New Roman" w:cs="Times New Roman"/>
                <w:sz w:val="20"/>
                <w:vertAlign w:val="superscript"/>
              </w:rPr>
              <w:t xml:space="preserve">(1)</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3,437,372</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3,437,372</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1,064,818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1,064,818</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2,372,554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2,372,554</w:t>
            </w:r>
          </w:p>
        </w:tc>
        <w:tc>
          <w:tcPr>
            <w:tcW w:type="dxa" w:w="77"/>
            <w:tcMar>
              <w:left w:type="dxa" w:w="0"/>
              <w:right w:type="dxa" w:w="0"/>
            </w:tcMar>
            <w:tcBorders>
              <w:bottom w:val="single" w:sz="8"/>
            </w:tcBorders>
          </w:tcPr>
          <w:p/>
        </w:tc>
        <w:tc>
          <w:tcPr>
            <w:tcW w:type="dxa" w:w="85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223</w:t>
            </w:r>
          </w:p>
        </w:tc>
        <w:tc>
          <w:tcPr>
            <w:tcW w:type="dxa" w:w="244"/>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80"/>
            <w:tcMar>
              <w:left w:type="dxa" w:w="60"/>
              <w:right w:type="dxa" w:w="4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Gross billings</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9,218,313</w:t>
            </w:r>
          </w:p>
        </w:tc>
        <w:tc>
          <w:tcPr>
            <w:tcW w:type="dxa" w:w="77"/>
            <w:tcMar>
              <w:left w:type="dxa" w:w="0"/>
              <w:right w:type="dxa" w:w="0"/>
            </w:tcMar>
            <w:tcBorders>
              <w:top w:val="single" w:sz="8" w:space="0"/>
              <w:bottom w:val="double" w:sz="4"/>
            </w:tcBorders>
          </w:tcPr>
          <w:p/>
        </w:tc>
        <w:tc>
          <w:tcPr>
            <w:tcW w:type="dxa" w:w="80"/>
            <w:tcMar>
              <w:left w:type="dxa" w:w="0"/>
              <w:right w:type="dxa" w:w="60"/>
            </w:tcMar>
            <w:tcBorders>
              <w:top w:val="single" w:sz="8" w:space="0"/>
              <w:bottom w:val="double" w:sz="4"/>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8,154,673</w:t>
            </w:r>
          </w:p>
        </w:tc>
        <w:tc>
          <w:tcPr>
            <w:tcW w:type="dxa" w:w="77"/>
            <w:tcMar>
              <w:left w:type="dxa" w:w="0"/>
              <w:right w:type="dxa" w:w="0"/>
            </w:tcMar>
            <w:tcBorders>
              <w:top w:val="single" w:sz="8" w:space="0"/>
              <w:bottom w:val="double" w:sz="4"/>
            </w:tcBorders>
          </w:tcPr>
          <w:p/>
        </w:tc>
        <w:tc>
          <w:tcPr>
            <w:tcW w:type="dxa" w:w="80"/>
            <w:tcMar>
              <w:left w:type="dxa" w:w="0"/>
              <w:right w:type="dxa" w:w="60"/>
            </w:tcMar>
            <w:tcBorders>
              <w:top w:val="single" w:sz="8" w:space="0"/>
              <w:bottom w:val="double" w:sz="4"/>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1,063,640</w:t>
            </w:r>
          </w:p>
        </w:tc>
        <w:tc>
          <w:tcPr>
            <w:tcW w:type="dxa" w:w="77"/>
            <w:tcMar>
              <w:left w:type="dxa" w:w="0"/>
              <w:right w:type="dxa" w:w="0"/>
            </w:tcMar>
            <w:tcBorders>
              <w:top w:val="single" w:sz="8" w:space="0"/>
              <w:bottom w:val="double" w:sz="4"/>
            </w:tcBorders>
          </w:tcPr>
          <w:p/>
        </w:tc>
        <w:tc>
          <w:tcPr>
            <w:tcW w:type="dxa" w:w="856"/>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w:t>
            </w:r>
          </w:p>
        </w:tc>
        <w:tc>
          <w:tcPr>
            <w:tcW w:type="dxa" w:w="244"/>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left"/>
        <w:spacing w:before="60" w:after="140" w:line="240" w:lineRule="auto"/>
        <w:rPr>
          <w:rFonts w:ascii="Times New Roman" w:hAnsi="Times New Roman" w:eastAsia="Times New Roman" w:cs="Times New Roman"/>
          <w:sz w:val="20"/>
        </w:rPr>
      </w:pPr>
      <w:r>
        <w:rPr>
          <w:rFonts w:ascii="Times New Roman" w:hAnsi="Times New Roman" w:eastAsia="Times New Roman" w:cs="Times New Roman"/>
          <w:sz w:val="20"/>
        </w:rPr>
      </w:r>
    </w:p>
    <w:tbl>
      <w:tblPr>
        <w:tblW w:type="dxa" w:w="10240"/>
        <w:tblLayout w:type="fixed"/>
        <w:jc w:val="left"/>
      </w:tblPr>
      <w:tblGrid>
        <w:gridCol w:w="5080"/>
        <w:gridCol w:w="110"/>
        <w:gridCol w:w="1113"/>
        <w:gridCol w:w="77"/>
        <w:gridCol w:w="80"/>
        <w:gridCol w:w="110"/>
        <w:gridCol w:w="1113"/>
        <w:gridCol w:w="77"/>
        <w:gridCol w:w="80"/>
        <w:gridCol w:w="110"/>
        <w:gridCol w:w="1113"/>
        <w:gridCol w:w="77"/>
        <w:gridCol w:w="856"/>
        <w:gridCol w:w="244"/>
      </w:tblGrid>
      <w:tr>
        <w:trPr>
          <w:trHeight w:hRule="exact" w:val="500"/>
        </w:trPr>
        <w:tc>
          <w:tcPr>
            <w:tcW w:type="dxa" w:w="50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br w:type="textWrapping"/>
              <w:t xml:space="preserve">September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br w:type="textWrapping"/>
              <w:t xml:space="preserve">September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bottom w:val="single" w:sz="8"/>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left"/>
              <w:keepNext/>
              <w:keepLines/>
              <w:spacing w:before="40" w:after="40" w:line="240" w:lineRule="auto"/>
              <w:rPr/>
            </w:pPr>
            <w:r>
              <w:rPr/>
            </w:r>
          </w:p>
        </w:tc>
        <w:tc>
          <w:tcPr>
            <w:tcMar>
              <w:left w:type="dxa" w:w="60"/>
              <w:right w:type="dxa" w:w="60"/>
            </w:tcMar>
            <w:hMerge w:val="continue"/>
            <w:tcBorders/>
          </w:tcPr>
          <w:p>
            <w:pPr>
              <w:jc w:val="left"/>
              <w:keepNext/>
              <w:keepLines/>
              <w:spacing w:before="40" w:after="40" w:line="240" w:lineRule="auto"/>
              <w:rPr/>
            </w:pPr>
            <w:r>
              <w:rPr/>
            </w:r>
          </w:p>
        </w:tc>
        <w:tc>
          <w:tcPr>
            <w:tcMar>
              <w:left w:type="dxa" w:w="0"/>
              <w:right w:type="dxa" w:w="6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r>
      <w:tr>
        <w:trPr>
          <w:trHeight w:hRule="exact" w:val="300"/>
        </w:trPr>
        <w:tc>
          <w:tcPr>
            <w:tcW w:type="dxa" w:w="5080"/>
            <w:tcMar>
              <w:left w:type="dxa" w:w="60"/>
              <w:right w:type="dxa" w:w="0"/>
            </w:tcMar>
            <w:hMerge w:val="restart"/>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top w:val="single" w:sz="8" w:space="0"/>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top w:val="single" w:sz="8" w:space="0"/>
              <w:bottom w:val="single" w:sz="8"/>
            </w:tcBorders>
            <w:hMerge w:val="continue"/>
          </w:tcPr>
          <w:p/>
        </w:tc>
        <w:tc>
          <w:tcPr>
            <w:tcW w:type="dxa" w:w="856"/>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top w:val="single" w:sz="8" w:space="0"/>
              <w:bottom w:val="single" w:sz="8"/>
            </w:tcBorders>
            <w:hMerge w:val="continue"/>
          </w:tcPr>
          <w:p/>
        </w:tc>
      </w:tr>
      <w:tr>
        <w:trPr>
          <w:trHeight w:hRule="exact" w:val="300"/>
        </w:trPr>
        <w:tc>
          <w:tcPr>
            <w:tcW w:type="dxa" w:w="508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Revenue</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13,798,342</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17,637,264</w:t>
            </w:r>
          </w:p>
        </w:tc>
        <w:tc>
          <w:tcPr>
            <w:tcW w:type="dxa" w:w="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(3,838,922</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8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Plus transaction costs for third-party creators </w:t>
            </w:r>
            <w:r>
              <w:rPr>
                <w:rFonts w:ascii="Times New Roman" w:hAnsi="Times New Roman" w:eastAsia="Times New Roman" w:cs="Times New Roman"/>
                <w:sz w:val="20"/>
                <w:vertAlign w:val="superscript"/>
              </w:rPr>
              <w:t xml:space="preserve">(1)</w:t>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5,031,875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5,031,875</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3,700,137</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3,700,137</w:t>
            </w:r>
          </w:p>
        </w:tc>
        <w:tc>
          <w:tcPr>
            <w:tcW w:type="dxa" w:w="77"/>
            <w:tcMar>
              <w:left w:type="dxa" w:w="0"/>
              <w:right w:type="dxa" w:w="0"/>
            </w:tcMar>
            <w:tcBorders>
              <w:bottom w:val="single" w:sz="8"/>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2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1,331,738</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1,331,738</w:t>
            </w:r>
          </w:p>
        </w:tc>
        <w:tc>
          <w:tcPr>
            <w:tcW w:type="dxa" w:w="77"/>
            <w:tcMar>
              <w:left w:type="dxa" w:w="0"/>
              <w:right w:type="dxa" w:w="0"/>
            </w:tcMar>
            <w:tcBorders>
              <w:bottom w:val="single" w:sz="8"/>
            </w:tcBorders>
          </w:tcPr>
          <w:p/>
        </w:tc>
        <w:tc>
          <w:tcPr>
            <w:tcW w:type="dxa" w:w="85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w:t>
            </w:r>
          </w:p>
        </w:tc>
        <w:tc>
          <w:tcPr>
            <w:tcW w:type="dxa" w:w="244"/>
            <w:tcMar>
              <w:left w:type="dxa" w:w="0"/>
              <w:right w:type="dxa" w:w="0"/>
            </w:tcMar>
            <w:tcBorders>
              <w:bottom w:val="single" w:sz="8"/>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5080"/>
            <w:tcMar>
              <w:left w:type="dxa" w:w="60"/>
              <w:right w:type="dxa" w:w="4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Gross billings</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18,830,217</w:t>
            </w:r>
          </w:p>
        </w:tc>
        <w:tc>
          <w:tcPr>
            <w:tcW w:type="dxa" w:w="77"/>
            <w:tcMar>
              <w:left w:type="dxa" w:w="0"/>
              <w:right w:type="dxa" w:w="0"/>
            </w:tcMar>
            <w:tcBorders>
              <w:top w:val="single" w:sz="8" w:space="0"/>
              <w:bottom w:val="double" w:sz="4"/>
            </w:tcBorders>
          </w:tcPr>
          <w:p/>
        </w:tc>
        <w:tc>
          <w:tcPr>
            <w:tcW w:type="dxa" w:w="80"/>
            <w:tcMar>
              <w:left w:type="dxa" w:w="0"/>
              <w:right w:type="dxa" w:w="60"/>
            </w:tcMar>
            <w:tcBorders>
              <w:top w:val="single" w:sz="8" w:space="0"/>
              <w:bottom w:val="double" w:sz="4"/>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21,337,401</w:t>
            </w:r>
          </w:p>
        </w:tc>
        <w:tc>
          <w:tcPr>
            <w:tcW w:type="dxa" w:w="77"/>
            <w:tcMar>
              <w:left w:type="dxa" w:w="0"/>
              <w:right w:type="dxa" w:w="0"/>
            </w:tcMar>
            <w:tcBorders>
              <w:top w:val="single" w:sz="8" w:space="0"/>
              <w:bottom w:val="double" w:sz="4"/>
            </w:tcBorders>
          </w:tcPr>
          <w:p/>
        </w:tc>
        <w:tc>
          <w:tcPr>
            <w:tcW w:type="dxa" w:w="80"/>
            <w:tcMar>
              <w:left w:type="dxa" w:w="0"/>
              <w:right w:type="dxa" w:w="60"/>
            </w:tcMar>
            <w:tcBorders>
              <w:top w:val="single" w:sz="8" w:space="0"/>
              <w:bottom w:val="double" w:sz="4"/>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1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(2,507,184</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56"/>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w:t>
            </w:r>
          </w:p>
        </w:tc>
        <w:tc>
          <w:tcPr>
            <w:tcW w:type="dxa" w:w="244"/>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r>
        <w:rPr>
          <w:rFonts w:ascii="Times New Roman" w:hAnsi="Times New Roman" w:eastAsia="Times New Roman" w:cs="Times New Roman"/>
          <w:sz w:val="18"/>
        </w:rPr>
        <w:t xml:space="preserve">(1) </w:t>
      </w:r>
      <w:r>
        <w:rPr>
          <w:rFonts w:ascii="Times New Roman" w:hAnsi="Times New Roman" w:eastAsia="Times New Roman" w:cs="Times New Roman"/>
          <w:sz w:val="20"/>
        </w:rPr>
        <w:t xml:space="preserve"> Transaction costs related to third-party creators for services provided for the Marketplace Spend Fees portion of our revenue reported on a net basis for GAAP.</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following table sets forth our gross billings by revenue type, the percentage of total gross billings by revenue type, and the percentage of change between the periods:</w:t>
      </w:r>
    </w:p>
    <w:tbl>
      <w:tblPr>
        <w:tblW w:type="dxa" w:w="10240"/>
        <w:tblLayout w:type="fixed"/>
        <w:jc w:val="left"/>
      </w:tblPr>
      <w:tblGrid>
        <w:gridCol w:w="4360"/>
        <w:gridCol w:w="110"/>
        <w:gridCol w:w="1013"/>
        <w:gridCol w:w="77"/>
        <w:gridCol w:w="423"/>
        <w:gridCol w:w="177"/>
        <w:gridCol w:w="80"/>
        <w:gridCol w:w="110"/>
        <w:gridCol w:w="1013"/>
        <w:gridCol w:w="77"/>
        <w:gridCol w:w="423"/>
        <w:gridCol w:w="177"/>
        <w:gridCol w:w="80"/>
        <w:gridCol w:w="110"/>
        <w:gridCol w:w="913"/>
        <w:gridCol w:w="77"/>
        <w:gridCol w:w="776"/>
        <w:gridCol w:w="244"/>
      </w:tblGrid>
      <w:tr>
        <w:trPr>
          <w:trHeight w:hRule="exact" w:val="300"/>
        </w:trPr>
        <w:tc>
          <w:tcPr>
            <w:tcW w:type="dxa" w:w="436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r>
          </w:p>
        </w:tc>
        <w:tc>
          <w:tcPr>
            <w:tcMar>
              <w:left w:type="dxa" w:w="0"/>
              <w:right w:type="dxa" w:w="6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left"/>
              <w:keepNext/>
              <w:keepLines/>
              <w:spacing w:before="40" w:after="40" w:line="240" w:lineRule="auto"/>
              <w:rPr/>
            </w:pPr>
            <w:r>
              <w:rPr/>
            </w:r>
          </w:p>
        </w:tc>
        <w:tc>
          <w:tcPr>
            <w:tcMar>
              <w:left w:type="dxa" w:w="60"/>
              <w:right w:type="dxa" w:w="60"/>
            </w:tcMar>
            <w:tcBorders>
              <w:bottom w:val="single" w:sz="8"/>
            </w:tcBorders>
            <w:hMerge w:val="continue"/>
          </w:tcPr>
          <w:p>
            <w:pPr>
              <w:jc w:val="left"/>
              <w:keepNext/>
              <w:keepLines/>
              <w:spacing w:before="40" w:after="40" w:line="240" w:lineRule="auto"/>
              <w:rPr/>
            </w:pPr>
            <w:r>
              <w:rPr/>
            </w:r>
          </w:p>
        </w:tc>
        <w:tc>
          <w:tcPr>
            <w:tcMar>
              <w:left w:type="dxa" w:w="0"/>
              <w:right w:type="dxa" w:w="60"/>
            </w:tcMar>
            <w:tcBorders>
              <w:bottom w:val="single" w:sz="8"/>
            </w:tcBorders>
            <w:hMerge w:val="continue"/>
          </w:tcPr>
          <w:p/>
        </w:tc>
        <w:tc>
          <w:tcPr>
            <w:tcW w:type="dxa" w:w="776"/>
            <w:tcMar>
              <w:left w:type="dxa" w:w="60"/>
              <w:right w:type="dxa" w:w="60"/>
            </w:tcMar>
            <w:tcBorders>
              <w:bottom w:val="single" w:sz="8"/>
            </w:tcBorders>
            <w:vAlign w:val="bottom"/>
            <w:hMerge w:val="restart"/>
          </w:tcPr>
          <w:p>
            <w:pPr>
              <w:jc w:val="left"/>
              <w:keepNext/>
              <w:keepLines/>
              <w:spacing w:before="40" w:after="40" w:line="240" w:lineRule="auto"/>
              <w:rPr/>
            </w:pPr>
            <w:r>
              <w:rPr/>
            </w:r>
          </w:p>
        </w:tc>
        <w:tc>
          <w:tcPr>
            <w:tcMar>
              <w:left w:type="dxa" w:w="0"/>
              <w:right w:type="dxa" w:w="60"/>
            </w:tcMar>
            <w:tcBorders>
              <w:bottom w:val="single" w:sz="8"/>
            </w:tcBorders>
            <w:hMerge w:val="continue"/>
          </w:tcPr>
          <w:p/>
        </w:tc>
      </w:tr>
      <w:tr>
        <w:trPr>
          <w:trHeight w:hRule="exact" w:val="300"/>
        </w:trPr>
        <w:tc>
          <w:tcPr>
            <w:tcW w:type="dxa" w:w="436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2018</w:t>
            </w:r>
          </w:p>
        </w:tc>
        <w:tc>
          <w:tcPr>
            <w:tcMar>
              <w:left w:type="dxa" w:w="60"/>
              <w:right w:type="dxa" w:w="60"/>
            </w:tcMar>
            <w:hMerge w:val="continue"/>
            <w:tcBorders>
              <w:top w:val="single" w:sz="8" w:space="0"/>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2018</w:t>
            </w:r>
          </w:p>
        </w:tc>
        <w:tc>
          <w:tcPr>
            <w:tcMar>
              <w:left w:type="dxa" w:w="0"/>
              <w:right w:type="dxa" w:w="60"/>
            </w:tcMar>
            <w:hMerge w:val="continue"/>
            <w:tcBorders>
              <w:top w:val="single" w:sz="8" w:space="0"/>
            </w:tcBorders>
          </w:tcPr>
          <w:p/>
        </w:tc>
        <w:tc>
          <w:tcPr>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Mar>
              <w:left w:type="dxa" w:w="0"/>
              <w:right w:type="dxa" w:w="0"/>
            </w:tcMar>
            <w:hMerge w:val="continue"/>
            <w:tcBorders>
              <w:top w:val="single" w:sz="8" w:space="0"/>
            </w:tcBorders>
          </w:tcPr>
          <w:p/>
        </w:tc>
        <w:tc>
          <w:tcPr>
            <w:tcW w:type="dxa" w:w="80"/>
            <w:tcMar>
              <w:left w:type="dxa" w:w="0"/>
              <w:right w:type="dxa" w:w="0"/>
            </w:tcMar>
            <w:hMerge w:val="restart"/>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hMerge w:val="restart"/>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2017</w:t>
            </w:r>
          </w:p>
        </w:tc>
        <w:tc>
          <w:tcPr>
            <w:tcMar>
              <w:left w:type="dxa" w:w="60"/>
              <w:right w:type="dxa" w:w="60"/>
            </w:tcMar>
            <w:hMerge w:val="continue"/>
            <w:tcBorders>
              <w:top w:val="single" w:sz="8" w:space="0"/>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2017</w:t>
            </w:r>
          </w:p>
        </w:tc>
        <w:tc>
          <w:tcPr>
            <w:tcMar>
              <w:left w:type="dxa" w:w="0"/>
              <w:right w:type="dxa" w:w="60"/>
            </w:tcMar>
            <w:hMerge w:val="continue"/>
            <w:tcBorders>
              <w:top w:val="single" w:sz="8" w:space="0"/>
            </w:tcBorders>
          </w:tcPr>
          <w:p/>
        </w:tc>
        <w:tc>
          <w:tcPr>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Mar>
              <w:left w:type="dxa" w:w="0"/>
              <w:right w:type="dxa" w:w="0"/>
            </w:tcMar>
            <w:hMerge w:val="continue"/>
            <w:tcBorders>
              <w:top w:val="single" w:sz="8" w:space="0"/>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bottom w:val="single" w:sz="8"/>
            </w:tcBorders>
            <w:hMerge w:val="continue"/>
          </w:tcPr>
          <w:p/>
        </w:tc>
        <w:tc>
          <w:tcPr>
            <w:tcW w:type="dxa" w:w="776"/>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bottom w:val="single" w:sz="8"/>
            </w:tcBorders>
            <w:hMerge w:val="continue"/>
          </w:tcPr>
          <w:p/>
        </w:tc>
      </w:tr>
      <w:tr>
        <w:trPr>
          <w:trHeight w:hRule="exact" w:val="280"/>
        </w:trPr>
        <w:tc>
          <w:tcPr>
            <w:tcW w:type="dxa" w:w="43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Managed Services</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4,859,435</w:t>
            </w:r>
          </w:p>
        </w:tc>
        <w:tc>
          <w:tcPr>
            <w:tcW w:type="dxa" w:w="77"/>
            <w:tcMar>
              <w:left w:type="dxa" w:w="0"/>
              <w:right w:type="dxa" w:w="0"/>
            </w:tcMar>
            <w:tcBorders>
              <w:top w:val="single" w:sz="8" w:space="0"/>
            </w:tcBorders>
          </w:tcPr>
          <w:p/>
        </w:tc>
        <w:tc>
          <w:tcPr>
            <w:tcW w:type="dxa" w:w="4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w:t>
            </w:r>
          </w:p>
        </w:tc>
        <w:tc>
          <w:tcPr>
            <w:tcW w:type="dxa" w:w="177"/>
            <w:tcMar>
              <w:left w:type="dxa" w:w="0"/>
              <w:right w:type="dxa" w:w="0"/>
            </w:tcMar>
            <w:tcBorders>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6,997,390</w:t>
            </w:r>
          </w:p>
        </w:tc>
        <w:tc>
          <w:tcPr>
            <w:tcW w:type="dxa" w:w="77"/>
            <w:tcMar>
              <w:left w:type="dxa" w:w="0"/>
              <w:right w:type="dxa" w:w="0"/>
            </w:tcMar>
            <w:tcBorders>
              <w:top w:val="single" w:sz="8" w:space="0"/>
            </w:tcBorders>
          </w:tcPr>
          <w:p/>
        </w:tc>
        <w:tc>
          <w:tcPr>
            <w:tcW w:type="dxa" w:w="4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86</w:t>
            </w:r>
          </w:p>
        </w:tc>
        <w:tc>
          <w:tcPr>
            <w:tcW w:type="dxa" w:w="177"/>
            <w:tcMar>
              <w:left w:type="dxa" w:w="0"/>
              <w:right w:type="dxa" w:w="0"/>
            </w:tcMar>
            <w:tcBorders>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(2,137,955</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3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Marketplace Spend Fees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3,191,484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3,191,484</w:t>
            </w:r>
          </w:p>
        </w:tc>
        <w:tc>
          <w:tcPr>
            <w:tcW w:type="dxa" w:w="77"/>
            <w:tcMar>
              <w:left w:type="dxa" w:w="0"/>
              <w:right w:type="dxa" w:w="0"/>
            </w:tcMar>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35</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58,863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58,863</w:t>
            </w:r>
          </w:p>
        </w:tc>
        <w:tc>
          <w:tcPr>
            <w:tcW w:type="dxa" w:w="77"/>
            <w:tcMar>
              <w:left w:type="dxa" w:w="0"/>
              <w:right w:type="dxa" w:w="0"/>
            </w:tcMar>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3,132,621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3,132,621</w:t>
            </w:r>
          </w:p>
        </w:tc>
        <w:tc>
          <w:tcPr>
            <w:tcW w:type="dxa" w:w="77"/>
            <w:tcMar>
              <w:left w:type="dxa" w:w="0"/>
              <w:right w:type="dxa" w:w="0"/>
            </w:tcMar>
            <w:tcBorders/>
          </w:tcPr>
          <w:p/>
        </w:tc>
        <w:tc>
          <w:tcPr>
            <w:tcW w:type="dxa" w:w="77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5,322</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3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License Fees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485,651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485,651</w:t>
            </w:r>
          </w:p>
        </w:tc>
        <w:tc>
          <w:tcPr>
            <w:tcW w:type="dxa" w:w="77"/>
            <w:tcMar>
              <w:left w:type="dxa" w:w="0"/>
              <w:right w:type="dxa" w:w="0"/>
            </w:tcMar>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9,353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9,353</w:t>
            </w:r>
          </w:p>
        </w:tc>
        <w:tc>
          <w:tcPr>
            <w:tcW w:type="dxa" w:w="77"/>
            <w:tcMar>
              <w:left w:type="dxa" w:w="0"/>
              <w:right w:type="dxa" w:w="0"/>
            </w:tcMar>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476,298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476,298</w:t>
            </w:r>
          </w:p>
        </w:tc>
        <w:tc>
          <w:tcPr>
            <w:tcW w:type="dxa" w:w="77"/>
            <w:tcMar>
              <w:left w:type="dxa" w:w="0"/>
              <w:right w:type="dxa" w:w="0"/>
            </w:tcMar>
            <w:tcBorders/>
          </w:tcPr>
          <w:p/>
        </w:tc>
        <w:tc>
          <w:tcPr>
            <w:tcW w:type="dxa" w:w="77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5,092</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3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Legacy Workflow</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673,065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673,065</w:t>
            </w:r>
          </w:p>
        </w:tc>
        <w:tc>
          <w:tcPr>
            <w:tcW w:type="dxa" w:w="77"/>
            <w:tcMar>
              <w:left w:type="dxa" w:w="0"/>
              <w:right w:type="dxa" w:w="0"/>
            </w:tcMar>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1,082,932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1,082,932</w:t>
            </w:r>
          </w:p>
        </w:tc>
        <w:tc>
          <w:tcPr>
            <w:tcW w:type="dxa" w:w="77"/>
            <w:tcMar>
              <w:left w:type="dxa" w:w="0"/>
              <w:right w:type="dxa" w:w="0"/>
            </w:tcMar>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(409,867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(409,867</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3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8,678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8,678</w:t>
            </w:r>
          </w:p>
        </w:tc>
        <w:tc>
          <w:tcPr>
            <w:tcW w:type="dxa" w:w="77"/>
            <w:tcMar>
              <w:left w:type="dxa" w:w="0"/>
              <w:right w:type="dxa" w:w="0"/>
            </w:tcMar>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6,135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6,135</w:t>
            </w:r>
          </w:p>
        </w:tc>
        <w:tc>
          <w:tcPr>
            <w:tcW w:type="dxa" w:w="77"/>
            <w:tcMar>
              <w:left w:type="dxa" w:w="0"/>
              <w:right w:type="dxa" w:w="0"/>
            </w:tcMar>
            <w:tcBorders>
              <w:bottom w:val="single" w:sz="8"/>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2,543</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2,543</w:t>
            </w:r>
          </w:p>
        </w:tc>
        <w:tc>
          <w:tcPr>
            <w:tcW w:type="dxa" w:w="77"/>
            <w:tcMar>
              <w:left w:type="dxa" w:w="0"/>
              <w:right w:type="dxa" w:w="0"/>
            </w:tcMar>
            <w:tcBorders/>
          </w:tcPr>
          <w:p/>
        </w:tc>
        <w:tc>
          <w:tcPr>
            <w:tcW w:type="dxa" w:w="77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41</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36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gross billings</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9,218,313</w:t>
            </w:r>
          </w:p>
        </w:tc>
        <w:tc>
          <w:tcPr>
            <w:tcW w:type="dxa" w:w="77"/>
            <w:tcMar>
              <w:left w:type="dxa" w:w="0"/>
              <w:right w:type="dxa" w:w="0"/>
            </w:tcMar>
            <w:tcBorders>
              <w:top w:val="single" w:sz="8" w:space="0"/>
              <w:bottom w:val="double" w:sz="4"/>
            </w:tcBorders>
          </w:tcPr>
          <w:p/>
        </w:tc>
        <w:tc>
          <w:tcPr>
            <w:tcW w:type="dxa" w:w="4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177"/>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8,154,673</w:t>
            </w:r>
          </w:p>
        </w:tc>
        <w:tc>
          <w:tcPr>
            <w:tcW w:type="dxa" w:w="77"/>
            <w:tcMar>
              <w:left w:type="dxa" w:w="0"/>
              <w:right w:type="dxa" w:w="0"/>
            </w:tcMar>
            <w:tcBorders>
              <w:top w:val="single" w:sz="8" w:space="0"/>
              <w:bottom w:val="double" w:sz="4"/>
            </w:tcBorders>
          </w:tcPr>
          <w:p/>
        </w:tc>
        <w:tc>
          <w:tcPr>
            <w:tcW w:type="dxa" w:w="4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177"/>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1,063,640</w:t>
            </w:r>
          </w:p>
        </w:tc>
        <w:tc>
          <w:tcPr>
            <w:tcW w:type="dxa" w:w="77"/>
            <w:tcMar>
              <w:left w:type="dxa" w:w="0"/>
              <w:right w:type="dxa" w:w="0"/>
            </w:tcMar>
            <w:tcBorders>
              <w:top w:val="single" w:sz="8" w:space="0"/>
              <w:bottom w:val="double" w:sz="4"/>
            </w:tcBorders>
          </w:tcPr>
          <w:p/>
        </w:tc>
        <w:tc>
          <w:tcPr>
            <w:tcW w:type="dxa" w:w="776"/>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w:t>
            </w:r>
          </w:p>
        </w:tc>
        <w:tc>
          <w:tcPr>
            <w:tcW w:type="dxa" w:w="244"/>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left"/>
        <w:spacing w:before="60" w:after="140" w:line="240" w:lineRule="auto"/>
        <w:rPr>
          <w:rFonts w:ascii="Times New Roman" w:hAnsi="Times New Roman" w:eastAsia="Times New Roman" w:cs="Times New Roman"/>
          <w:sz w:val="20"/>
        </w:rPr>
      </w:pPr>
      <w:r>
        <w:rPr>
          <w:rFonts w:ascii="Times New Roman" w:hAnsi="Times New Roman" w:eastAsia="Times New Roman" w:cs="Times New Roman"/>
          <w:sz w:val="20"/>
        </w:rPr>
      </w:r>
    </w:p>
    <w:tbl>
      <w:tblPr>
        <w:tblW w:type="dxa" w:w="10240"/>
        <w:tblLayout w:type="fixed"/>
        <w:jc w:val="left"/>
      </w:tblPr>
      <w:tblGrid>
        <w:gridCol w:w="4360"/>
        <w:gridCol w:w="110"/>
        <w:gridCol w:w="1013"/>
        <w:gridCol w:w="77"/>
        <w:gridCol w:w="423"/>
        <w:gridCol w:w="177"/>
        <w:gridCol w:w="80"/>
        <w:gridCol w:w="110"/>
        <w:gridCol w:w="1013"/>
        <w:gridCol w:w="77"/>
        <w:gridCol w:w="423"/>
        <w:gridCol w:w="177"/>
        <w:gridCol w:w="80"/>
        <w:gridCol w:w="110"/>
        <w:gridCol w:w="913"/>
        <w:gridCol w:w="77"/>
        <w:gridCol w:w="776"/>
        <w:gridCol w:w="244"/>
      </w:tblGrid>
      <w:tr>
        <w:trPr>
          <w:trHeight w:hRule="exact" w:val="300"/>
        </w:trPr>
        <w:tc>
          <w:tcPr>
            <w:tcW w:type="dxa" w:w="436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r>
          </w:p>
        </w:tc>
        <w:tc>
          <w:tcPr>
            <w:tcMar>
              <w:left w:type="dxa" w:w="0"/>
              <w:right w:type="dxa" w:w="6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left"/>
              <w:keepNext/>
              <w:keepLines/>
              <w:spacing w:before="40" w:after="40" w:line="240" w:lineRule="auto"/>
              <w:rPr/>
            </w:pPr>
            <w:r>
              <w:rPr/>
            </w:r>
          </w:p>
        </w:tc>
        <w:tc>
          <w:tcPr>
            <w:tcMar>
              <w:left w:type="dxa" w:w="60"/>
              <w:right w:type="dxa" w:w="60"/>
            </w:tcMar>
            <w:tcBorders>
              <w:bottom w:val="single" w:sz="8"/>
            </w:tcBorders>
            <w:hMerge w:val="continue"/>
          </w:tcPr>
          <w:p>
            <w:pPr>
              <w:jc w:val="left"/>
              <w:keepNext/>
              <w:keepLines/>
              <w:spacing w:before="40" w:after="40" w:line="240" w:lineRule="auto"/>
              <w:rPr/>
            </w:pPr>
            <w:r>
              <w:rPr/>
            </w:r>
          </w:p>
        </w:tc>
        <w:tc>
          <w:tcPr>
            <w:tcMar>
              <w:left w:type="dxa" w:w="0"/>
              <w:right w:type="dxa" w:w="60"/>
            </w:tcMar>
            <w:tcBorders>
              <w:bottom w:val="single" w:sz="8"/>
            </w:tcBorders>
            <w:hMerge w:val="continue"/>
          </w:tcPr>
          <w:p/>
        </w:tc>
        <w:tc>
          <w:tcPr>
            <w:tcW w:type="dxa" w:w="776"/>
            <w:tcMar>
              <w:left w:type="dxa" w:w="60"/>
              <w:right w:type="dxa" w:w="60"/>
            </w:tcMar>
            <w:tcBorders>
              <w:bottom w:val="single" w:sz="8"/>
            </w:tcBorders>
            <w:vAlign w:val="bottom"/>
            <w:hMerge w:val="restart"/>
          </w:tcPr>
          <w:p>
            <w:pPr>
              <w:jc w:val="left"/>
              <w:keepNext/>
              <w:keepLines/>
              <w:spacing w:before="40" w:after="40" w:line="240" w:lineRule="auto"/>
              <w:rPr/>
            </w:pPr>
            <w:r>
              <w:rPr/>
            </w:r>
          </w:p>
        </w:tc>
        <w:tc>
          <w:tcPr>
            <w:tcMar>
              <w:left w:type="dxa" w:w="0"/>
              <w:right w:type="dxa" w:w="60"/>
            </w:tcMar>
            <w:tcBorders>
              <w:bottom w:val="single" w:sz="8"/>
            </w:tcBorders>
            <w:hMerge w:val="continue"/>
          </w:tcPr>
          <w:p/>
        </w:tc>
      </w:tr>
      <w:tr>
        <w:trPr>
          <w:trHeight w:hRule="exact" w:val="300"/>
        </w:trPr>
        <w:tc>
          <w:tcPr>
            <w:tcW w:type="dxa" w:w="436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2018</w:t>
            </w:r>
          </w:p>
        </w:tc>
        <w:tc>
          <w:tcPr>
            <w:tcMar>
              <w:left w:type="dxa" w:w="60"/>
              <w:right w:type="dxa" w:w="60"/>
            </w:tcMar>
            <w:hMerge w:val="continue"/>
            <w:tcBorders>
              <w:top w:val="single" w:sz="8" w:space="0"/>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2018</w:t>
            </w:r>
          </w:p>
        </w:tc>
        <w:tc>
          <w:tcPr>
            <w:tcMar>
              <w:left w:type="dxa" w:w="0"/>
              <w:right w:type="dxa" w:w="60"/>
            </w:tcMar>
            <w:hMerge w:val="continue"/>
            <w:tcBorders>
              <w:top w:val="single" w:sz="8" w:space="0"/>
            </w:tcBorders>
          </w:tcPr>
          <w:p/>
        </w:tc>
        <w:tc>
          <w:tcPr>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Mar>
              <w:left w:type="dxa" w:w="0"/>
              <w:right w:type="dxa" w:w="0"/>
            </w:tcMar>
            <w:hMerge w:val="continue"/>
            <w:tcBorders>
              <w:top w:val="single" w:sz="8" w:space="0"/>
            </w:tcBorders>
          </w:tcPr>
          <w:p/>
        </w:tc>
        <w:tc>
          <w:tcPr>
            <w:tcW w:type="dxa" w:w="80"/>
            <w:tcMar>
              <w:left w:type="dxa" w:w="0"/>
              <w:right w:type="dxa" w:w="0"/>
            </w:tcMar>
            <w:hMerge w:val="restart"/>
            <w:tcBorders>
              <w:top w:val="single" w:sz="8" w:space="0"/>
            </w:tcBorders>
            <w:vAlign w:val="bottom"/>
          </w:tcPr>
          <w:p>
            <w:pPr>
              <w:jc w:val="left"/>
              <w:keepNext/>
              <w:keepLines/>
              <w:spacing w:before="40" w:after="40" w:line="240" w:lineRule="auto"/>
              <w:rPr/>
            </w:pPr>
            <w:r>
              <w:rPr/>
            </w:r>
          </w:p>
        </w:tc>
        <w:tc>
          <w:tcPr>
            <w:tcW w:type="dxa" w:w="0"/>
            <w:tcMar>
              <w:left w:type="dxa" w:w="60"/>
              <w:right w:type="dxa" w:w="60"/>
            </w:tcMar>
            <w:hMerge w:val="restart"/>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2017</w:t>
            </w:r>
          </w:p>
        </w:tc>
        <w:tc>
          <w:tcPr>
            <w:tcMar>
              <w:left w:type="dxa" w:w="60"/>
              <w:right w:type="dxa" w:w="60"/>
            </w:tcMar>
            <w:hMerge w:val="continue"/>
            <w:tcBorders>
              <w:top w:val="single" w:sz="8" w:space="0"/>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2017</w:t>
            </w:r>
          </w:p>
        </w:tc>
        <w:tc>
          <w:tcPr>
            <w:tcMar>
              <w:left w:type="dxa" w:w="0"/>
              <w:right w:type="dxa" w:w="60"/>
            </w:tcMar>
            <w:hMerge w:val="continue"/>
            <w:tcBorders>
              <w:top w:val="single" w:sz="8" w:space="0"/>
            </w:tcBorders>
          </w:tcPr>
          <w:p/>
        </w:tc>
        <w:tc>
          <w:tcPr>
            <w:tcMar>
              <w:left w:type="dxa" w:w="60"/>
              <w:right w:type="dxa" w:w="0"/>
            </w:tcMar>
            <w:hMerge w:val="continue"/>
            <w:tcBorders>
              <w:top w:val="single" w:sz="8" w:space="0"/>
            </w:tcBorders>
            <w:vAlign w:val="bottom"/>
          </w:tcPr>
          <w:p>
            <w:pPr>
              <w:jc w:val="left"/>
              <w:keepNext/>
              <w:keepLines/>
              <w:spacing w:before="40" w:after="40" w:line="240" w:lineRule="auto"/>
              <w:rPr/>
            </w:pPr>
            <w:r>
              <w:rPr/>
            </w:r>
          </w:p>
        </w:tc>
        <w:tc>
          <w:tcPr>
            <w:tcMar>
              <w:left w:type="dxa" w:w="0"/>
              <w:right w:type="dxa" w:w="0"/>
            </w:tcMar>
            <w:hMerge w:val="continue"/>
            <w:tcBorders>
              <w:top w:val="single" w:sz="8" w:space="0"/>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60"/>
              <w:right w:type="dxa" w:w="60"/>
            </w:tcMar>
            <w:tcBorders>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bottom w:val="single" w:sz="8"/>
            </w:tcBorders>
            <w:hMerge w:val="continue"/>
          </w:tcPr>
          <w:p/>
        </w:tc>
        <w:tc>
          <w:tcPr>
            <w:tcW w:type="dxa" w:w="776"/>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Change</w:t>
            </w:r>
          </w:p>
        </w:tc>
        <w:tc>
          <w:tcPr>
            <w:tcMar>
              <w:left w:type="dxa" w:w="0"/>
              <w:right w:type="dxa" w:w="60"/>
            </w:tcMar>
            <w:tcBorders>
              <w:bottom w:val="single" w:sz="8"/>
            </w:tcBorders>
            <w:hMerge w:val="continue"/>
          </w:tcPr>
          <w:p/>
        </w:tc>
      </w:tr>
      <w:tr>
        <w:trPr>
          <w:trHeight w:hRule="exact" w:val="280"/>
        </w:trPr>
        <w:tc>
          <w:tcPr>
            <w:tcW w:type="dxa" w:w="43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Managed Services</w:t>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12,660,949</w:t>
            </w:r>
          </w:p>
        </w:tc>
        <w:tc>
          <w:tcPr>
            <w:tcW w:type="dxa" w:w="77"/>
            <w:tcMar>
              <w:left w:type="dxa" w:w="0"/>
              <w:right w:type="dxa" w:w="0"/>
            </w:tcMar>
            <w:tcBorders>
              <w:top w:val="single" w:sz="8" w:space="0"/>
            </w:tcBorders>
          </w:tcPr>
          <w:p/>
        </w:tc>
        <w:tc>
          <w:tcPr>
            <w:tcW w:type="dxa" w:w="4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67</w:t>
            </w:r>
          </w:p>
        </w:tc>
        <w:tc>
          <w:tcPr>
            <w:tcW w:type="dxa" w:w="177"/>
            <w:tcMar>
              <w:left w:type="dxa" w:w="0"/>
              <w:right w:type="dxa" w:w="0"/>
            </w:tcMar>
            <w:tcBorders>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17,274,314</w:t>
            </w:r>
          </w:p>
        </w:tc>
        <w:tc>
          <w:tcPr>
            <w:tcW w:type="dxa" w:w="77"/>
            <w:tcMar>
              <w:left w:type="dxa" w:w="0"/>
              <w:right w:type="dxa" w:w="0"/>
            </w:tcMar>
            <w:tcBorders>
              <w:top w:val="single" w:sz="8" w:space="0"/>
            </w:tcBorders>
          </w:tcPr>
          <w:p/>
        </w:tc>
        <w:tc>
          <w:tcPr>
            <w:tcW w:type="dxa" w:w="4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81</w:t>
            </w:r>
          </w:p>
        </w:tc>
        <w:tc>
          <w:tcPr>
            <w:tcW w:type="dxa" w:w="177"/>
            <w:tcMar>
              <w:left w:type="dxa" w:w="0"/>
              <w:right w:type="dxa" w:w="0"/>
            </w:tcMar>
            <w:tcBorders>
              <w:top w:val="single" w:sz="8" w:space="0"/>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(4,613,365</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3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Marketplace Spend Fees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3,249,527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3,249,527</w:t>
            </w:r>
          </w:p>
        </w:tc>
        <w:tc>
          <w:tcPr>
            <w:tcW w:type="dxa" w:w="77"/>
            <w:tcMar>
              <w:left w:type="dxa" w:w="0"/>
              <w:right w:type="dxa" w:w="0"/>
            </w:tcMar>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114,550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114,550</w:t>
            </w:r>
          </w:p>
        </w:tc>
        <w:tc>
          <w:tcPr>
            <w:tcW w:type="dxa" w:w="77"/>
            <w:tcMar>
              <w:left w:type="dxa" w:w="0"/>
              <w:right w:type="dxa" w:w="0"/>
            </w:tcMar>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3,134,977</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3,134,977</w:t>
            </w:r>
          </w:p>
        </w:tc>
        <w:tc>
          <w:tcPr>
            <w:tcW w:type="dxa" w:w="77"/>
            <w:tcMar>
              <w:left w:type="dxa" w:w="0"/>
              <w:right w:type="dxa" w:w="0"/>
            </w:tcMar>
            <w:tcBorders/>
          </w:tcPr>
          <w:p/>
        </w:tc>
        <w:tc>
          <w:tcPr>
            <w:tcW w:type="dxa" w:w="77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2,737</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3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License Fees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538,262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538,262</w:t>
            </w:r>
          </w:p>
        </w:tc>
        <w:tc>
          <w:tcPr>
            <w:tcW w:type="dxa" w:w="77"/>
            <w:tcMar>
              <w:left w:type="dxa" w:w="0"/>
              <w:right w:type="dxa" w:w="0"/>
            </w:tcMar>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64,491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64,491</w:t>
            </w:r>
          </w:p>
        </w:tc>
        <w:tc>
          <w:tcPr>
            <w:tcW w:type="dxa" w:w="77"/>
            <w:tcMar>
              <w:left w:type="dxa" w:w="0"/>
              <w:right w:type="dxa" w:w="0"/>
            </w:tcMar>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473,771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473,771</w:t>
            </w:r>
          </w:p>
        </w:tc>
        <w:tc>
          <w:tcPr>
            <w:tcW w:type="dxa" w:w="77"/>
            <w:tcMar>
              <w:left w:type="dxa" w:w="0"/>
              <w:right w:type="dxa" w:w="0"/>
            </w:tcMar>
            <w:tcBorders/>
          </w:tcPr>
          <w:p/>
        </w:tc>
        <w:tc>
          <w:tcPr>
            <w:tcW w:type="dxa" w:w="77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735</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3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Legacy Workflow</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2,335,834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2,335,834</w:t>
            </w:r>
          </w:p>
        </w:tc>
        <w:tc>
          <w:tcPr>
            <w:tcW w:type="dxa" w:w="77"/>
            <w:tcMar>
              <w:left w:type="dxa" w:w="0"/>
              <w:right w:type="dxa" w:w="0"/>
            </w:tcMar>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3,858,736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3,858,736</w:t>
            </w:r>
          </w:p>
        </w:tc>
        <w:tc>
          <w:tcPr>
            <w:tcW w:type="dxa" w:w="77"/>
            <w:tcMar>
              <w:left w:type="dxa" w:w="0"/>
              <w:right w:type="dxa" w:w="0"/>
            </w:tcMar>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(1,522,902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(1,522,902</w:t>
            </w:r>
          </w:p>
        </w:tc>
        <w:tc>
          <w:tcPr>
            <w:tcW w:type="dxa" w:w="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(39</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36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Other</w:t>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45,645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45,645</w:t>
            </w:r>
          </w:p>
        </w:tc>
        <w:tc>
          <w:tcPr>
            <w:tcW w:type="dxa" w:w="77"/>
            <w:tcMar>
              <w:left w:type="dxa" w:w="0"/>
              <w:right w:type="dxa" w:w="0"/>
            </w:tcMar>
            <w:tcBorders>
              <w:bottom w:val="single" w:sz="8"/>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25,310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25,310</w:t>
            </w:r>
          </w:p>
        </w:tc>
        <w:tc>
          <w:tcPr>
            <w:tcW w:type="dxa" w:w="77"/>
            <w:tcMar>
              <w:left w:type="dxa" w:w="0"/>
              <w:right w:type="dxa" w:w="0"/>
            </w:tcMar>
            <w:tcBorders>
              <w:bottom w:val="single" w:sz="8"/>
            </w:tcBorders>
          </w:tcPr>
          <w:p/>
        </w:tc>
        <w:tc>
          <w:tcPr>
            <w:tcW w:type="dxa" w:w="4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Next/>
              <w:keepLines/>
              <w:spacing w:before="40" w:after="40" w:line="240" w:lineRule="auto"/>
              <w:rPr/>
            </w:pPr>
            <w:r>
              <w:rPr/>
            </w:r>
          </w:p>
        </w:tc>
        <w:tc>
          <w:tcPr>
            <w:tcW w:type="dxa" w:w="10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20,335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20,335</w:t>
            </w:r>
          </w:p>
        </w:tc>
        <w:tc>
          <w:tcPr>
            <w:tcW w:type="dxa" w:w="77"/>
            <w:tcMar>
              <w:left w:type="dxa" w:w="0"/>
              <w:right w:type="dxa" w:w="0"/>
            </w:tcMar>
            <w:tcBorders/>
          </w:tcPr>
          <w:p/>
        </w:tc>
        <w:tc>
          <w:tcPr>
            <w:tcW w:type="dxa" w:w="77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w:t>
            </w:r>
          </w:p>
        </w:tc>
        <w:tc>
          <w:tcPr>
            <w:tcW w:type="dxa" w:w="244"/>
            <w:tcMar>
              <w:left w:type="dxa" w:w="0"/>
              <w:right w:type="dxa" w:w="0"/>
            </w:tcMar>
            <w:tcBorders/>
            <w:vAlign w:val="bottom"/>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360"/>
            <w:tcMar>
              <w:left w:type="dxa" w:w="30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gross billings</w:t>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18,830,217</w:t>
            </w:r>
          </w:p>
        </w:tc>
        <w:tc>
          <w:tcPr>
            <w:tcW w:type="dxa" w:w="77"/>
            <w:tcMar>
              <w:left w:type="dxa" w:w="0"/>
              <w:right w:type="dxa" w:w="0"/>
            </w:tcMar>
            <w:tcBorders>
              <w:top w:val="single" w:sz="8" w:space="0"/>
              <w:bottom w:val="double" w:sz="4"/>
            </w:tcBorders>
          </w:tcPr>
          <w:p/>
        </w:tc>
        <w:tc>
          <w:tcPr>
            <w:tcW w:type="dxa" w:w="4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177"/>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21,337,401</w:t>
            </w:r>
          </w:p>
        </w:tc>
        <w:tc>
          <w:tcPr>
            <w:tcW w:type="dxa" w:w="77"/>
            <w:tcMar>
              <w:left w:type="dxa" w:w="0"/>
              <w:right w:type="dxa" w:w="0"/>
            </w:tcMar>
            <w:tcBorders>
              <w:top w:val="single" w:sz="8" w:space="0"/>
              <w:bottom w:val="double" w:sz="4"/>
            </w:tcBorders>
          </w:tcPr>
          <w:p/>
        </w:tc>
        <w:tc>
          <w:tcPr>
            <w:tcW w:type="dxa" w:w="4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100</w:t>
            </w:r>
          </w:p>
        </w:tc>
        <w:tc>
          <w:tcPr>
            <w:tcW w:type="dxa" w:w="177"/>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vAlign w:val="bottom"/>
          </w:tcPr>
          <w:p>
            <w:pPr>
              <w:jc w:val="lef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1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(2,507,184</w:t>
            </w:r>
          </w:p>
        </w:tc>
        <w:tc>
          <w:tcPr>
            <w:tcW w:type="dxa" w:w="77"/>
            <w:tcMar>
              <w:left w:type="dxa" w:w="0"/>
              <w:right w:type="dxa" w:w="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776"/>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w:t>
            </w:r>
          </w:p>
        </w:tc>
        <w:tc>
          <w:tcPr>
            <w:tcW w:type="dxa" w:w="244"/>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center"/>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define Cash Opex as the total of our operating expenses exclusive of unusual or non-cash expenses such as depreciation and amortization, non-cash stock related compensation, gain or loss on asset disposals or impairment and changes in acquisition cost estimates, and gains or losses on settlement of liabilities, if applicable.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define Adjusted EBITDA as earnings or loss before interest, taxes, depreciation and amortization, non-cash stock-based compensation, gain or loss on asset disposals or impairment, changes in acquisition cost estimates, and all other non-cash income and expense items such as gains or losses on settlement of liabilities and exchanges, and changes in the fair value of derivatives, if applicable.</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right="20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use Cash Opex as a percentage of revenue and Adjusted EBITDA as measures of operating performance, for planning purposes, to allocate resources to enhance the financial performance of our business and in communications with our Board of Directors regarding our financial performance. We believe that Cash Opex as a percentage of revenue and Adjusted EBITDA also provide useful information to investors as they exclude transactions not related to our core cash operating business activities, including non-cash transactions, and they provide consistency and facilitate period-to-period comparisons. We believe that excluding these transactions allows investors to meaningfully trend and analyze the performance of our core cash operations. All companies do not calculate Cash Opex and Adjusted EBITDA in the same manner, and Cash Opex and Adjusted EBITDA as presented by us may not be comparable to Cash Opex and Adjusted EBITDA presented by other companies, which limits their usefulness as comparative measures.</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Moreover, Cash Opex and Adjusted EBITDA have limitations as an analytical tool, and you should not consider them in isolation or as a substitute for an analysis of our results of operations as under GAAP. These limitations include that Cash Opex and Adjusted EBITDA:</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108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5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do not include stock-based compensation expense, which has been, and will continue to be for the foreseeable future, a significant recurring expense for our business and an important part of our compensation strategy; </w:t>
      </w:r>
    </w:p>
    <w:p>
      <w:pPr>
        <w:ind w:left="108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5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do not include stock issued for payment of services, which is a non-cash expense, but has been, and is expected to be for the foreseeable future, an important means for us to compensate our vendors and other parties who provide us with services; </w:t>
      </w:r>
    </w:p>
    <w:p>
      <w:pPr>
        <w:ind w:left="108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5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do not include changes in acquisition cost estimates as a result of the allocation of acquisition costs payable to compensation expense or changes in the estimate of contingent acquisition costs payable, which may or may not ever be paid, but may be a significant recurring expense for our business if we continue to make business acquisitions;</w:t>
      </w:r>
    </w:p>
    <w:p>
      <w:pPr>
        <w:ind w:left="108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5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do not include gains or losses on the settlement of acquisition costs payable or liabilities when the stock value, as agreed upon in the agreement, varies from the market price of our stock on the settlement date, which is a non-cash expense, but will continue to be a recurring expense for our business on certain business contracts where the amounts can vary; and</w:t>
      </w:r>
    </w:p>
    <w:p>
      <w:pPr>
        <w:ind w:left="1080" w:firstLine="-360"/>
        <w:jc w:val="left"/>
        <w:spacing w:line="288" w:lineRule="auto"/>
        <w:rPr>
          <w:rFonts w:ascii="Times New Roman" w:hAnsi="Times New Roman" w:eastAsia="Times New Roman" w:cs="Times New Roman"/>
          <w:sz w:val="20"/>
          <w:rFonts w:ascii="Times New Roman" w:hAnsi="Times New Roman" w:eastAsia="Times New Roman" w:cs="Times New Roman"/>
          <w:sz w:val="20"/>
        </w:rPr>
        <w:numPr>
          <w:ilvl w:val="0"/>
          <w:numId w:val="251"/>
        </w:numPr>
      </w:pPr>
      <w:r>
        <w:rPr>
          <w:rFonts w:ascii="Times New Roman" w:hAnsi="Times New Roman" w:eastAsia="Times New Roman" w:cs="Times New Roman"/>
          <w:sz w:val="20"/>
        </w:rPr>
        <w:t xml:space="preserve"/>
      </w:r>
      <w:r>
        <w:rPr>
          <w:rFonts w:ascii="Times New Roman" w:hAnsi="Times New Roman" w:eastAsia="Times New Roman" w:cs="Times New Roman"/>
          <w:sz w:val="20"/>
        </w:rPr>
        <w:t xml:space="preserve">do not include depreciation and intangible assets amortization expense, impairment charges and gains or losses on disposal of equipment, which is not always a current period cash expense, but the assets being depreciated and amortized may have to be replaced in the future.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Furthermore, Adjusted EBITDA excludes changes in fair value of derivatives, interest expense and other gains, losses, and expenses that we believe are not indicative of our ongoing core operating results, but these items may represent a reduction or increase in cash available to us.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Because of these limitations, Cash Opex should not be considered as a measure of our total operating expenses, and adjusted EBITDA should not be considered as a measure of discretionary cash available to us to invest in the operation and growth of our business or as a measure of cash that will be available to us to meet our obligations. You should compensate for these limitations by relying primarily on our GAAP results and using these non-GAAP financial measures as supplements. In evaluating these non-GAAP financial measures, you should be aware that in the future we may incur expenses similar to those for which adjustments are made in calculating Cash Opex and Adjusted EBITDA. Our presentation of these non-GAAP financial measures should also not be construed to infer that our future results will be unaffected by unusual or non-recurring items.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following table sets forth a reconciliation from the GAAP measurement of Operating Expenses to our non-GAAP financial measure of Cash Opex and Cash Opex as a percentage of revenue for the </w:t>
      </w:r>
      <w:r>
        <w:rPr>
          <w:rFonts w:ascii="Times New Roman" w:hAnsi="Times New Roman" w:eastAsia="Times New Roman" w:cs="Times New Roman"/>
          <w:sz w:val="20"/>
        </w:rPr>
        <w:t xml:space="preserve">three and 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w:t>
      </w:r>
    </w:p>
    <w:tbl>
      <w:tblPr>
        <w:tblW w:type="dxa" w:w="10240"/>
        <w:tblLayout w:type="fixed"/>
        <w:jc w:val="left"/>
      </w:tblPr>
      <w:tblGrid>
        <w:gridCol w:w="4800"/>
        <w:gridCol w:w="110"/>
        <w:gridCol w:w="1013"/>
        <w:gridCol w:w="177"/>
        <w:gridCol w:w="80"/>
        <w:gridCol w:w="110"/>
        <w:gridCol w:w="1013"/>
        <w:gridCol w:w="177"/>
        <w:gridCol w:w="80"/>
        <w:gridCol w:w="110"/>
        <w:gridCol w:w="1013"/>
        <w:gridCol w:w="177"/>
        <w:gridCol w:w="80"/>
        <w:gridCol w:w="110"/>
        <w:gridCol w:w="1013"/>
        <w:gridCol w:w="177"/>
      </w:tblGrid>
      <w:tr>
        <w:trPr>
          <w:trHeight w:hRule="exact" w:val="500"/>
        </w:trPr>
        <w:tc>
          <w:tcPr>
            <w:tcW w:type="dxa" w:w="480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September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September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br w:type="textWrapping"/>
              <w:t xml:space="preserve">September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br w:type="textWrapping"/>
              <w:t xml:space="preserve">September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300"/>
        </w:trPr>
        <w:tc>
          <w:tcPr>
            <w:tcW w:type="dxa" w:w="4800"/>
            <w:tcMar>
              <w:left w:type="dxa" w:w="60"/>
              <w:right w:type="dxa" w:w="0"/>
            </w:tcMar>
            <w:hMerge w:val="restart"/>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60"/>
              <w:right w:type="dxa" w:w="0"/>
            </w:tcMar>
            <w:tcBorders>
              <w:top w:val="single" w:sz="8" w:space="0"/>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0"/>
              <w:right w:type="dxa" w:w="60"/>
            </w:tcMar>
            <w:tcBorders>
              <w:top w:val="single" w:sz="8" w:space="0"/>
              <w:bottom w:val="single" w:sz="8"/>
            </w:tcBorders>
            <w:hMerge w:val="continue"/>
          </w:tcPr>
          <w:p/>
        </w:tc>
      </w:tr>
      <w:tr>
        <w:trPr>
          <w:trHeight w:hRule="exact" w:val="300"/>
        </w:trPr>
        <w:tc>
          <w:tcPr>
            <w:tcW w:type="dxa" w:w="4800"/>
            <w:tcMar>
              <w:left w:type="dxa" w:w="6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costs and expenses</w:t>
            </w:r>
          </w:p>
        </w:tc>
        <w:tc>
          <w:tcPr>
            <w:tcW w:type="dxa" w:w="110"/>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7,042,453</w:t>
            </w:r>
          </w:p>
        </w:tc>
        <w:tc>
          <w:tcPr>
            <w:tcW w:type="dxa" w:w="177"/>
            <w:tcMar>
              <w:left w:type="dxa" w:w="0"/>
              <w:right w:type="dxa" w:w="0"/>
            </w:tcMar>
            <w:tcBorders>
              <w:top w:val="single" w:sz="8" w:space="0"/>
              <w:bottom w:val="single" w:sz="8"/>
            </w:tcBorders>
          </w:tcPr>
          <w:p/>
        </w:tc>
        <w:tc>
          <w:tcPr>
            <w:tcW w:type="dxa" w:w="80"/>
            <w:tcMar>
              <w:left w:type="dxa" w:w="60"/>
              <w:right w:type="dxa" w:w="0"/>
            </w:tcMar>
            <w:tcBorders>
              <w:top w:val="single" w:sz="8" w:space="0"/>
              <w:bottom w:val="single" w:sz="8"/>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7,723,070</w:t>
            </w:r>
          </w:p>
        </w:tc>
        <w:tc>
          <w:tcPr>
            <w:tcW w:type="dxa" w:w="177"/>
            <w:tcMar>
              <w:left w:type="dxa" w:w="0"/>
              <w:right w:type="dxa" w:w="0"/>
            </w:tcMar>
            <w:tcBorders>
              <w:top w:val="single" w:sz="8" w:space="0"/>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10"/>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18,688,993</w:t>
            </w:r>
          </w:p>
        </w:tc>
        <w:tc>
          <w:tcPr>
            <w:tcW w:type="dxa" w:w="177"/>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10"/>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22,384,331</w:t>
            </w:r>
          </w:p>
        </w:tc>
        <w:tc>
          <w:tcPr>
            <w:tcW w:type="dxa" w:w="177"/>
            <w:tcMar>
              <w:left w:type="dxa" w:w="0"/>
              <w:right w:type="dxa" w:w="0"/>
            </w:tcMar>
            <w:tcBorders>
              <w:bottom w:val="single" w:sz="8"/>
            </w:tcBorders>
          </w:tcPr>
          <w:p/>
        </w:tc>
      </w:tr>
      <w:tr>
        <w:trPr>
          <w:trHeight w:hRule="exact" w:val="280"/>
        </w:trPr>
        <w:tc>
          <w:tcPr>
            <w:tcW w:type="dxa" w:w="480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Less:</w:t>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0"/>
            </w:tcMar>
            <w:tcBorders/>
            <w:vAlign w:val="bottom"/>
            <w:hMerge w:val="restart"/>
          </w:tcPr>
          <w:p>
            <w:pPr>
              <w:jc w:val="left"/>
              <w:keepNext/>
              <w:keepLines/>
              <w:spacing w:before="40" w:after="40" w:line="240" w:lineRule="auto"/>
              <w:rPr/>
            </w:pPr>
            <w:r>
              <w:rPr/>
            </w:r>
          </w:p>
        </w:tc>
        <w:tc>
          <w:tcPr>
            <w:tcMar>
              <w:left w:type="dxa" w:w="60"/>
              <w:right w:type="dxa" w:w="0"/>
            </w:tcMar>
            <w:tcBorders/>
            <w:hMerge w:val="continue"/>
          </w:tcPr>
          <w:p>
            <w:pPr>
              <w:jc w:val="left"/>
              <w:keepNext/>
              <w:keepLines/>
              <w:spacing w:before="40" w:after="40" w:line="240" w:lineRule="auto"/>
              <w:rPr/>
            </w:pPr>
            <w:r>
              <w:rPr/>
            </w:r>
          </w:p>
        </w:tc>
        <w:tc>
          <w:tcPr>
            <w:tcMar>
              <w:left w:type="dxa" w:w="0"/>
              <w:right w:type="dxa" w:w="0"/>
            </w:tcMar>
            <w:tcBorders/>
            <w:hMerge w:val="continue"/>
          </w:tcPr>
          <w:p/>
        </w:tc>
      </w:tr>
      <w:tr>
        <w:trPr>
          <w:trHeight w:hRule="exact" w:val="280"/>
        </w:trPr>
        <w:tc>
          <w:tcPr>
            <w:tcW w:type="dxa" w:w="480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Non-cash stock-based compensation</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118,410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118,410</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182,796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182,796</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468,042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468,042</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509,642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509,642</w:t>
            </w:r>
          </w:p>
        </w:tc>
        <w:tc>
          <w:tcPr>
            <w:tcW w:type="dxa" w:w="177"/>
            <w:tcMar>
              <w:left w:type="dxa" w:w="0"/>
              <w:right w:type="dxa" w:w="0"/>
            </w:tcMar>
            <w:tcBorders/>
          </w:tcPr>
          <w:p/>
        </w:tc>
      </w:tr>
      <w:tr>
        <w:trPr>
          <w:trHeight w:hRule="exact" w:val="280"/>
        </w:trPr>
        <w:tc>
          <w:tcPr>
            <w:tcW w:type="dxa" w:w="480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Non-cash stock issued for payment of services</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31,244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31,244</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60,074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60,074</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93,734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93,734</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143,536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143,536</w:t>
            </w:r>
          </w:p>
        </w:tc>
        <w:tc>
          <w:tcPr>
            <w:tcW w:type="dxa" w:w="177"/>
            <w:tcMar>
              <w:left w:type="dxa" w:w="0"/>
              <w:right w:type="dxa" w:w="0"/>
            </w:tcMar>
            <w:tcBorders/>
          </w:tcPr>
          <w:p/>
        </w:tc>
      </w:tr>
      <w:tr>
        <w:trPr>
          <w:trHeight w:hRule="exact" w:val="280"/>
        </w:trPr>
        <w:tc>
          <w:tcPr>
            <w:tcW w:type="dxa" w:w="480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(Gain) loss on disposal of equipment</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6,642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6,642</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(1,775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(1,775</w:t>
            </w:r>
          </w:p>
        </w:tc>
        <w:tc>
          <w:tcPr>
            <w:tcW w:type="dxa" w:w="1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5,242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5,242</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(5,462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(5,462</w:t>
            </w:r>
          </w:p>
        </w:tc>
        <w:tc>
          <w:tcPr>
            <w:tcW w:type="dxa" w:w="1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480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(Gain) loss on settlement of acquisition costs payable</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(84,938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(84,938</w:t>
            </w:r>
          </w:p>
        </w:tc>
        <w:tc>
          <w:tcPr>
            <w:tcW w:type="dxa" w:w="1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(84,938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(84,938</w:t>
            </w:r>
          </w:p>
        </w:tc>
        <w:tc>
          <w:tcPr>
            <w:tcW w:type="dxa" w:w="1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(10,491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(10,491</w:t>
            </w:r>
          </w:p>
        </w:tc>
        <w:tc>
          <w:tcPr>
            <w:tcW w:type="dxa" w:w="1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480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Increase (decrease) in value of acquisition costs payable</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6,084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6,084</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193,708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193,708</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(618,512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(618,512</w:t>
            </w:r>
          </w:p>
        </w:tc>
        <w:tc>
          <w:tcPr>
            <w:tcW w:type="dxa" w:w="1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335,486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335,486</w:t>
            </w:r>
          </w:p>
        </w:tc>
        <w:tc>
          <w:tcPr>
            <w:tcW w:type="dxa" w:w="177"/>
            <w:tcMar>
              <w:left w:type="dxa" w:w="0"/>
              <w:right w:type="dxa" w:w="0"/>
            </w:tcMar>
            <w:tcBorders/>
          </w:tcPr>
          <w:p/>
        </w:tc>
      </w:tr>
      <w:tr>
        <w:trPr>
          <w:trHeight w:hRule="exact" w:val="280"/>
        </w:trPr>
        <w:tc>
          <w:tcPr>
            <w:tcW w:type="dxa" w:w="480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Legal expense accrual</w:t>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500,000</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500,000</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tcPr>
          <w:p/>
        </w:tc>
      </w:tr>
      <w:tr>
        <w:trPr>
          <w:trHeight w:hRule="exact" w:val="280"/>
        </w:trPr>
        <w:tc>
          <w:tcPr>
            <w:tcW w:type="dxa" w:w="4800"/>
            <w:tcMar>
              <w:left w:type="dxa" w:w="180"/>
              <w:right w:type="dxa" w:w="4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Depreciation and amortization</w:t>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370,674</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370,674</w:t>
            </w:r>
          </w:p>
        </w:tc>
        <w:tc>
          <w:tcPr>
            <w:tcW w:type="dxa" w:w="177"/>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374,965</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374,965</w:t>
            </w:r>
          </w:p>
        </w:tc>
        <w:tc>
          <w:tcPr>
            <w:tcW w:type="dxa" w:w="177"/>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846,820</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846,820</w:t>
            </w:r>
          </w:p>
        </w:tc>
        <w:tc>
          <w:tcPr>
            <w:tcW w:type="dxa" w:w="177"/>
            <w:tcMar>
              <w:left w:type="dxa" w:w="0"/>
              <w:right w:type="dxa" w:w="0"/>
            </w:tcMar>
            <w:tcBorders>
              <w:bottom w:val="single" w:sz="8"/>
            </w:tcBorders>
          </w:tcPr>
          <w:p/>
        </w:tc>
        <w:tc>
          <w:tcPr>
            <w:tcW w:type="dxa" w:w="80"/>
            <w:tcMar>
              <w:left w:type="dxa" w:w="60"/>
              <w:right w:type="dxa" w:w="0"/>
            </w:tcMar>
            <w:tcBorders>
              <w:bottom w:val="single" w:sz="8"/>
            </w:tcBorders>
            <w:vAlign w:val="bottom"/>
          </w:tcPr>
          <w:p>
            <w:pPr>
              <w:jc w:val="left"/>
              <w:keepNext/>
              <w:keepLines/>
              <w:spacing w:before="40" w:after="40" w:line="240" w:lineRule="auto"/>
              <w:rPr/>
            </w:pPr>
            <w:r>
              <w:rPr/>
            </w:r>
          </w:p>
        </w:tc>
        <w:tc>
          <w:tcPr>
            <w:tcW w:type="dxa" w:w="112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1,095,831</w:t>
            </w:r>
          </w:p>
        </w:tc>
        <w:tc>
          <w:tcPr>
            <w:tcMar>
              <w:left w:type="dxa" w:w="0"/>
              <w:right w:type="dxa" w:w="0"/>
            </w:tcMar>
            <w:tcBorders>
              <w:bottom w:val="single" w:sz="8"/>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1,095,831</w:t>
            </w:r>
          </w:p>
        </w:tc>
        <w:tc>
          <w:tcPr>
            <w:tcW w:type="dxa" w:w="177"/>
            <w:tcMar>
              <w:left w:type="dxa" w:w="0"/>
              <w:right w:type="dxa" w:w="0"/>
            </w:tcMar>
            <w:tcBorders>
              <w:bottom w:val="single" w:sz="8"/>
            </w:tcBorders>
          </w:tcPr>
          <w:p/>
        </w:tc>
      </w:tr>
      <w:tr>
        <w:trPr>
          <w:trHeight w:hRule="exact" w:val="300"/>
        </w:trPr>
        <w:tc>
          <w:tcPr>
            <w:tcW w:type="dxa" w:w="4800"/>
            <w:tcMar>
              <w:left w:type="dxa" w:w="540"/>
              <w:right w:type="dxa" w:w="40"/>
            </w:tcMar>
            <w:tcBorders>
              <w:top w:val="single" w:sz="8" w:space="0"/>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excluded expenses</w:t>
            </w:r>
          </w:p>
        </w:tc>
        <w:tc>
          <w:tcPr>
            <w:tcW w:type="dxa" w:w="11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948,116</w:t>
            </w:r>
          </w:p>
        </w:tc>
        <w:tc>
          <w:tcPr>
            <w:tcMar>
              <w:left w:type="dxa" w:w="0"/>
              <w:right w:type="dxa" w:w="0"/>
            </w:tcMar>
            <w:tcBorders>
              <w:top w:val="single" w:sz="8" w:space="0"/>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948,116</w:t>
            </w:r>
          </w:p>
        </w:tc>
        <w:tc>
          <w:tcPr>
            <w:tcW w:type="dxa" w:w="177"/>
            <w:tcMar>
              <w:left w:type="dxa" w:w="0"/>
              <w:right w:type="dxa" w:w="0"/>
            </w:tcMar>
            <w:tcBorders>
              <w:top w:val="single" w:sz="8" w:space="0"/>
            </w:tcBorders>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11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809,768</w:t>
            </w:r>
          </w:p>
        </w:tc>
        <w:tc>
          <w:tcPr>
            <w:tcMar>
              <w:left w:type="dxa" w:w="0"/>
              <w:right w:type="dxa" w:w="0"/>
            </w:tcMar>
            <w:tcBorders>
              <w:top w:val="single" w:sz="8" w:space="0"/>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809,768</w:t>
            </w:r>
          </w:p>
        </w:tc>
        <w:tc>
          <w:tcPr>
            <w:tcW w:type="dxa" w:w="177"/>
            <w:tcMar>
              <w:left w:type="dxa" w:w="0"/>
              <w:right w:type="dxa" w:w="0"/>
            </w:tcMar>
            <w:tcBorders>
              <w:top w:val="single" w:sz="8" w:space="0"/>
            </w:tcBorders>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11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1,210,388</w:t>
            </w:r>
          </w:p>
        </w:tc>
        <w:tc>
          <w:tcPr>
            <w:tcMar>
              <w:left w:type="dxa" w:w="0"/>
              <w:right w:type="dxa" w:w="0"/>
            </w:tcMar>
            <w:tcBorders>
              <w:top w:val="single" w:sz="8" w:space="0"/>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1,210,388</w:t>
            </w:r>
          </w:p>
        </w:tc>
        <w:tc>
          <w:tcPr>
            <w:tcW w:type="dxa" w:w="177"/>
            <w:tcMar>
              <w:left w:type="dxa" w:w="0"/>
              <w:right w:type="dxa" w:w="0"/>
            </w:tcMar>
            <w:tcBorders>
              <w:top w:val="single" w:sz="8" w:space="0"/>
            </w:tcBorders>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11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2,068,542</w:t>
            </w:r>
          </w:p>
        </w:tc>
        <w:tc>
          <w:tcPr>
            <w:tcMar>
              <w:left w:type="dxa" w:w="0"/>
              <w:right w:type="dxa" w:w="0"/>
            </w:tcMar>
            <w:tcBorders>
              <w:top w:val="single" w:sz="8" w:space="0"/>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2,068,542</w:t>
            </w:r>
          </w:p>
        </w:tc>
        <w:tc>
          <w:tcPr>
            <w:tcW w:type="dxa" w:w="177"/>
            <w:tcMar>
              <w:left w:type="dxa" w:w="0"/>
              <w:right w:type="dxa" w:w="0"/>
            </w:tcMar>
            <w:tcBorders>
              <w:top w:val="single" w:sz="8" w:space="0"/>
            </w:tcBorders>
          </w:tcPr>
          <w:p/>
        </w:tc>
      </w:tr>
      <w:tr>
        <w:trPr>
          <w:trHeight w:hRule="exact" w:val="200"/>
        </w:trPr>
        <w:tc>
          <w:tcPr>
            <w:tcW w:type="dxa" w:w="4800"/>
            <w:tcMar>
              <w:left w:type="dxa" w:w="60"/>
              <w:right w:type="dxa" w:w="0"/>
            </w:tcMar>
            <w:tcBorders>
              <w:top w:val="single" w:sz="8" w:space="0"/>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c>
          <w:tcPr>
            <w:tcW w:type="dxa" w:w="80"/>
            <w:tcMar>
              <w:left w:type="dxa" w:w="0"/>
              <w:right w:type="dxa" w:w="60"/>
            </w:tcMar>
            <w:tcBorders>
              <w:top w:val="single" w:sz="8" w:space="0"/>
            </w:tcBorders>
            <w:vAlign w:val="bottom"/>
          </w:tcPr>
          <w:p>
            <w:pPr>
              <w:jc w:val="left"/>
              <w:keepNext/>
              <w:keepLines/>
              <w:spacing w:before="40" w:after="40" w:line="240" w:lineRule="auto"/>
              <w:rPr/>
            </w:pPr>
            <w:r>
              <w:rPr/>
            </w:r>
          </w:p>
        </w:tc>
        <w:tc>
          <w:tcPr>
            <w:tcW w:type="dxa" w:w="0"/>
            <w:tcMar>
              <w:left w:type="dxa" w:w="0"/>
              <w:right w:type="dxa" w:w="60"/>
            </w:tcMar>
            <w:tcBorders>
              <w:top w:val="single" w:sz="8" w:space="0"/>
            </w:tcBorders>
            <w:vAlign w:val="bottom"/>
            <w:hMerge w:val="restart"/>
          </w:tcPr>
          <w:p>
            <w:pPr>
              <w:jc w:val="left"/>
              <w:keepNext/>
              <w:keepLines/>
              <w:spacing w:before="40" w:after="40" w:line="240" w:lineRule="auto"/>
              <w:rPr/>
            </w:pPr>
            <w:r>
              <w:rPr/>
            </w:r>
          </w:p>
        </w:tc>
        <w:tc>
          <w:tcPr>
            <w:tcMar>
              <w:left w:type="dxa" w:w="0"/>
              <w:right w:type="dxa" w:w="60"/>
            </w:tcMar>
            <w:tcBorders>
              <w:top w:val="single" w:sz="8" w:space="0"/>
            </w:tcBorders>
            <w:hMerge w:val="continue"/>
          </w:tcPr>
          <w:p>
            <w:pPr>
              <w:jc w:val="left"/>
              <w:keepNext/>
              <w:keepLines/>
              <w:spacing w:before="40" w:after="40" w:line="240" w:lineRule="auto"/>
              <w:rPr/>
            </w:pPr>
            <w:r>
              <w:rPr/>
            </w:r>
          </w:p>
        </w:tc>
        <w:tc>
          <w:tcPr>
            <w:tcMar>
              <w:left w:type="dxa" w:w="0"/>
              <w:right w:type="dxa" w:w="60"/>
            </w:tcMar>
            <w:tcBorders>
              <w:top w:val="single" w:sz="8" w:space="0"/>
            </w:tcBorders>
            <w:hMerge w:val="continue"/>
          </w:tcPr>
          <w:p/>
        </w:tc>
      </w:tr>
      <w:tr>
        <w:trPr>
          <w:trHeight w:hRule="exact" w:val="280"/>
        </w:trPr>
        <w:tc>
          <w:tcPr>
            <w:tcW w:type="dxa" w:w="4800"/>
            <w:tcMar>
              <w:left w:type="dxa" w:w="60"/>
              <w:right w:type="dxa" w:w="4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Cash Opex</w:t>
            </w: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6,094,337</w:t>
            </w:r>
          </w:p>
        </w:tc>
        <w:tc>
          <w:tcPr>
            <w:tcW w:type="dxa" w:w="177"/>
            <w:tcMar>
              <w:left w:type="dxa" w:w="0"/>
              <w:right w:type="dxa" w:w="0"/>
            </w:tcMar>
            <w:tcBorders>
              <w:top w:val="single" w:sz="8" w:space="0"/>
              <w:bottom w:val="double" w:sz="4"/>
            </w:tcBorders>
          </w:tcPr>
          <w:p/>
        </w:tc>
        <w:tc>
          <w:tcPr>
            <w:tcW w:type="dxa" w:w="80"/>
            <w:tcMar>
              <w:left w:type="dxa" w:w="0"/>
              <w:right w:type="dxa" w:w="60"/>
            </w:tcMar>
            <w:tcBorders>
              <w:top w:val="single" w:sz="8" w:space="0"/>
              <w:bottom w:val="double" w:sz="4"/>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6,913,302</w:t>
            </w:r>
          </w:p>
        </w:tc>
        <w:tc>
          <w:tcPr>
            <w:tcW w:type="dxa" w:w="177"/>
            <w:tcMar>
              <w:left w:type="dxa" w:w="0"/>
              <w:right w:type="dxa" w:w="0"/>
            </w:tcMar>
            <w:tcBorders>
              <w:top w:val="single" w:sz="8" w:space="0"/>
              <w:bottom w:val="double" w:sz="4"/>
            </w:tcBorders>
          </w:tcPr>
          <w:p/>
        </w:tc>
        <w:tc>
          <w:tcPr>
            <w:tcW w:type="dxa" w:w="80"/>
            <w:tcMar>
              <w:left w:type="dxa" w:w="0"/>
              <w:right w:type="dxa" w:w="60"/>
            </w:tcMar>
            <w:tcBorders>
              <w:top w:val="single" w:sz="8" w:space="0"/>
              <w:bottom w:val="double" w:sz="4"/>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17,478,605</w:t>
            </w:r>
          </w:p>
        </w:tc>
        <w:tc>
          <w:tcPr>
            <w:tcW w:type="dxa" w:w="177"/>
            <w:tcMar>
              <w:left w:type="dxa" w:w="0"/>
              <w:right w:type="dxa" w:w="0"/>
            </w:tcMar>
            <w:tcBorders>
              <w:top w:val="single" w:sz="8" w:space="0"/>
              <w:bottom w:val="double" w:sz="4"/>
            </w:tcBorders>
          </w:tcPr>
          <w:p/>
        </w:tc>
        <w:tc>
          <w:tcPr>
            <w:tcW w:type="dxa" w:w="80"/>
            <w:tcMar>
              <w:left w:type="dxa" w:w="0"/>
              <w:right w:type="dxa" w:w="60"/>
            </w:tcMar>
            <w:tcBorders>
              <w:top w:val="single" w:sz="8" w:space="0"/>
              <w:bottom w:val="double" w:sz="4"/>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20,315,789</w:t>
            </w:r>
          </w:p>
        </w:tc>
        <w:tc>
          <w:tcPr>
            <w:tcW w:type="dxa" w:w="177"/>
            <w:tcMar>
              <w:left w:type="dxa" w:w="0"/>
              <w:right w:type="dxa" w:w="0"/>
            </w:tcMar>
            <w:tcBorders>
              <w:top w:val="single" w:sz="8" w:space="0"/>
              <w:bottom w:val="double" w:sz="4"/>
            </w:tcBorders>
          </w:tcPr>
          <w:p/>
        </w:tc>
      </w:tr>
      <w:tr>
        <w:trPr>
          <w:trHeight w:hRule="exact" w:val="280"/>
        </w:trPr>
        <w:tc>
          <w:tcPr>
            <w:tcW w:type="dxa" w:w="480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300"/>
        </w:trPr>
        <w:tc>
          <w:tcPr>
            <w:tcW w:type="dxa" w:w="480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Revenue</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5,780,941</w:t>
            </w:r>
          </w:p>
        </w:tc>
        <w:tc>
          <w:tcPr>
            <w:tcW w:type="dxa" w:w="1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7,089,855</w:t>
            </w:r>
          </w:p>
        </w:tc>
        <w:tc>
          <w:tcPr>
            <w:tcW w:type="dxa" w:w="1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13,798,342</w:t>
            </w:r>
          </w:p>
        </w:tc>
        <w:tc>
          <w:tcPr>
            <w:tcW w:type="dxa" w:w="177"/>
            <w:tcMar>
              <w:left w:type="dxa" w:w="0"/>
              <w:right w:type="dxa" w:w="0"/>
            </w:tcMar>
            <w:tcBorders/>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17,637,264</w:t>
            </w:r>
          </w:p>
        </w:tc>
        <w:tc>
          <w:tcPr>
            <w:tcW w:type="dxa" w:w="177"/>
            <w:tcMar>
              <w:left w:type="dxa" w:w="0"/>
              <w:right w:type="dxa" w:w="0"/>
            </w:tcMar>
            <w:tcBorders/>
          </w:tcPr>
          <w:p/>
        </w:tc>
      </w:tr>
      <w:tr>
        <w:trPr>
          <w:trHeight w:hRule="exact" w:val="280"/>
        </w:trPr>
        <w:tc>
          <w:tcPr>
            <w:tcW w:type="dxa" w:w="4800"/>
            <w:tcMar>
              <w:left w:type="dxa" w:w="60"/>
              <w:right w:type="dxa" w:w="4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Cash Opex / Revenue</w:t>
            </w:r>
          </w:p>
        </w:tc>
        <w:tc>
          <w:tcPr>
            <w:tcW w:type="dxa" w:w="11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105</w:t>
            </w:r>
          </w:p>
        </w:tc>
        <w:tc>
          <w:tcPr>
            <w:tcMar>
              <w:left w:type="dxa" w:w="0"/>
              <w:right w:type="dxa" w:w="0"/>
            </w:tcMar>
            <w:tcBorders>
              <w:top w:val="single" w:sz="8" w:space="0"/>
              <w:bottom w:val="double" w:sz="4"/>
            </w:tcBorders>
            <w:vAlign w:val="bottom"/>
            <w:hMerge w:val="continue"/>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105</w:t>
            </w:r>
          </w:p>
        </w:tc>
        <w:tc>
          <w:tcPr>
            <w:tcW w:type="dxa" w:w="177"/>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top w:val="single" w:sz="8" w:space="0"/>
              <w:bottom w:val="double" w:sz="4"/>
            </w:tcBorders>
            <w:vAlign w:val="bottom"/>
          </w:tcPr>
          <w:p>
            <w:pPr>
              <w:jc w:val="left"/>
              <w:keepLines/>
              <w:spacing w:before="40" w:after="40" w:line="240" w:lineRule="auto"/>
              <w:rPr/>
            </w:pPr>
            <w:r>
              <w:rPr/>
            </w:r>
          </w:p>
        </w:tc>
        <w:tc>
          <w:tcPr>
            <w:tcW w:type="dxa" w:w="11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98</w:t>
            </w:r>
          </w:p>
        </w:tc>
        <w:tc>
          <w:tcPr>
            <w:tcMar>
              <w:left w:type="dxa" w:w="0"/>
              <w:right w:type="dxa" w:w="0"/>
            </w:tcMar>
            <w:tcBorders>
              <w:top w:val="single" w:sz="8" w:space="0"/>
              <w:bottom w:val="double" w:sz="4"/>
            </w:tcBorders>
            <w:vAlign w:val="bottom"/>
            <w:hMerge w:val="continue"/>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98</w:t>
            </w:r>
          </w:p>
        </w:tc>
        <w:tc>
          <w:tcPr>
            <w:tcW w:type="dxa" w:w="177"/>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top w:val="single" w:sz="8" w:space="0"/>
              <w:bottom w:val="double" w:sz="4"/>
            </w:tcBorders>
            <w:vAlign w:val="bottom"/>
          </w:tcPr>
          <w:p>
            <w:pPr>
              <w:jc w:val="left"/>
              <w:keepLines/>
              <w:spacing w:before="40" w:after="40" w:line="240" w:lineRule="auto"/>
              <w:rPr/>
            </w:pPr>
            <w:r>
              <w:rPr/>
            </w:r>
          </w:p>
        </w:tc>
        <w:tc>
          <w:tcPr>
            <w:tcW w:type="dxa" w:w="11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127</w:t>
            </w:r>
          </w:p>
        </w:tc>
        <w:tc>
          <w:tcPr>
            <w:tcMar>
              <w:left w:type="dxa" w:w="0"/>
              <w:right w:type="dxa" w:w="0"/>
            </w:tcMar>
            <w:tcBorders>
              <w:top w:val="single" w:sz="8" w:space="0"/>
              <w:bottom w:val="double" w:sz="4"/>
            </w:tcBorders>
            <w:vAlign w:val="bottom"/>
            <w:hMerge w:val="continue"/>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127</w:t>
            </w:r>
          </w:p>
        </w:tc>
        <w:tc>
          <w:tcPr>
            <w:tcW w:type="dxa" w:w="177"/>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top w:val="single" w:sz="8" w:space="0"/>
              <w:bottom w:val="double" w:sz="4"/>
            </w:tcBorders>
            <w:vAlign w:val="bottom"/>
          </w:tcPr>
          <w:p>
            <w:pPr>
              <w:jc w:val="left"/>
              <w:keepLines/>
              <w:spacing w:before="40" w:after="40" w:line="240" w:lineRule="auto"/>
              <w:rPr/>
            </w:pPr>
            <w:r>
              <w:rPr/>
            </w:r>
          </w:p>
        </w:tc>
        <w:tc>
          <w:tcPr>
            <w:tcW w:type="dxa" w:w="11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115</w:t>
            </w:r>
          </w:p>
        </w:tc>
        <w:tc>
          <w:tcPr>
            <w:tcMar>
              <w:left w:type="dxa" w:w="0"/>
              <w:right w:type="dxa" w:w="0"/>
            </w:tcMar>
            <w:tcBorders>
              <w:top w:val="single" w:sz="8" w:space="0"/>
              <w:bottom w:val="double" w:sz="4"/>
            </w:tcBorders>
            <w:vAlign w:val="bottom"/>
            <w:hMerge w:val="continue"/>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115</w:t>
            </w:r>
          </w:p>
        </w:tc>
        <w:tc>
          <w:tcPr>
            <w:tcW w:type="dxa" w:w="177"/>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following table sets forth a reconciliation from the GAAP measurement of net loss to our non-GAAP financial measure of Adjusted EBITDA for the </w:t>
      </w:r>
      <w:r>
        <w:rPr>
          <w:rFonts w:ascii="Times New Roman" w:hAnsi="Times New Roman" w:eastAsia="Times New Roman" w:cs="Times New Roman"/>
          <w:sz w:val="20"/>
        </w:rPr>
        <w:t xml:space="preserve">three and 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w:t>
      </w:r>
    </w:p>
    <w:tbl>
      <w:tblPr>
        <w:tblW w:type="dxa" w:w="10180"/>
        <w:tblLayout w:type="fixed"/>
        <w:jc w:val="left"/>
      </w:tblPr>
      <w:tblGrid>
        <w:gridCol w:w="4740"/>
        <w:gridCol w:w="110"/>
        <w:gridCol w:w="946"/>
        <w:gridCol w:w="244"/>
        <w:gridCol w:w="80"/>
        <w:gridCol w:w="110"/>
        <w:gridCol w:w="1013"/>
        <w:gridCol w:w="177"/>
        <w:gridCol w:w="80"/>
        <w:gridCol w:w="110"/>
        <w:gridCol w:w="946"/>
        <w:gridCol w:w="244"/>
        <w:gridCol w:w="80"/>
        <w:gridCol w:w="110"/>
        <w:gridCol w:w="946"/>
        <w:gridCol w:w="244"/>
      </w:tblGrid>
      <w:tr>
        <w:trPr>
          <w:trHeight w:hRule="exact" w:val="500"/>
        </w:trPr>
        <w:tc>
          <w:tcPr>
            <w:tcW w:type="dxa" w:w="4740"/>
            <w:tcMar>
              <w:left w:type="dxa" w:w="60"/>
              <w:right w:type="dxa" w:w="0"/>
            </w:tcMar>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September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Three Months Ended</w:t>
              <w:br w:type="textWrapping"/>
              <w:t xml:space="preserve">September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c>
          <w:tcPr>
            <w:tcW w:type="dxa" w:w="80"/>
            <w:tcMar>
              <w:left w:type="dxa" w:w="0"/>
              <w:right w:type="dxa" w:w="0"/>
            </w:tcMar>
            <w:hMerge w:val="restart"/>
            <w:tcBorders/>
            <w:vAlign w:val="bottom"/>
          </w:tcPr>
          <w:p>
            <w:pPr>
              <w:jc w:val="left"/>
              <w:keepNext/>
              <w:keepLines/>
              <w:spacing w:before="40" w:after="40" w:line="240" w:lineRule="auto"/>
              <w:rPr/>
            </w:pPr>
            <w:r>
              <w:rPr/>
            </w:r>
          </w:p>
        </w:tc>
        <w:tc>
          <w:tcPr>
            <w:tcW w:type="dxa" w:w="0"/>
            <w:tcMar>
              <w:left w:type="dxa" w:w="60"/>
              <w:right w:type="dxa" w:w="60"/>
            </w:tcMar>
            <w:hMerge w:val="restart"/>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br w:type="textWrapping"/>
              <w:t xml:space="preserve">September 30,</w:t>
            </w:r>
          </w:p>
        </w:tc>
        <w:tc>
          <w:tcPr>
            <w:tcMar>
              <w:left w:type="dxa" w:w="60"/>
              <w:right w:type="dxa" w:w="60"/>
            </w:tcMar>
            <w:hMerge w:val="continue"/>
            <w:tcBorders/>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Nine Months Ended</w:t>
              <w:br w:type="textWrapping"/>
              <w:t xml:space="preserve">September 30,</w:t>
            </w:r>
          </w:p>
        </w:tc>
        <w:tc>
          <w:tcPr>
            <w:tcMar>
              <w:left w:type="dxa" w:w="0"/>
              <w:right w:type="dxa" w:w="60"/>
            </w:tcMar>
            <w:hMerge w:val="continue"/>
            <w:tcBorders/>
          </w:tcP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vAlign w:val="bottom"/>
          </w:tcPr>
          <w:p>
            <w:pPr>
              <w:jc w:val="left"/>
              <w:keepNext/>
              <w:keepLines/>
              <w:spacing w:before="40" w:after="40" w:line="240" w:lineRule="auto"/>
              <w:rPr/>
            </w:pPr>
            <w:r>
              <w:rPr/>
            </w:r>
          </w:p>
        </w:tc>
        <w:tc>
          <w:tcPr>
            <w:tcMar>
              <w:left w:type="dxa" w:w="60"/>
              <w:right w:type="dxa" w:w="0"/>
            </w:tcMar>
            <w:hMerge w:val="continue"/>
            <w:tcBorders/>
          </w:tcPr>
          <w:p>
            <w:pPr>
              <w:jc w:val="left"/>
              <w:keepNext/>
              <w:keepLines/>
              <w:spacing w:before="40" w:after="40" w:line="240" w:lineRule="auto"/>
              <w:rPr/>
            </w:pPr>
            <w:r>
              <w:rPr/>
            </w:r>
          </w:p>
        </w:tc>
        <w:tc>
          <w:tcPr>
            <w:tcMar>
              <w:left w:type="dxa" w:w="0"/>
              <w:right w:type="dxa" w:w="0"/>
            </w:tcMar>
            <w:hMerge w:val="continue"/>
            <w:tcBorders/>
          </w:tcPr>
          <w:p/>
        </w:tc>
      </w:tr>
      <w:tr>
        <w:trPr>
          <w:trHeight w:hRule="exact" w:val="300"/>
        </w:trPr>
        <w:tc>
          <w:tcPr>
            <w:tcW w:type="dxa" w:w="4740"/>
            <w:tcMar>
              <w:left w:type="dxa" w:w="60"/>
              <w:right w:type="dxa" w:w="0"/>
            </w:tcMar>
            <w:hMerge w:val="restart"/>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60"/>
              <w:right w:type="dxa" w:w="0"/>
            </w:tcMar>
            <w:tcBorders>
              <w:top w:val="single" w:sz="8" w:space="0"/>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0"/>
              <w:right w:type="dxa" w:w="60"/>
            </w:tcMar>
            <w:tcBorders>
              <w:top w:val="single" w:sz="8" w:space="0"/>
              <w:bottom w:val="single" w:sz="8"/>
            </w:tcBorders>
            <w:hMerge w:val="continue"/>
          </w:tcPr>
          <w:p/>
        </w:tc>
        <w:tc>
          <w:tcPr>
            <w:tcW w:type="dxa" w:w="80"/>
            <w:tcMar>
              <w:left w:type="dxa" w:w="0"/>
              <w:right w:type="dxa" w:w="0"/>
            </w:tcMar>
            <w:tcBorders>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2018</w:t>
            </w:r>
          </w:p>
        </w:tc>
        <w:tc>
          <w:tcPr>
            <w:tcMar>
              <w:left w:type="dxa" w:w="0"/>
              <w:right w:type="dxa" w:w="60"/>
            </w:tcMar>
            <w:tcBorders>
              <w:top w:val="single" w:sz="8" w:space="0"/>
              <w:bottom w:val="single" w:sz="8"/>
            </w:tcBorders>
            <w:hMerge w:val="continue"/>
          </w:tcPr>
          <w:p/>
        </w:tc>
        <w:tc>
          <w:tcPr>
            <w:tcW w:type="dxa" w:w="80"/>
            <w:tcMar>
              <w:left w:type="dxa" w:w="0"/>
              <w:right w:type="dxa" w:w="60"/>
            </w:tcMar>
            <w:tcBorders>
              <w:top w:val="single" w:sz="8" w:space="0"/>
              <w:bottom w:val="single" w:sz="8"/>
            </w:tcBorders>
            <w:vAlign w:val="bottom"/>
          </w:tcPr>
          <w:p>
            <w:pPr>
              <w:jc w:val="left"/>
              <w:keepNext/>
              <w:keepLines/>
              <w:spacing w:before="40" w:after="40" w:line="240" w:lineRule="auto"/>
              <w:rPr/>
            </w:pPr>
            <w:r>
              <w:rPr/>
            </w:r>
          </w:p>
        </w:tc>
        <w:tc>
          <w:tcPr>
            <w:tcW w:type="dxa" w:w="0"/>
            <w:tcMar>
              <w:left w:type="dxa" w:w="60"/>
              <w:right w:type="dxa" w:w="60"/>
            </w:tcMar>
            <w:tcBorders>
              <w:top w:val="single" w:sz="8" w:space="0"/>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60"/>
              <w:right w:type="dxa" w:w="60"/>
            </w:tcMar>
            <w:tcBorders>
              <w:top w:val="single" w:sz="8" w:space="0"/>
              <w:bottom w:val="single" w:sz="8"/>
            </w:tcBorders>
            <w:hMerge w:val="continue"/>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2017</w:t>
            </w:r>
          </w:p>
        </w:tc>
        <w:tc>
          <w:tcPr>
            <w:tcMar>
              <w:left w:type="dxa" w:w="0"/>
              <w:right w:type="dxa" w:w="60"/>
            </w:tcMar>
            <w:tcBorders>
              <w:top w:val="single" w:sz="8" w:space="0"/>
              <w:bottom w:val="single" w:sz="8"/>
            </w:tcBorders>
            <w:hMerge w:val="continue"/>
          </w:tcPr>
          <w:p/>
        </w:tc>
      </w:tr>
      <w:tr>
        <w:trPr>
          <w:trHeight w:hRule="exact" w:val="280"/>
        </w:trPr>
        <w:tc>
          <w:tcPr>
            <w:tcW w:type="dxa" w:w="47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Net loss</w:t>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4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(1,332,829</w:t>
            </w:r>
          </w:p>
        </w:tc>
        <w:tc>
          <w:tcPr>
            <w:tcW w:type="dxa" w:w="24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(558,805</w:t>
            </w:r>
          </w:p>
        </w:tc>
        <w:tc>
          <w:tcPr>
            <w:tcW w:type="dxa" w:w="1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4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(5,025,704</w:t>
            </w:r>
          </w:p>
        </w:tc>
        <w:tc>
          <w:tcPr>
            <w:tcW w:type="dxa" w:w="24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0"/>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4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(4,724,623</w:t>
            </w:r>
          </w:p>
        </w:tc>
        <w:tc>
          <w:tcPr>
            <w:tcW w:type="dxa" w:w="24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7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Non-cash stock-based compensation</w:t>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118,410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118,410</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182,796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182,796</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468,042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468,042</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509,642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509,642</w:t>
            </w:r>
          </w:p>
        </w:tc>
        <w:tc>
          <w:tcPr>
            <w:tcW w:type="dxa" w:w="244"/>
            <w:tcMar>
              <w:left w:type="dxa" w:w="0"/>
              <w:right w:type="dxa" w:w="0"/>
            </w:tcMar>
            <w:tcBorders/>
          </w:tcPr>
          <w:p/>
        </w:tc>
      </w:tr>
      <w:tr>
        <w:trPr>
          <w:trHeight w:hRule="exact" w:val="280"/>
        </w:trPr>
        <w:tc>
          <w:tcPr>
            <w:tcW w:type="dxa" w:w="47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Non-cash stock issued for payment of services</w:t>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31,244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31,244</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60,074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60,074</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93,734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93,734</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143,536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143,536</w:t>
            </w:r>
          </w:p>
        </w:tc>
        <w:tc>
          <w:tcPr>
            <w:tcW w:type="dxa" w:w="244"/>
            <w:tcMar>
              <w:left w:type="dxa" w:w="0"/>
              <w:right w:type="dxa" w:w="0"/>
            </w:tcMar>
            <w:tcBorders/>
          </w:tcPr>
          <w:p/>
        </w:tc>
      </w:tr>
      <w:tr>
        <w:trPr>
          <w:trHeight w:hRule="exact" w:val="280"/>
        </w:trPr>
        <w:tc>
          <w:tcPr>
            <w:tcW w:type="dxa" w:w="47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(Gain) loss on disposal of equipment</w:t>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6,642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6,642</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(1,775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(1,775</w:t>
            </w:r>
          </w:p>
        </w:tc>
        <w:tc>
          <w:tcPr>
            <w:tcW w:type="dxa" w:w="1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5,242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5,242</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(5,462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(5,462</w:t>
            </w:r>
          </w:p>
        </w:tc>
        <w:tc>
          <w:tcPr>
            <w:tcW w:type="dxa" w:w="24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7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(Gain) loss on settlement of acquisition costs payable</w:t>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(84,938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(84,938</w:t>
            </w:r>
          </w:p>
        </w:tc>
        <w:tc>
          <w:tcPr>
            <w:tcW w:type="dxa" w:w="24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(84,938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(84,938</w:t>
            </w:r>
          </w:p>
        </w:tc>
        <w:tc>
          <w:tcPr>
            <w:tcW w:type="dxa" w:w="24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(10,491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(10,491</w:t>
            </w:r>
          </w:p>
        </w:tc>
        <w:tc>
          <w:tcPr>
            <w:tcW w:type="dxa" w:w="24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300"/>
        </w:trPr>
        <w:tc>
          <w:tcPr>
            <w:tcW w:type="dxa" w:w="47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Increase (decrease) in value of acquisition costs payable</w:t>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6,084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6,084</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193,708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193,708</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(618,512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(618,512</w:t>
            </w:r>
          </w:p>
        </w:tc>
        <w:tc>
          <w:tcPr>
            <w:tcW w:type="dxa" w:w="24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335,486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335,486</w:t>
            </w:r>
          </w:p>
        </w:tc>
        <w:tc>
          <w:tcPr>
            <w:tcW w:type="dxa" w:w="244"/>
            <w:tcMar>
              <w:left w:type="dxa" w:w="0"/>
              <w:right w:type="dxa" w:w="0"/>
            </w:tcMar>
            <w:tcBorders/>
          </w:tcPr>
          <w:p/>
        </w:tc>
      </w:tr>
      <w:tr>
        <w:trPr>
          <w:trHeight w:hRule="exact" w:val="280"/>
        </w:trPr>
        <w:tc>
          <w:tcPr>
            <w:tcW w:type="dxa" w:w="47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Legal expense accrual</w:t>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500,000</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500,000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500,000</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244"/>
            <w:tcMar>
              <w:left w:type="dxa" w:w="0"/>
              <w:right w:type="dxa" w:w="0"/>
            </w:tcMar>
            <w:tcBorders/>
          </w:tcPr>
          <w:p/>
        </w:tc>
      </w:tr>
      <w:tr>
        <w:trPr>
          <w:trHeight w:hRule="exact" w:val="280"/>
        </w:trPr>
        <w:tc>
          <w:tcPr>
            <w:tcW w:type="dxa" w:w="47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Depreciation and amortization</w:t>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370,674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370,674</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374,965</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374,965</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846,820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846,820</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1,095,831</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1,095,831</w:t>
            </w:r>
          </w:p>
        </w:tc>
        <w:tc>
          <w:tcPr>
            <w:tcW w:type="dxa" w:w="244"/>
            <w:tcMar>
              <w:left w:type="dxa" w:w="0"/>
              <w:right w:type="dxa" w:w="0"/>
            </w:tcMar>
            <w:tcBorders/>
          </w:tcPr>
          <w:p/>
        </w:tc>
      </w:tr>
      <w:tr>
        <w:trPr>
          <w:trHeight w:hRule="exact" w:val="280"/>
        </w:trPr>
        <w:tc>
          <w:tcPr>
            <w:tcW w:type="dxa" w:w="47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Interest expense</w:t>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90,452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90,452</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15,058</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15,058</w:t>
            </w:r>
          </w:p>
        </w:tc>
        <w:tc>
          <w:tcPr>
            <w:tcW w:type="dxa" w:w="177"/>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147,166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147,166</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45,406</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45,406</w:t>
            </w:r>
          </w:p>
        </w:tc>
        <w:tc>
          <w:tcPr>
            <w:tcW w:type="dxa" w:w="244"/>
            <w:tcMar>
              <w:left w:type="dxa" w:w="0"/>
              <w:right w:type="dxa" w:w="0"/>
            </w:tcMar>
            <w:tcBorders/>
          </w:tcPr>
          <w:p/>
        </w:tc>
      </w:tr>
      <w:tr>
        <w:trPr>
          <w:trHeight w:hRule="exact" w:val="280"/>
        </w:trPr>
        <w:tc>
          <w:tcPr>
            <w:tcW w:type="dxa" w:w="4740"/>
            <w:tcMar>
              <w:left w:type="dxa" w:w="18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Change in fair value of derivatives</w:t>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123"/>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(45,160</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(45,160</w:t>
            </w:r>
          </w:p>
        </w:tc>
        <w:tc>
          <w:tcPr>
            <w:tcW w:type="dxa" w:w="177"/>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60"/>
              <w:right w:type="dxa" w:w="0"/>
            </w:tcMar>
            <w:tcBorders/>
            <w:vAlign w:val="bottom"/>
          </w:tcPr>
          <w:p>
            <w:pPr>
              <w:jc w:val="left"/>
              <w:keepNext/>
              <w:keepLines/>
              <w:spacing w:before="40" w:after="40" w:line="240" w:lineRule="auto"/>
              <w:rPr/>
            </w:pPr>
            <w:r>
              <w:rPr/>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11,794</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11,794</w:t>
            </w:r>
          </w:p>
        </w:tc>
        <w:tc>
          <w:tcPr>
            <w:tcW w:type="dxa" w:w="244"/>
            <w:tcMar>
              <w:left w:type="dxa" w:w="0"/>
              <w:right w:type="dxa" w:w="0"/>
            </w:tcMar>
            <w:tcBorders/>
          </w:tcPr>
          <w:p/>
        </w:tc>
        <w:tc>
          <w:tcPr>
            <w:tcW w:type="dxa" w:w="80"/>
            <w:tcMar>
              <w:left w:type="dxa" w:w="60"/>
              <w:right w:type="dxa" w:w="0"/>
            </w:tcMar>
            <w:tcBorders/>
            <w:vAlign w:val="bottom"/>
          </w:tcPr>
          <w:p>
            <w:pPr>
              <w:jc w:val="left"/>
              <w:keepNext/>
              <w:keepLines/>
              <w:spacing w:before="40" w:after="40" w:line="240" w:lineRule="auto"/>
              <w:rPr/>
            </w:pPr>
            <w:r>
              <w:rPr/>
            </w:r>
          </w:p>
        </w:tc>
        <w:tc>
          <w:tcPr>
            <w:tcW w:type="dxa" w:w="1056"/>
            <w:tcMar>
              <w:left w:type="dxa" w:w="0"/>
              <w:right w:type="dxa" w:w="0"/>
            </w:tcMar>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(36,122</w:t>
            </w:r>
          </w:p>
        </w:tc>
        <w:tc>
          <w:tcPr>
            <w:tcMar>
              <w:left w:type="dxa" w:w="0"/>
              <w:right w:type="dxa" w:w="0"/>
            </w:tcMar>
            <w:tcBorders/>
            <w:vAlign w:val="bottom"/>
            <w:hMerge w:val="continue"/>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(36,122</w:t>
            </w:r>
          </w:p>
        </w:tc>
        <w:tc>
          <w:tcPr>
            <w:tcW w:type="dxa" w:w="244"/>
            <w:tcMar>
              <w:left w:type="dxa" w:w="0"/>
              <w:right w:type="dxa" w:w="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740"/>
            <w:tcMar>
              <w:left w:type="dxa" w:w="60"/>
              <w:right w:type="dxa" w:w="4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Adjusted EBITDA</w:t>
            </w: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46"/>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(294,261</w:t>
            </w:r>
          </w:p>
        </w:tc>
        <w:tc>
          <w:tcPr>
            <w:tcW w:type="dxa" w:w="244"/>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top w:val="single" w:sz="8" w:space="0"/>
              <w:bottom w:val="double" w:sz="4"/>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220,861</w:t>
            </w:r>
          </w:p>
        </w:tc>
        <w:tc>
          <w:tcPr>
            <w:tcW w:type="dxa" w:w="177"/>
            <w:tcMar>
              <w:left w:type="dxa" w:w="0"/>
              <w:right w:type="dxa" w:w="0"/>
            </w:tcMar>
            <w:tcBorders>
              <w:top w:val="single" w:sz="8" w:space="0"/>
              <w:bottom w:val="double" w:sz="4"/>
            </w:tcBorders>
          </w:tcPr>
          <w:p/>
        </w:tc>
        <w:tc>
          <w:tcPr>
            <w:tcW w:type="dxa" w:w="80"/>
            <w:tcMar>
              <w:left w:type="dxa" w:w="0"/>
              <w:right w:type="dxa" w:w="60"/>
            </w:tcMar>
            <w:tcBorders>
              <w:top w:val="single" w:sz="8" w:space="0"/>
              <w:bottom w:val="double" w:sz="4"/>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46"/>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(3,656,356</w:t>
            </w:r>
          </w:p>
        </w:tc>
        <w:tc>
          <w:tcPr>
            <w:tcW w:type="dxa" w:w="244"/>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top w:val="single" w:sz="8" w:space="0"/>
              <w:bottom w:val="double" w:sz="4"/>
            </w:tcBorders>
            <w:vAlign w:val="bottom"/>
          </w:tcPr>
          <w:p>
            <w:pPr>
              <w:jc w:val="left"/>
              <w:keepNext/>
              <w:keepLines/>
              <w:spacing w:before="40" w:after="40" w:line="240" w:lineRule="auto"/>
              <w:rPr/>
            </w:pPr>
            <w:r>
              <w:rPr/>
            </w:r>
          </w:p>
        </w:tc>
        <w:tc>
          <w:tcPr>
            <w:tcW w:type="dxa" w:w="110"/>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46"/>
            <w:tcMar>
              <w:left w:type="dxa" w:w="0"/>
              <w:right w:type="dxa" w:w="0"/>
            </w:tcMar>
            <w:tcBorders>
              <w:top w:val="single" w:sz="8" w:space="0"/>
              <w:bottom w:val="double" w:sz="4"/>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(2,646,797</w:t>
            </w:r>
          </w:p>
        </w:tc>
        <w:tc>
          <w:tcPr>
            <w:tcW w:type="dxa" w:w="244"/>
            <w:tcMar>
              <w:left w:type="dxa" w:w="0"/>
              <w:right w:type="dxa" w:w="0"/>
            </w:tcMar>
            <w:tcBorders>
              <w:top w:val="single" w:sz="8" w:space="0"/>
              <w:bottom w:val="double" w:sz="4"/>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r>
        <w:trPr>
          <w:trHeight w:hRule="exact" w:val="280"/>
        </w:trPr>
        <w:tc>
          <w:tcPr>
            <w:tcW w:type="dxa" w:w="4740"/>
            <w:tcMar>
              <w:left w:type="dxa" w:w="60"/>
              <w:right w:type="dxa" w:w="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c>
          <w:tcPr>
            <w:tcW w:type="dxa" w:w="80"/>
            <w:tcMar>
              <w:left w:type="dxa" w:w="0"/>
              <w:right w:type="dxa" w:w="60"/>
            </w:tcMar>
            <w:tcBorders/>
            <w:vAlign w:val="bottom"/>
          </w:tcPr>
          <w:p>
            <w:pPr>
              <w:jc w:val="left"/>
              <w:keepNext/>
              <w:keepLines/>
              <w:spacing w:before="40" w:after="40" w:line="240" w:lineRule="auto"/>
              <w:rPr/>
            </w:pPr>
            <w:r>
              <w:rPr/>
            </w:r>
          </w:p>
        </w:tc>
        <w:tc>
          <w:tcPr>
            <w:tcW w:type="dxa" w:w="0"/>
            <w:tcMar>
              <w:left w:type="dxa" w:w="0"/>
              <w:right w:type="dxa" w:w="60"/>
            </w:tcMar>
            <w:tcBorders/>
            <w:vAlign w:val="bottom"/>
            <w:hMerge w:val="restart"/>
          </w:tcPr>
          <w:p>
            <w:pPr>
              <w:jc w:val="left"/>
              <w:keepNext/>
              <w:keepLines/>
              <w:spacing w:before="40" w:after="40" w:line="240" w:lineRule="auto"/>
              <w:rPr/>
            </w:pPr>
            <w:r>
              <w:rPr/>
            </w:r>
          </w:p>
        </w:tc>
        <w:tc>
          <w:tcPr>
            <w:tcMar>
              <w:left w:type="dxa" w:w="0"/>
              <w:right w:type="dxa" w:w="60"/>
            </w:tcMar>
            <w:tcBorders/>
            <w:hMerge w:val="continue"/>
          </w:tcPr>
          <w:p>
            <w:pPr>
              <w:jc w:val="left"/>
              <w:keepNext/>
              <w:keepLines/>
              <w:spacing w:before="40" w:after="40" w:line="240" w:lineRule="auto"/>
              <w:rPr/>
            </w:pPr>
            <w:r>
              <w:rPr/>
            </w:r>
          </w:p>
        </w:tc>
        <w:tc>
          <w:tcPr>
            <w:tcMar>
              <w:left w:type="dxa" w:w="0"/>
              <w:right w:type="dxa" w:w="60"/>
            </w:tcMar>
            <w:tcBorders/>
            <w:hMerge w:val="continue"/>
          </w:tcPr>
          <w:p/>
        </w:tc>
      </w:tr>
      <w:tr>
        <w:trPr>
          <w:trHeight w:hRule="exact" w:val="280"/>
        </w:trPr>
        <w:tc>
          <w:tcPr>
            <w:tcW w:type="dxa" w:w="474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Revenue</w:t>
            </w:r>
          </w:p>
        </w:tc>
        <w:tc>
          <w:tcPr>
            <w:tcW w:type="dxa" w:w="110"/>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4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5,780,941</w:t>
            </w:r>
          </w:p>
        </w:tc>
        <w:tc>
          <w:tcPr>
            <w:tcW w:type="dxa" w:w="244"/>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10"/>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1013"/>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7,089,855</w:t>
            </w:r>
          </w:p>
        </w:tc>
        <w:tc>
          <w:tcPr>
            <w:tcW w:type="dxa" w:w="177"/>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10"/>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4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13,798,342</w:t>
            </w:r>
          </w:p>
        </w:tc>
        <w:tc>
          <w:tcPr>
            <w:tcW w:type="dxa" w:w="244"/>
            <w:tcMar>
              <w:left w:type="dxa" w:w="0"/>
              <w:right w:type="dxa" w:w="0"/>
            </w:tcMar>
            <w:tcBorders>
              <w:bottom w:val="single" w:sz="8"/>
            </w:tcBorders>
          </w:tcPr>
          <w:p/>
        </w:tc>
        <w:tc>
          <w:tcPr>
            <w:tcW w:type="dxa" w:w="80"/>
            <w:tcMar>
              <w:left w:type="dxa" w:w="0"/>
              <w:right w:type="dxa" w:w="60"/>
            </w:tcMar>
            <w:tcBorders>
              <w:bottom w:val="single" w:sz="8"/>
            </w:tcBorders>
            <w:vAlign w:val="bottom"/>
          </w:tcPr>
          <w:p>
            <w:pPr>
              <w:jc w:val="left"/>
              <w:keepNext/>
              <w:keepLines/>
              <w:spacing w:before="40" w:after="40" w:line="240" w:lineRule="auto"/>
              <w:rPr/>
            </w:pPr>
            <w:r>
              <w:rPr/>
            </w:r>
          </w:p>
        </w:tc>
        <w:tc>
          <w:tcPr>
            <w:tcW w:type="dxa" w:w="110"/>
            <w:tcMar>
              <w:left w:type="dxa" w:w="0"/>
              <w:right w:type="dxa" w:w="0"/>
            </w:tcMar>
            <w:tcBorders>
              <w:bottom w:val="single" w:sz="8"/>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946"/>
            <w:tcMar>
              <w:left w:type="dxa" w:w="0"/>
              <w:right w:type="dxa" w:w="0"/>
            </w:tcMar>
            <w:tcBorders>
              <w:bottom w:val="single" w:sz="8"/>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17,637,264</w:t>
            </w:r>
          </w:p>
        </w:tc>
        <w:tc>
          <w:tcPr>
            <w:tcW w:type="dxa" w:w="244"/>
            <w:tcMar>
              <w:left w:type="dxa" w:w="0"/>
              <w:right w:type="dxa" w:w="0"/>
            </w:tcMar>
            <w:tcBorders>
              <w:bottom w:val="single" w:sz="8"/>
            </w:tcBorders>
          </w:tcPr>
          <w:p/>
        </w:tc>
      </w:tr>
      <w:tr>
        <w:trPr>
          <w:trHeight w:hRule="exact" w:val="280"/>
        </w:trPr>
        <w:tc>
          <w:tcPr>
            <w:tcW w:type="dxa" w:w="4740"/>
            <w:tcMar>
              <w:left w:type="dxa" w:w="60"/>
              <w:right w:type="dxa" w:w="40"/>
            </w:tcMar>
            <w:tcBorders>
              <w:top w:val="single" w:sz="8" w:space="0"/>
              <w:bottom w:val="double" w:sz="4"/>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Adjusted EBITDA as a % of Revenue</w:t>
            </w:r>
          </w:p>
        </w:tc>
        <w:tc>
          <w:tcPr>
            <w:tcW w:type="dxa" w:w="1056"/>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w:t>
            </w:r>
          </w:p>
        </w:tc>
        <w:tc>
          <w:tcPr>
            <w:tcMar>
              <w:left w:type="dxa" w:w="0"/>
              <w:right w:type="dxa" w:w="0"/>
            </w:tcMar>
            <w:tcBorders>
              <w:top w:val="single" w:sz="8" w:space="0"/>
              <w:bottom w:val="double" w:sz="4"/>
            </w:tcBorders>
            <w:vAlign w:val="bottom"/>
            <w:hMerge w:val="continue"/>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w:t>
            </w:r>
          </w:p>
        </w:tc>
        <w:tc>
          <w:tcPr>
            <w:tcW w:type="dxa" w:w="244"/>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top w:val="single" w:sz="8" w:space="0"/>
              <w:bottom w:val="double" w:sz="4"/>
            </w:tcBorders>
            <w:vAlign w:val="bottom"/>
          </w:tcPr>
          <w:p>
            <w:pPr>
              <w:jc w:val="left"/>
              <w:keepLines/>
              <w:spacing w:before="40" w:after="40" w:line="240" w:lineRule="auto"/>
              <w:rPr/>
            </w:pPr>
            <w:r>
              <w:rPr/>
            </w:r>
          </w:p>
        </w:tc>
        <w:tc>
          <w:tcPr>
            <w:tcW w:type="dxa" w:w="1123"/>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w:t>
            </w:r>
          </w:p>
        </w:tc>
        <w:tc>
          <w:tcPr>
            <w:tcMar>
              <w:left w:type="dxa" w:w="0"/>
              <w:right w:type="dxa" w:w="0"/>
            </w:tcMar>
            <w:tcBorders>
              <w:top w:val="single" w:sz="8" w:space="0"/>
              <w:bottom w:val="double" w:sz="4"/>
            </w:tcBorders>
            <w:vAlign w:val="bottom"/>
            <w:hMerge w:val="continue"/>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w:t>
            </w:r>
          </w:p>
        </w:tc>
        <w:tc>
          <w:tcPr>
            <w:tcW w:type="dxa" w:w="177"/>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top w:val="single" w:sz="8" w:space="0"/>
              <w:bottom w:val="double" w:sz="4"/>
            </w:tcBorders>
            <w:vAlign w:val="bottom"/>
          </w:tcPr>
          <w:p>
            <w:pPr>
              <w:jc w:val="left"/>
              <w:keepLines/>
              <w:spacing w:before="40" w:after="40" w:line="240" w:lineRule="auto"/>
              <w:rPr/>
            </w:pPr>
            <w:r>
              <w:rPr/>
            </w:r>
          </w:p>
        </w:tc>
        <w:tc>
          <w:tcPr>
            <w:tcW w:type="dxa" w:w="1056"/>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w:t>
            </w:r>
          </w:p>
        </w:tc>
        <w:tc>
          <w:tcPr>
            <w:tcMar>
              <w:left w:type="dxa" w:w="0"/>
              <w:right w:type="dxa" w:w="0"/>
            </w:tcMar>
            <w:tcBorders>
              <w:top w:val="single" w:sz="8" w:space="0"/>
              <w:bottom w:val="double" w:sz="4"/>
            </w:tcBorders>
            <w:vAlign w:val="bottom"/>
            <w:hMerge w:val="continue"/>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(26</w:t>
            </w:r>
          </w:p>
        </w:tc>
        <w:tc>
          <w:tcPr>
            <w:tcW w:type="dxa" w:w="244"/>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0"/>
            <w:tcMar>
              <w:left w:type="dxa" w:w="0"/>
              <w:right w:type="dxa" w:w="60"/>
            </w:tcMar>
            <w:tcBorders>
              <w:top w:val="single" w:sz="8" w:space="0"/>
              <w:bottom w:val="double" w:sz="4"/>
            </w:tcBorders>
            <w:vAlign w:val="bottom"/>
          </w:tcPr>
          <w:p>
            <w:pPr>
              <w:jc w:val="left"/>
              <w:keepLines/>
              <w:spacing w:before="40" w:after="40" w:line="240" w:lineRule="auto"/>
              <w:rPr/>
            </w:pPr>
            <w:r>
              <w:rPr/>
            </w:r>
          </w:p>
        </w:tc>
        <w:tc>
          <w:tcPr>
            <w:tcW w:type="dxa" w:w="1056"/>
            <w:tcMar>
              <w:left w:type="dxa" w:w="0"/>
              <w:right w:type="dxa" w:w="0"/>
            </w:tcMar>
            <w:tcBorders>
              <w:top w:val="single" w:sz="8" w:space="0"/>
              <w:bottom w:val="double" w:sz="4"/>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w:t>
            </w:r>
          </w:p>
        </w:tc>
        <w:tc>
          <w:tcPr>
            <w:tcMar>
              <w:left w:type="dxa" w:w="0"/>
              <w:right w:type="dxa" w:w="0"/>
            </w:tcMar>
            <w:tcBorders>
              <w:top w:val="single" w:sz="8" w:space="0"/>
              <w:bottom w:val="double" w:sz="4"/>
            </w:tcBorders>
            <w:vAlign w:val="bottom"/>
            <w:hMerge w:val="continue"/>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(15</w:t>
            </w:r>
          </w:p>
        </w:tc>
        <w:tc>
          <w:tcPr>
            <w:tcW w:type="dxa" w:w="244"/>
            <w:tcMar>
              <w:left w:type="dxa" w:w="0"/>
              <w:right w:type="dxa" w:w="0"/>
            </w:tcMar>
            <w:tcBorders>
              <w:top w:val="single" w:sz="8" w:space="0"/>
              <w:bottom w:val="double" w:sz="4"/>
            </w:tcBorders>
            <w:vAlign w:val="bottom"/>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r>
    </w:tbl>
    <w:p>
      <w:pPr>
        <w:jc w:val="both"/>
        <w:spacing w:before="60"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 w:type="default"/>
          <w:footerReference r:id="rId28"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Liquidity and Capital Resources</w:t>
      </w:r>
      <w:bookmarkStart w:id="37028" w:name="Liquidity_and_Capital_Resources_"/>
      <w:bookmarkEnd w:id="37028"/>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had cash and cash equivalents of </w:t>
      </w:r>
      <w:r>
        <w:rPr>
          <w:rFonts w:ascii="Times New Roman" w:hAnsi="Times New Roman" w:eastAsia="Times New Roman" w:cs="Times New Roman"/>
          <w:sz w:val="20"/>
        </w:rPr>
        <w:t xml:space="preserve">$3,864,676</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as compared to </w:t>
      </w:r>
      <w:r>
        <w:rPr>
          <w:rFonts w:ascii="Times New Roman" w:hAnsi="Times New Roman" w:eastAsia="Times New Roman" w:cs="Times New Roman"/>
          <w:sz w:val="20"/>
        </w:rPr>
        <w:t xml:space="preserve">$3,906,797</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December 31, 2017</w:t>
      </w:r>
      <w:r>
        <w:rPr>
          <w:rFonts w:ascii="Times New Roman" w:hAnsi="Times New Roman" w:eastAsia="Times New Roman" w:cs="Times New Roman"/>
          <w:sz w:val="20"/>
        </w:rPr>
        <w:t xml:space="preserve">, a decrease of </w:t>
      </w:r>
      <w:r>
        <w:rPr>
          <w:rFonts w:ascii="Times New Roman" w:hAnsi="Times New Roman" w:eastAsia="Times New Roman" w:cs="Times New Roman"/>
          <w:sz w:val="20"/>
        </w:rPr>
        <w:t xml:space="preserve">$42,121</w:t>
      </w:r>
      <w:r>
        <w:rPr>
          <w:rFonts w:ascii="Times New Roman" w:hAnsi="Times New Roman" w:eastAsia="Times New Roman" w:cs="Times New Roman"/>
          <w:sz w:val="20"/>
        </w:rPr>
        <w:t xml:space="preserve">, primarily due to the funding of our operating losses. We have incurred significant net losses and negative cash flow from operations for most periods since our inception, which has resulted in a total accumulated deficit of </w:t>
      </w:r>
      <w:r>
        <w:rPr>
          <w:rFonts w:ascii="Times New Roman" w:hAnsi="Times New Roman" w:eastAsia="Times New Roman" w:cs="Times New Roman"/>
          <w:sz w:val="20"/>
        </w:rPr>
        <w:t xml:space="preserve">$52,401,946</w:t>
      </w:r>
      <w:r>
        <w:rPr>
          <w:rFonts w:ascii="Times New Roman" w:hAnsi="Times New Roman" w:eastAsia="Times New Roman" w:cs="Times New Roman"/>
          <w:sz w:val="20"/>
        </w:rPr>
        <w:t xml:space="preserve"> at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To date, we have financed our operations through internally generated revenue from operations and the sale and exercise of our equity securities.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Cash used for operating activities was </w:t>
      </w:r>
      <w:r>
        <w:rPr>
          <w:rFonts w:ascii="Times New Roman" w:hAnsi="Times New Roman" w:eastAsia="Times New Roman" w:cs="Times New Roman"/>
          <w:sz w:val="20"/>
        </w:rPr>
        <w:t xml:space="preserve">$4,157,786</w:t>
      </w: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is the result of expenses exceeding our revenues. Cash used for investing activities was </w:t>
      </w:r>
      <w:r>
        <w:rPr>
          <w:rFonts w:ascii="Times New Roman" w:hAnsi="Times New Roman" w:eastAsia="Times New Roman" w:cs="Times New Roman"/>
          <w:sz w:val="20"/>
        </w:rPr>
        <w:t xml:space="preserve">$638,655</w:t>
      </w:r>
      <w:r>
        <w:rPr>
          <w:rFonts w:ascii="Times New Roman" w:hAnsi="Times New Roman" w:eastAsia="Times New Roman" w:cs="Times New Roman"/>
          <w:sz w:val="20"/>
        </w:rPr>
        <w:t xml:space="preserve">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due to internal costs related to the development of our proprietary software and purchases of computer and office equipment. Cash provided by financing activities during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$4,754,320</w:t>
      </w:r>
      <w:r>
        <w:rPr>
          <w:rFonts w:ascii="Times New Roman" w:hAnsi="Times New Roman" w:eastAsia="Times New Roman" w:cs="Times New Roman"/>
          <w:sz w:val="20"/>
        </w:rPr>
        <w:t xml:space="preserve">, which consisted primarily of net proceeds received from our public securities offerings during the quarter ended September 30, 2018.</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July 26, 2018, we completed our merger with TapInfluence. Pursuant to the merger agreement, we will pay TapInfluence stockholders an additional $4,500,000 in the form of cash, common stock or a combination thereof, at our option, in two installments - $1,000,000 six months after the closing date and $3,500,000 twelve months after the closing date of the merger.</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July 30, 2018, we paid $333,333 for the second annual installment due under ZenContent Stock Purchase Agreement. Of this amount $111,111 was paid in cash and $222,222 was paid using 98,765 shares of our common stock valued at $2.25 per share using a thirty (30) trading day volume-weighted average closing price as reported by the NASDAQ Capital Market prior to the issuance date. On July 30, 2019, we will be required to make the third and final annual installment payment of $333,334 in the form of either cash or additional shares of our common stock (determined at our option) as long as at least a minimum of 33% is paid in the form of cash. We are also required to pay contingent performance payments of $90,000 pursuant to the ZenContent Stock Purchase Agreement, as amended, $45,000 of which was due and paid in cash on November 1, 2018, and $45,000 in cash or stock, at our option, due on November 1, 2019.</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tabs>
          <w:tab w:val="left" w:pos="720"/>
        </w:tabs>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have a secured credit facility agreement with Western Alliance Bank, the parent company of Bridge Bank, National Association. Pursuant to this agreement, we may submit requests for funding up to 80% of our eligible accounts receivable up to a maximum credit limit of </w:t>
      </w:r>
      <w:r>
        <w:rPr>
          <w:rFonts w:ascii="Times New Roman" w:hAnsi="Times New Roman" w:eastAsia="Times New Roman" w:cs="Times New Roman"/>
          <w:sz w:val="20"/>
        </w:rPr>
        <w:t xml:space="preserve">$5 million</w:t>
      </w:r>
      <w:r>
        <w:rPr>
          <w:rFonts w:ascii="Times New Roman" w:hAnsi="Times New Roman" w:eastAsia="Times New Roman" w:cs="Times New Roman"/>
          <w:sz w:val="20"/>
        </w:rPr>
        <w:t xml:space="preserve">. Effective August 30, 2018, as a result of IZEA's merger with TapInfluence, Inc., the Company entered into a Business Financing Modification Agreement and Consent with Western Alliance Bank to add TapInfluence, Inc. as an additional borrower on the credit facility.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we had </w:t>
      </w:r>
      <w:r>
        <w:rPr>
          <w:rFonts w:ascii="Times New Roman" w:hAnsi="Times New Roman" w:eastAsia="Times New Roman" w:cs="Times New Roman"/>
          <w:sz w:val="20"/>
        </w:rPr>
        <w:t xml:space="preserve">$1,733,420</w:t>
      </w:r>
      <w:r>
        <w:rPr>
          <w:rFonts w:ascii="Times New Roman" w:hAnsi="Times New Roman" w:eastAsia="Times New Roman" w:cs="Times New Roman"/>
          <w:sz w:val="20"/>
        </w:rPr>
        <w:t xml:space="preserve"> outstanding under this agreement. Assuming that all of our accounts receivable balance was eligible for funding, we had remaining available credit of </w:t>
      </w:r>
      <w:r>
        <w:rPr>
          <w:rFonts w:ascii="Times New Roman" w:hAnsi="Times New Roman" w:eastAsia="Times New Roman" w:cs="Times New Roman"/>
          <w:sz w:val="20"/>
        </w:rPr>
        <w:t xml:space="preserve">$3,266,580</w:t>
      </w:r>
      <w:r>
        <w:rPr>
          <w:rFonts w:ascii="Times New Roman" w:hAnsi="Times New Roman" w:eastAsia="Times New Roman" w:cs="Times New Roman"/>
          <w:sz w:val="20"/>
        </w:rPr>
        <w:t xml:space="preserve"> under the agreement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w:t>
      </w:r>
    </w:p>
    <w:p>
      <w:pPr>
        <w:tabs>
          <w:tab w:val="left" w:pos="720"/>
        </w:tabs>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tabs>
          <w:tab w:val="left" w:pos="720"/>
        </w:tabs>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Additionally, on July 2, 2018 and September 21, 2018, we completed two separate underwritten public offerings for the sale of 3,556,000 and 1,407,333 shares of our common stock at a public offering price of $1.00 and $1.50 per share, respectively. The net proceeds for all shares sold by us in the public offerings were approximately $4.9 million after deducting underwriting discounts and commissions and estimated offering expenses.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With the cash on hand after our 2018 financings and the expected additional revenue potential and operational efficiencies after our merger with TapInfluence in July 2018, along with our available credit line with Western Alliance Bank, we expect to have sufficient cash reserves and financing sources available to cover expenses at least through the third quarter of 2019, although this is dependent, in part, upon a continued upward trend towards profitability from operations.  However, we do not currently have enough cash to pay our future obligations relating to our acquisitions of ZenContent and TapInfluence obligations as they become due in January 2019 and July 2019. We intend to rely on our ability to issue shares of our common stock as payment, but if we are limited in our ability to issue shares, cannot raise additional cash through our operations, borrowing on our credit facilities, or through a sale of our equity or equity linked securities to pay for these future obligations, we will need to significantly slow or pause our business activities and reduce expenses until such time as we are able to raise additional capital or perhaps even cease the operation of our business.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are currently exploring potential financing options that may be available to us. However, we have no commitments to obtain any additional funds, and there can be no assurance such funds will be available on acceptable terms or at all. If we are unable to obtain additional financing in a timely fashion and on terms acceptable to us, or do not attain profitability through operations, our financial condition and results of operations may be materially adversely affected and we may not be able to continue operations. These and other factors raise substantial doubt about our ability to continue as a going concern for one year from the issuance of the accompanying financial statements. The financial statements accompanying this report do not include any adjustments that might be necessary should we be unable to continue as a going concern.</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 w:type="default"/>
          <w:footerReference r:id="rId29" w:type="default"/>
        </w:sectPr>
      </w:pP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Off-Balance Sheet Arrangements</w:t>
      </w:r>
      <w:bookmarkStart w:id="64970" w:name="Off_Balance_Sheet_Arrangements"/>
      <w:bookmarkEnd w:id="64970"/>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we do not engage in any activities involving variable interest entities or off-balance sheet arrangements.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bookmarkStart w:id="10468" w:name="Critical_Accounting_Policies_and_Use_of_"/>
      <w:bookmarkEnd w:id="10468"/>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Critical Accounting Policies and Use of Estimates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preparation of the accompanying consolidated financial statements and related disclosures in conformity with GAAP requires us to make judgments, assumptions and estimates that affect the amounts reported in the accompanying consolidated financial statements and the accompanying notes.  The preparation of these financial statements requires us to make estimates and assumptions that affect the reported amounts of assets, liabilities, revenue and expenses, and related disclosure of contingent assets and liabilities.  On an ongoing basis, we evaluate our estimates and judgments, including those related to revenue recognition, tax positions and stock-based compensation. When making these estimates and assumptions, we consider our historical experience, our knowledge of economic and market factors and various other factors that we believe to be reasonable under the circumstances.  Actual results may differ from these estimates under different assumptions or conditions.  The following critical accounting policies are significantly affected by judgments, assumptions and estimates used in the preparation of the financial statements.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Accounts Receivable and Concentration of Credit Risk</w:t>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Accounts receivable are customer obligations due under normal trade terms. Uncollectibility of accounts receivable is not significant since most customers are bound by contract and are required to fund us for all the costs of an “opportunity” or "assignment," defined as an order created by a marketer for a creator to develop or share content on behalf of a marketer. If a portion of the account balance is deemed uncollectible, we will either write-off the amount owed or provide a reserve based on the uncollectible portion of the account. The Company controls credit risk through credit approvals, credit limits and monitoring procedures. We perform credit evaluations of our customers but generally do not require collateral to support accounts receivable. We determine the collectibility of accounts by regularly evaluating individual customer receivables and considering a customer’s financial condition, credit history and current economic conditions. We have a reserve of </w:t>
      </w:r>
      <w:r>
        <w:rPr>
          <w:rFonts w:ascii="Times New Roman" w:hAnsi="Times New Roman" w:eastAsia="Times New Roman" w:cs="Times New Roman"/>
          <w:sz w:val="20"/>
        </w:rPr>
        <w:t xml:space="preserve">$317,190</w:t>
      </w:r>
      <w:r>
        <w:rPr>
          <w:rFonts w:ascii="Times New Roman" w:hAnsi="Times New Roman" w:eastAsia="Times New Roman" w:cs="Times New Roman"/>
          <w:sz w:val="20"/>
        </w:rPr>
        <w:t xml:space="preserve"> for doubtful accounts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We believe that this estimate is reasonable, but there can be no assurance that the estimate will not change as a result of a change in economic conditions or business conditions within the industry, the individual customers or our Company. Any adjustments to this account are reflected in the consolidated statements of operations as a general and administrative expense. Bad debt expense was less than 1% of revenue for the </w:t>
      </w:r>
      <w:r>
        <w:rPr>
          <w:rFonts w:ascii="Times New Roman" w:hAnsi="Times New Roman" w:eastAsia="Times New Roman" w:cs="Times New Roman"/>
          <w:sz w:val="20"/>
        </w:rPr>
        <w:t xml:space="preserve">three and 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and </w:t>
      </w:r>
      <w:r>
        <w:rPr>
          <w:rFonts w:ascii="Times New Roman" w:hAnsi="Times New Roman" w:eastAsia="Times New Roman" w:cs="Times New Roman"/>
          <w:sz w:val="20"/>
        </w:rPr>
        <w:t xml:space="preserve">2017</w:t>
      </w:r>
      <w:r>
        <w:rPr>
          <w:rFonts w:ascii="Times New Roman" w:hAnsi="Times New Roman" w:eastAsia="Times New Roman" w:cs="Times New Roman"/>
          <w:sz w:val="20"/>
        </w:rPr>
        <w:t xml:space="preserve">.</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Software Development Costs and Acquired Intangible Software</w:t>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In accordance with Accounting Standards Codification (“ASC”) 350-40,</w:t>
      </w:r>
      <w:r>
        <w:rPr>
          <w:rFonts w:ascii="Times New Roman" w:hAnsi="Times New Roman" w:eastAsia="Times New Roman" w:cs="Times New Roman"/>
          <w:sz w:val="20"/>
          <w:i w:val="true"/>
        </w:rPr>
        <w:t xml:space="preserve"> Internal Use Software,</w:t>
      </w:r>
      <w:r>
        <w:rPr>
          <w:rFonts w:ascii="Times New Roman" w:hAnsi="Times New Roman" w:eastAsia="Times New Roman" w:cs="Times New Roman"/>
          <w:sz w:val="20"/>
        </w:rPr>
        <w:t xml:space="preserve"> we capitalize certain internal use software development costs associated with creating and enhancing internally developed software related to our platforms. Software development activities generally consist of three stages (i) the research and planning stage, (ii) the application and development stage, and (iii) the post-implementation stage. Costs incurred in the planning and post-implementation stages of software development, or other maintenance and development expenses that do not meet the qualification for capitalization are expensed as incurred. Costs incurred in the application and infrastructure development stage, including significant enhancements and upgrades, are capitalized. These costs include personnel and related employee benefits expenses for employees or consultants who are directly associated with and who devote time to software projects, and external direct costs of materials obtained in developing the software. As a result, we have capitalized </w:t>
      </w:r>
      <w:r>
        <w:rPr>
          <w:rFonts w:ascii="Times New Roman" w:hAnsi="Times New Roman" w:eastAsia="Times New Roman" w:cs="Times New Roman"/>
          <w:sz w:val="20"/>
        </w:rPr>
        <w:t xml:space="preserve">$2,048,278</w:t>
      </w:r>
      <w:r>
        <w:rPr>
          <w:rFonts w:ascii="Times New Roman" w:hAnsi="Times New Roman" w:eastAsia="Times New Roman" w:cs="Times New Roman"/>
          <w:sz w:val="20"/>
        </w:rPr>
        <w:t xml:space="preserve"> to software development costs in the consolidated balance sheet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We also acquired additional proprietary software platforms valued at $530,000 during our acquisitions of Ebyline and ZenContent. These costs are reflected as intangible assets in the consolidated balance sheet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We do not transfer ownership of our software to third parties. These software development and acquired technology costs are amortized on a straight-line basis over the estimated useful life of five years upon initial release of the software or additional features under depreciation and amortization expense in the consolidated statements of operations.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Revenue Recognition</w:t>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derive our revenue from providing content services or managing advertising campaigns for its customers, as well as from making our platforms available to allow customers the ability to purchase content directly from our creators, and to self-manage their own campaigns. Managed Services is when a marketer (typically a brand, agency or partner) contracts IZEA to provide custom content, influencer marketing, amplification or other consulting services. Marketplace Spend Fees are fees charged to self-service customers on their marketplace spend within the Company's platforms. License Fees consist of fees charged to access the </w:t>
      </w:r>
      <w:r>
        <w:rPr>
          <w:rFonts w:ascii="Times New Roman" w:hAnsi="Times New Roman" w:eastAsia="Times New Roman" w:cs="Times New Roman"/>
          <w:sz w:val="20"/>
          <w:i w:val="true"/>
        </w:rPr>
        <w:t xml:space="preserve">IZEAx, Ebyline,</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technology platforms. Other Fees are generated from various service fees charged to users of the Company's platforms.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January 1, 2018, the Company adopted Accounting Standards Codification Topic 606, </w:t>
      </w:r>
      <w:r>
        <w:rPr>
          <w:rFonts w:ascii="Times New Roman" w:hAnsi="Times New Roman" w:eastAsia="Times New Roman" w:cs="Times New Roman"/>
          <w:sz w:val="20"/>
          <w:i w:val="true"/>
        </w:rPr>
        <w:t xml:space="preserve">Revenue from Contracts with Customers (ASC 606)</w:t>
      </w:r>
      <w:r>
        <w:rPr>
          <w:rFonts w:ascii="Times New Roman" w:hAnsi="Times New Roman" w:eastAsia="Times New Roman" w:cs="Times New Roman"/>
          <w:sz w:val="20"/>
        </w:rPr>
        <w:t xml:space="preserve"> using the modified retrospective method, under which comparative periods will not be restated and the cumulative effect of applying the standard will be recognized at the date of initial adoption on January 1, 2018. Under the modified retrospective method, the Company only applied the new standard to contracts that were not completed as of January 1, 2018. Under ASC 606, revenue is recognized based on a five-step model and, in doing so, more judgment and estimates may be required within the revenue recognition process than were required under the former rules. The Company has reviewed its sources of revenue in accordance with each of the five steps in the model, which are as follows: (i) identify the contract with the customer; (ii) identify the performance obligations in the contract; (iii) determine the transaction price; (iv) allocate the transaction price to the performance obligations in the contract; and (v) recognize revenue when (or as) performance obligations are satisfied. The core principle of ASC 606 is that revenue will be recognized when the transfer of promised goods or services to customers is made in an amount that reflects the consideration to which the entity expects to be entitled in exchange for those goods or services. The Company applies the five-step model to contracts when it is probable that it will collect the consideration it is entitled to in exchange for the goods or services it transfers to the customer. At contract inception, once the contract is determined to be within the scope of ASC 606, the Company assesses the goods or services promised within each contract and determines those that are distinct performance obligations. The Company also determines whether it acts as an agent or a principal for each identified performance obligation. The determination of whether the Company acts as the principal or the agent is highly subjective and requires the Company to evaluate a number of indicators individually and as a whole in order to make its determination</w:t>
      </w:r>
      <w:r>
        <w:rPr>
          <w:rFonts w:ascii="Times New Roman" w:hAnsi="Times New Roman" w:eastAsia="Times New Roman" w:cs="Times New Roman"/>
          <w:sz w:val="22"/>
        </w:rPr>
        <w:t xml:space="preserve">. </w:t>
      </w:r>
      <w:r>
        <w:rPr>
          <w:rFonts w:ascii="Times New Roman" w:hAnsi="Times New Roman" w:eastAsia="Times New Roman" w:cs="Times New Roman"/>
          <w:sz w:val="20"/>
        </w:rPr>
        <w:t xml:space="preserve">For transactions in which the Company acts as a principal, revenue is reported on a gross basis as the amount paid by the marketer for the purchase of content or sponsorship, promotion and other related services and the Company records the amounts it pays to third-party creators as cost of revenue. For transactions in which the Company acts as an agent, revenue is reported on a net basis as the amount the Company charged to the self-service marketer using the Company's platform, less the amounts paid to the third-party creators providing the service.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maintain separate arrangements with each marketer and content creator either in the form of a master agreement or terms of service, which specifies the terms of the relationship and access to its platforms, or by statement of work, which specifies the price and the services to be performed, along with other terms. The transaction price is determined based on the fixed fee stated in the statement of work and does not contain variable consideration. Marketers who contract with us to manage their advertising campaigns or custom content requests may prepay for services or request credit terms. Payment terms are typically 30 days from the invoice date. The agreement typically provides for a cancellation fee if the agreement is canceled by the customer prior to completion of services. Billings in advance of completed services are recorded as a contract liability until earned. We assess collectibility based on a number of factors, including the creditworthiness of the customer and payment and transaction history. The allocation of the transaction price to the performance obligations in the contract is based on a cost plus methodology.</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For Managed Services, we enter into an agreement to provide services that may include multiple distinct performance obligations in the form of: (i) an integrated marketing campaign to provide influencer marketing services, which may include the provision of blogs, tweets, photos or videos shared through social network offerings and content promotion, such as click-through advertisements appearing in websites and social media channels; and (ii) custom content items, such as a research or news article, informational material or videos. Marketers typically purchase influencer marketing services for the purpose of providing public awareness or advertising buzz regarding the marketer's brand and they purchase custom content for internal and external use. The Company may provide one type or a combination of all types of these performance obligations on a statement of work for a lump sum fee. The Company allocates revenue to each performance obligation in the contract at inception based on its relative standalone selling price. These performance obligations are to be provided over a stated period that may range from one day to one year. Revenue is accounted for when the performance obligation has been satisfied depending on the type of service provided. We view our obligation to deliver influencer marketing services, including management services, as a single performance obligation that is satisfied over time as the customer receives the benefits from the services. Revenue is recognized using an input method of costs incurred compared to total expected costs to measure the progress towards satisfying the overall performance obligation of the marketing campaign. The delivery of custom content represents a distinct performance obligation that is satisfied over time as we have no alternative for the custom content and we have an enforceable right to payment for performance completed to date under the contracts. The Company considers custom content to be a series of distinct services that are substantially the same and that have the same pattern of transfer to the customer, and revenue is recognized over time using an output method based on when each individual piece of content is delivered to the customer.  Based on our evaluations, revenue from Managed Services is reported on a gross basis, because we have the primary obligation to fulfill the performance obligations and it creates, reviews and controls the services. We take on the risk of payment to any third-party creators and establish the contract price directly with our customers based on the services requested in the statement of work.</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For Marketplace Spend services, the self-service customer instructs creators found through the Company's platforms to provide and/or distribute custom content for an agreed upon transaction fee. The Company's platforms control the contracting, description of services, acceptance of and payment for the requested content. This service is used primarily by news agencies or marketers to control the outsourcing of their content and advertising needs. We charge the self-service customer the transaction price plus a fee based on the contract. Revenue is recognized when the transaction is completed by the creator and accepted by the marketer. Based on the Company's evaluations, Marketplace Spend Fee revenue is reported on a net basis since the Company is acting as an agent solely arranging for the third-party creator or influencer to provide the services directly to the self-service customer through the platform, and are typically recognized upon publishing or purchase of the marketplace spend by the creator and verification of the publishing by the marketer.</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License Fee revenue is generated through the granting of limited, non-exclusive, non-transferable licenses to customers for the use of the </w:t>
      </w:r>
      <w:r>
        <w:rPr>
          <w:rFonts w:ascii="Times New Roman" w:hAnsi="Times New Roman" w:eastAsia="Times New Roman" w:cs="Times New Roman"/>
          <w:sz w:val="20"/>
          <w:i w:val="true"/>
        </w:rPr>
        <w:t xml:space="preserve">IZEAx</w:t>
      </w:r>
      <w:r>
        <w:rPr>
          <w:rFonts w:ascii="Times New Roman" w:hAnsi="Times New Roman" w:eastAsia="Times New Roman" w:cs="Times New Roman"/>
          <w:sz w:val="20"/>
        </w:rPr>
        <w:t xml:space="preserve"> and </w:t>
      </w:r>
      <w:r>
        <w:rPr>
          <w:rFonts w:ascii="Times New Roman" w:hAnsi="Times New Roman" w:eastAsia="Times New Roman" w:cs="Times New Roman"/>
          <w:sz w:val="20"/>
          <w:i w:val="true"/>
        </w:rPr>
        <w:t xml:space="preserve">TapInfluence</w:t>
      </w:r>
      <w:r>
        <w:rPr>
          <w:rFonts w:ascii="Times New Roman" w:hAnsi="Times New Roman" w:eastAsia="Times New Roman" w:cs="Times New Roman"/>
          <w:sz w:val="20"/>
        </w:rPr>
        <w:t xml:space="preserve"> technology platforms for an agreed-upon subscription period. Customers license the platforms to manage their own influencer marketing campaigns. Fees for subscription or licensing services are recognized straight-line over the term of the service.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Other Fee revenue is generated when fees are charged to customers primarily related to monthly plan fees, inactivity fees, and early cash-out fees. Plan fees are recognized within the month they relate to, and inactivity and early cash-out fees are recognized at a point in time when the account is deemed inactive or a cash-out below certain minimum thresholds is requested.</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do not typically engage in contracts that are longer than one year. Therefore, the Company does not capitalize costs to obtain its customer contracts as these amounts would be generally recognized over less than one year and are not material.</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Changes in how we control and manage our platforms, our contractual terms, our business practices, or other changes in accounting standards or interpretations, may change the reporting of our revenue. Effective January 1, 2018, we became subject to new guidelines for disclosing and accounting for our revenue from contracts with customers. See Note 8 under Part I, Item 1 of this Quarterly Report for further details on the Company's adoption and disclosures related to ASC 606.</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both"/>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Stock-Based Compensation</w:t>
      </w:r>
    </w:p>
    <w:p>
      <w:pPr>
        <w:jc w:val="both"/>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left"/>
        <w:spacing w:after="20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Stock-based compensation is measured at the grant date, based on the fair value of the award, and is recognized as an expense over the employee’s requisite service period.  We estimate the fair value of each stock option as of the date of grant using the Black-Scholes pricing model.  Options typically vest ratably over four years with one-fourth of options vesting one year from the date of grant and the remaining options vesting monthly, in equal increments over the remaining three-year period and generally have five or ten-year contract lives.  We estimate the fair value of our common stock using the closing stock price of our common stock on the date of the grant.  We estimate the volatility of our common stock at the date of grant based on the volatility of comparable peer companies that are publicly traded and have had a longer trading history than us. We determine the expected life based on historical experience with similar awards, giving consideration to the contractual terms, vesting schedules and post-vesting forfeitures. We use the risk-free interest rate on the implied yield currently available on U.S. Treasury issues with an equivalent remaining term approximately equal to the expected life of the award. We have never paid any cash dividends on our common stock and do not anticipate paying any cash dividends in the foreseeable future. We estimate forfeitures when recognizing compensation expense and this estimate of forfeitures is adjusted over the requisite service period based on the extent to which actual forfeitures differ, or are expected to differ, from such estimates. Changes in estimated forfeitures are recognized through a cumulative catch-up adjustment, which is recognized in the period of change, and a revised amount of unamortized compensation expense to be recognized in future periods.</w:t>
      </w:r>
    </w:p>
    <w:p>
      <w:pPr>
        <w:jc w:val="left"/>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 following table shows the number of options granted under our 2011 Equity Incentive Plans and the assumptions used to determine the fair value of those options during the year ended </w:t>
      </w:r>
      <w:r>
        <w:rPr>
          <w:rFonts w:ascii="Times New Roman" w:hAnsi="Times New Roman" w:eastAsia="Times New Roman" w:cs="Times New Roman"/>
          <w:sz w:val="20"/>
        </w:rPr>
        <w:t xml:space="preserve">December 31, 2017</w:t>
      </w:r>
      <w:r>
        <w:rPr>
          <w:rFonts w:ascii="Times New Roman" w:hAnsi="Times New Roman" w:eastAsia="Times New Roman" w:cs="Times New Roman"/>
          <w:sz w:val="20"/>
        </w:rPr>
        <w:t xml:space="preserve"> and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w:t>
      </w:r>
    </w:p>
    <w:tbl>
      <w:tblPr>
        <w:tblW w:type="dxa" w:w="10240"/>
        <w:tblLayout w:type="fixed"/>
        <w:jc w:val="left"/>
      </w:tblPr>
      <w:tblGrid>
        <w:gridCol w:w="1960"/>
        <w:gridCol w:w="80"/>
        <w:gridCol w:w="1223"/>
        <w:gridCol w:w="77"/>
        <w:gridCol w:w="80"/>
        <w:gridCol w:w="1300"/>
        <w:gridCol w:w="80"/>
        <w:gridCol w:w="1300"/>
        <w:gridCol w:w="80"/>
        <w:gridCol w:w="1300"/>
        <w:gridCol w:w="80"/>
        <w:gridCol w:w="1300"/>
        <w:gridCol w:w="80"/>
        <w:gridCol w:w="1300"/>
      </w:tblGrid>
      <w:tr>
        <w:trPr>
          <w:trHeight w:hRule="exact" w:val="900"/>
        </w:trPr>
        <w:tc>
          <w:tcPr>
            <w:tcW w:type="dxa" w:w="196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Period Ended</w:t>
            </w:r>
          </w:p>
        </w:tc>
        <w:tc>
          <w:tcPr>
            <w:tcW w:type="dxa" w:w="80"/>
            <w:tcMar>
              <w:left w:type="dxa" w:w="0"/>
              <w:right w:type="dxa" w:w="0"/>
            </w:tcMar>
            <w:tcBorders/>
            <w:vAlign w:val="bottom"/>
          </w:tcPr>
          <w:p>
            <w:pPr>
              <w:jc w:val="left"/>
              <w:keepNext/>
              <w:keepLines/>
              <w:spacing w:before="40" w:after="40" w:line="240" w:lineRule="auto"/>
              <w:rPr/>
            </w:pPr>
            <w:r>
              <w:rPr/>
            </w:r>
          </w:p>
        </w:tc>
        <w:tc>
          <w:tcPr>
            <w:tcW w:type="dxa" w:w="1223"/>
            <w:tcMar>
              <w:left w:type="dxa" w:w="60"/>
              <w:right w:type="dxa" w:w="60"/>
            </w:tcMar>
            <w:tcBorders>
              <w:bottom w:val="single" w:sz="8"/>
            </w:tcBorders>
            <w:vAlign w:val="bottom"/>
            <w:hMerge w:val="restart"/>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Total Options Granted</w:t>
            </w:r>
          </w:p>
        </w:tc>
        <w:tc>
          <w:tcPr>
            <w:tcMar>
              <w:left w:type="dxa" w:w="0"/>
              <w:right w:type="dxa" w:w="60"/>
            </w:tcMar>
            <w:tcBorders>
              <w:bottom w:val="single" w:sz="8"/>
            </w:tcBorders>
            <w:hMerge w:val="continue"/>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 Exercise Price</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 Expected Term</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 Volatility</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 Risk Free Interest Rate</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Weighted Average</w:t>
              <w:br w:type="textWrapping"/>
              <w:t xml:space="preserve">Grant Date
</w:t>
              <w:br w:type="textWrapping"/>
              <w:t xml:space="preserve">Fair Value</w:t>
            </w:r>
          </w:p>
        </w:tc>
      </w:tr>
      <w:tr>
        <w:trPr>
          <w:trHeight w:hRule="exact" w:val="280"/>
        </w:trPr>
        <w:tc>
          <w:tcPr>
            <w:tcW w:type="dxa" w:w="1960"/>
            <w:tcMar>
              <w:left w:type="dxa" w:w="180"/>
              <w:right w:type="dxa" w:w="60"/>
            </w:tcMar>
            <w:tcBorders>
              <w:top w:val="single" w:sz="8" w:space="0"/>
            </w:tcBorders>
            <w:vAlign w:val="top"/>
          </w:tcPr>
          <w:p>
            <w:pPr>
              <w:jc w:val="both"/>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December 31, 2017</w:t>
            </w:r>
          </w:p>
        </w:tc>
        <w:tc>
          <w:tcPr>
            <w:tcW w:type="dxa" w:w="80"/>
            <w:tcMar>
              <w:left w:type="dxa" w:w="0"/>
              <w:right w:type="dxa" w:w="0"/>
            </w:tcMar>
            <w:tcBorders/>
            <w:vAlign w:val="top"/>
          </w:tcPr>
          <w:p>
            <w:pPr>
              <w:jc w:val="left"/>
              <w:keepNext/>
              <w:keepLines/>
              <w:spacing w:before="40" w:after="40" w:line="240" w:lineRule="auto"/>
              <w:rPr/>
            </w:pPr>
            <w:r>
              <w:rPr/>
            </w:r>
          </w:p>
        </w:tc>
        <w:tc>
          <w:tcPr>
            <w:tcW w:type="dxa" w:w="1223"/>
            <w:tcMar>
              <w:left w:type="dxa" w:w="0"/>
              <w:right w:type="dxa" w:w="0"/>
            </w:tcMar>
            <w:tcBorders>
              <w:top w:val="single" w:sz="8" w:space="0"/>
            </w:tcBorders>
            <w:vAlign w:val="bottom"/>
            <w:hMerge w:val="restart"/>
          </w:tcPr>
          <w:p>
            <w:pPr>
              <w:jc w:val="righ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141,246</w:t>
            </w:r>
          </w:p>
        </w:tc>
        <w:tc>
          <w:tcPr>
            <w:tcW w:type="dxa" w:w="77"/>
            <w:tcMar>
              <w:left w:type="dxa" w:w="0"/>
              <w:right w:type="dxa" w:w="0"/>
            </w:tcMar>
            <w:tcBorders>
              <w:top w:val="single" w:sz="8" w:space="0"/>
            </w:tcBorders>
          </w:tcP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$3.49</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 years</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50.16%</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2.06%</w:t>
            </w:r>
          </w:p>
        </w:tc>
        <w:tc>
          <w:tcPr>
            <w:tcW w:type="dxa" w:w="80"/>
            <w:tcMar>
              <w:left w:type="dxa" w:w="0"/>
              <w:right w:type="dxa" w:w="0"/>
            </w:tcMar>
            <w:tcBorders/>
            <w:vAlign w:val="bottom"/>
          </w:tcPr>
          <w:p>
            <w:pPr>
              <w:jc w:val="left"/>
              <w:keepNext/>
              <w:keepLines/>
              <w:spacing w:before="40" w:after="40" w:line="240" w:lineRule="auto"/>
              <w:rPr/>
            </w:pPr>
            <w:r>
              <w:rPr/>
            </w:r>
          </w:p>
        </w:tc>
        <w:tc>
          <w:tcPr>
            <w:tcW w:type="dxa" w:w="1300"/>
            <w:tcMar>
              <w:left w:type="dxa" w:w="60"/>
              <w:right w:type="dxa" w:w="60"/>
            </w:tcMar>
            <w:tcBorders>
              <w:top w:val="single" w:sz="8" w:space="0"/>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$1.76</w:t>
            </w:r>
          </w:p>
        </w:tc>
      </w:tr>
      <w:tr>
        <w:trPr>
          <w:trHeight w:hRule="exact" w:val="280"/>
        </w:trPr>
        <w:tc>
          <w:tcPr>
            <w:tcW w:type="dxa" w:w="1960"/>
            <w:tcMar>
              <w:left w:type="dxa" w:w="180"/>
              <w:right w:type="dxa" w:w="60"/>
            </w:tcMar>
            <w:tcBorders/>
            <w:vAlign w:val="top"/>
          </w:tcPr>
          <w:p>
            <w:pPr>
              <w:jc w:val="both"/>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September 30, 2018</w:t>
            </w:r>
          </w:p>
        </w:tc>
        <w:tc>
          <w:tcPr>
            <w:tcW w:type="dxa" w:w="80"/>
            <w:tcMar>
              <w:left w:type="dxa" w:w="0"/>
              <w:right w:type="dxa" w:w="0"/>
            </w:tcMar>
            <w:tcBorders/>
            <w:vAlign w:val="top"/>
          </w:tcPr>
          <w:p>
            <w:pPr>
              <w:jc w:val="left"/>
              <w:keepLines/>
              <w:spacing w:before="40" w:after="40" w:line="240" w:lineRule="auto"/>
              <w:rPr/>
            </w:pPr>
            <w:r>
              <w:rPr/>
            </w:r>
          </w:p>
        </w:tc>
        <w:tc>
          <w:tcPr>
            <w:tcW w:type="dxa" w:w="1223"/>
            <w:tcMar>
              <w:left w:type="dxa" w:w="0"/>
              <w:right w:type="dxa" w:w="0"/>
            </w:tcMar>
            <w:tcBorders/>
            <w:vAlign w:val="bottom"/>
            <w:hMerge w:val="restart"/>
          </w:tcPr>
          <w:p>
            <w:pPr>
              <w:jc w:val="righ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98,359</w:t>
            </w:r>
          </w:p>
        </w:tc>
        <w:tc>
          <w:tcPr>
            <w:tcW w:type="dxa" w:w="77"/>
            <w:tcMar>
              <w:left w:type="dxa" w:w="0"/>
              <w:right w:type="dxa" w:w="0"/>
            </w:tcMar>
            <w:tcBorders/>
          </w:tcP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$1.71</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6.0 years</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63.40%</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2.77%</w:t>
            </w:r>
          </w:p>
        </w:tc>
        <w:tc>
          <w:tcPr>
            <w:tcW w:type="dxa" w:w="80"/>
            <w:tcMar>
              <w:left w:type="dxa" w:w="0"/>
              <w:right w:type="dxa" w:w="0"/>
            </w:tcMar>
            <w:tcBorders/>
            <w:vAlign w:val="bottom"/>
          </w:tcPr>
          <w:p>
            <w:pPr>
              <w:jc w:val="left"/>
              <w:keepLines/>
              <w:spacing w:before="40" w:after="40" w:line="240" w:lineRule="auto"/>
              <w:rPr/>
            </w:pPr>
            <w:r>
              <w:rPr/>
            </w:r>
          </w:p>
        </w:tc>
        <w:tc>
          <w:tcPr>
            <w:tcW w:type="dxa" w:w="1300"/>
            <w:tcMar>
              <w:left w:type="dxa" w:w="60"/>
              <w:right w:type="dxa" w:w="60"/>
            </w:tcMar>
            <w:tcBorders/>
            <w:vAlign w:val="bottom"/>
          </w:tcPr>
          <w:p>
            <w:pPr>
              <w:jc w:val="center"/>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$0.96</w:t>
            </w:r>
          </w:p>
        </w:tc>
      </w:tr>
    </w:tbl>
    <w:p>
      <w:pPr>
        <w:jc w:val="left"/>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There were outstanding options to purchase </w:t>
      </w:r>
      <w:r>
        <w:rPr>
          <w:rFonts w:ascii="Times New Roman" w:hAnsi="Times New Roman" w:eastAsia="Times New Roman" w:cs="Times New Roman"/>
          <w:sz w:val="20"/>
        </w:rPr>
        <w:t xml:space="preserve">1,066,049</w:t>
      </w:r>
      <w:r>
        <w:rPr>
          <w:rFonts w:ascii="Times New Roman" w:hAnsi="Times New Roman" w:eastAsia="Times New Roman" w:cs="Times New Roman"/>
          <w:sz w:val="20"/>
        </w:rPr>
        <w:t xml:space="preserve"> shares with a weighted average exercise price of </w:t>
      </w:r>
      <w:r>
        <w:rPr>
          <w:rFonts w:ascii="Times New Roman" w:hAnsi="Times New Roman" w:eastAsia="Times New Roman" w:cs="Times New Roman"/>
          <w:sz w:val="20"/>
        </w:rPr>
        <w:t xml:space="preserve">$5.59</w:t>
      </w:r>
      <w:r>
        <w:rPr>
          <w:rFonts w:ascii="Times New Roman" w:hAnsi="Times New Roman" w:eastAsia="Times New Roman" w:cs="Times New Roman"/>
          <w:sz w:val="20"/>
        </w:rPr>
        <w:t xml:space="preserve"> per share, of which options to purchase </w:t>
      </w:r>
      <w:r>
        <w:rPr>
          <w:rFonts w:ascii="Times New Roman" w:hAnsi="Times New Roman" w:eastAsia="Times New Roman" w:cs="Times New Roman"/>
          <w:sz w:val="20"/>
        </w:rPr>
        <w:t xml:space="preserve">788,036</w:t>
      </w:r>
      <w:r>
        <w:rPr>
          <w:rFonts w:ascii="Times New Roman" w:hAnsi="Times New Roman" w:eastAsia="Times New Roman" w:cs="Times New Roman"/>
          <w:sz w:val="20"/>
        </w:rPr>
        <w:t xml:space="preserve"> shares were exercisable with a weighted average exercise price of </w:t>
      </w:r>
      <w:r>
        <w:rPr>
          <w:rFonts w:ascii="Times New Roman" w:hAnsi="Times New Roman" w:eastAsia="Times New Roman" w:cs="Times New Roman"/>
          <w:sz w:val="20"/>
        </w:rPr>
        <w:t xml:space="preserve">$6.24</w:t>
      </w:r>
      <w:r>
        <w:rPr>
          <w:rFonts w:ascii="Times New Roman" w:hAnsi="Times New Roman" w:eastAsia="Times New Roman" w:cs="Times New Roman"/>
          <w:sz w:val="20"/>
        </w:rPr>
        <w:t xml:space="preserve"> per share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The intrinsic value on outstanding options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$31,009</w:t>
      </w:r>
      <w:r>
        <w:rPr>
          <w:rFonts w:ascii="Times New Roman" w:hAnsi="Times New Roman" w:eastAsia="Times New Roman" w:cs="Times New Roman"/>
          <w:sz w:val="20"/>
        </w:rPr>
        <w:t xml:space="preserve">. The intrinsic value on exercisable options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$466</w:t>
      </w:r>
      <w:r>
        <w:rPr>
          <w:rFonts w:ascii="Times New Roman" w:hAnsi="Times New Roman" w:eastAsia="Times New Roman" w:cs="Times New Roman"/>
          <w:sz w:val="20"/>
        </w:rPr>
        <w:t xml:space="preserve">.</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 w:type="default"/>
          <w:footerReference r:id="rId30"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Recent Accounting Pronouncements</w:t>
      </w:r>
      <w:bookmarkStart w:id="58928" w:name="Recent_Accounting_Pronouncements"/>
      <w:bookmarkEnd w:id="58928"/>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See “Note 1. Company and Summary of Significant Accounting Policies,” under Item 1 of this Quarterly Report for information on additional recent pronouncements.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3 – QUANTITATIVE AND QUALITATIVE DISCLOSURES ABOUT MARKET RISK</w:t>
      </w:r>
      <w:bookmarkStart w:id="21697" w:name="Item_3__Quantitive_and_Qualitatve_Disclo"/>
      <w:bookmarkEnd w:id="21697"/>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Not applicable to smaller reporting companies.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4 – CONTROLS AND PROCEDURES</w:t>
      </w:r>
      <w:bookmarkStart w:id="13723" w:name="Item_4__Controls_and_Procedures"/>
      <w:bookmarkEnd w:id="13723"/>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Disclosure controls and procedures are controls and other procedures that are designed to ensure that information required to be disclosed by us in the reports that we file or submit under the Securities Exchange Act of 1934, as amended (the “Exchange Act”), is recorded, processed, summarized and reported within the time periods specified in the SEC’s rules and forms.  Disclosure controls and procedures include, without limitation, controls and procedures designed to ensure that information required to be disclosed by us in the reports that we file under the Exchange Act is accumulated and communicated to our management, including our principal executive and principal financial officers, as appropriate to allow timely decisions regarding required disclosures.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In designing and evaluating the disclosure controls and procedures, our management recognizes that any controls and procedures, no matter how well designed and operated, can provide only reasonable assurance of achieving the desired control objectives, and our management necessarily was required to apply its judgment in evaluating the cost-benefit relationship of possible controls and procedures. Furthermore, controls and procedures could be circumvented by the individual acts of some persons, by collusion or two or more people or by management override of the control. Misstatements due to error or fraud may occur and not be detected on a timely basis.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Evaluation of Disclosure Controls and Procedures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In connection with the preparation of this Quarterly Report on Form 10-Q for the quarter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an evaluation was performed under the supervision and with the participation of our management including our principal executive officer and principal financial officer to determine the effectiveness of the design and operation of our disclosure controls and procedures (as defined in Rules 13a-15(e) and 15d-15(e) under the Exchange Act)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Based on that evaluation our principal executive and principal financial officers concluded that our disclosure controls and procedures were not effective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due to a previously disclosed material weakness in internal control over financial reporting as discussed below. This material weakness was identified and discussed in “Part II - Item 9A - Controls and Procedures” of our Annual Report on Form 10-K for the year ended December 31, 2017.</w:t>
      </w:r>
    </w:p>
    <w:p>
      <w:pPr>
        <w:jc w:val="left"/>
        <w:spacing w:before="12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identified the following material weakness in the operation of our internal control over financial reporting: we did not maintain effective controls concerning our presentation of revenue related to certain aspects of our statement of operations. Specifically, we determined that for certain historical periods, revenue from Content Workflow services (also referred to as Marketplace Spend and Legacy Workflow services) should have been reported on a net transaction basis where the cost of the Content Workflow revenues should be netted against the revenue generated from the transactions. In addition, we determined that cost of revenue related to our Managed Services only included the direct cost of the content that was being purchased by our customers, and did not appropriately include the cost of our internal personnel responsible for fulfilling these services. We historically considered and reported the cost of our campaign fulfillment personnel as part of our sales and marketing expenses.</w:t>
      </w:r>
    </w:p>
    <w:p>
      <w:pPr>
        <w:ind w:right="1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These errors were subsequently identified and corrected, and resulted in a restatement of the (i) consolidated statements of operations for the years ended December 31, 2015 and 2016 and (ii) consolidated statements of operations for each quarter within the years ended December 31, 2015 and 2016, and the first three quarters for the year ended December 31, 2017. The restated periods were included in our Annual Report on Form 10-K for the fiscal year ended December 31, 2017. The errors had no impact on our previously reported loss from operations, net loss, loss per share, or on any of the Company's consolidated balance sheets, statements of cash flows, and statements of stockholders' equity.</w:t>
      </w:r>
    </w:p>
    <w:p>
      <w:pPr>
        <w:ind w:right="1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ind w:right="1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To remediate the material weakness described above, we have implemented additional controls including the engagement of independent third-party technical accounting experts to assist management with the adoption of new accounting pronouncements, the review and evaluation of significant contracts, and the related financial reporting. We are continuing to evaluate our processes and controls after giving effect to the additional controls. Further processes and controls may be added. We believe that these measures will remediate the material weakness identified and strengthen the Company's internal control over financial reporting.</w:t>
      </w:r>
    </w:p>
    <w:p>
      <w:pPr>
        <w:jc w:val="left"/>
        <w:spacing w:before="7"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Changes in Internal Control over Financial Reporting</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There were no changes in our internal control over financial reporting (as defined in Exchange Act Rules 13a-15(f) and 15d-15(f)) that occurred during the quarter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that have materially affected, or are reasonably likely to materially affect, our internal control over financial reporting.</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 w:type="default"/>
          <w:footerReference r:id="rId31" w:type="default"/>
        </w:sectPr>
      </w:pP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PART II - OTHER INFORMATION</w:t>
      </w:r>
      <w:bookmarkStart w:id="29084" w:name="PART_II___Other_Information"/>
      <w:bookmarkEnd w:id="29084"/>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p>
    <w:p>
      <w:pPr>
        <w:sectPr>
          <w:pgNumType w:fmt="decimal" w:chapSep="period"/>
          <w:pgSz w:w="12240" w:h="15840"/>
          <w:pgMar w:top="860" w:left="1000" w:right="1000" w:bottom="860" w:footer="460" w:gutter="0" w:header="160"/>
          <w:headerReference r:id="rId1" w:type="default"/>
          <w:footerReference r:id="rId32" w:type="default"/>
        </w:sectPr>
      </w:pP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1 – LEGAL PROCEEDINGS</w:t>
      </w:r>
      <w:bookmarkStart w:id="1954" w:name="Item_1____Legal_Proceedings"/>
      <w:bookmarkEnd w:id="1954"/>
    </w:p>
    <w:p>
      <w:pPr>
        <w:jc w:val="left"/>
        <w:spacing w:after="24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after="2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July 3, 2018, a shareholder derivative lawsuit, Korene Stuart v. Edward H. Murphy et al., case number A-18-777135-C was instituted in the Eighth Judicial District Court of the State of Nevada, Clark County against certain executive officers and members of the Board of Directors for the Company. The Company has been named as a nominal defendant. The plaintiff seeks to recover damages on behalf of the company for purported breaches of the individual defendants' fiduciary duties as directors and/or officers of the Company, unjust enrichment, abuse of control, gross mismanagement, and waste of corporate assets in violation of state common law.</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From time to time, we may become involved in various lawsuits and legal proceedings that arise in the ordinary course of our business. Litigation is, however, subject to inherent uncertainties, and an adverse result in these or other matters may arise from time to time that may harm our business. Except as disclosed under "Note 5, Commitments &amp; Contingencies" and "Note 10, Subsequent Events" to the financial statements included with this Quarterly Report on Form 10-Q, we are currently not aware of any other legal proceedings or claims that we believe would or could have, individually or in the aggregate, a material adverse effect on us. Regardless of final outcomes, however, any such proceedings or claims may nonetheless impose a significant burden on management and employees and may come with costly defense costs or unfavorable preliminary interim rulings.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1A – RISK FACTORS</w:t>
      </w:r>
      <w:bookmarkStart w:id="57117" w:name="Item_1A__Risk_Factors"/>
      <w:bookmarkEnd w:id="57117"/>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i w:val="true"/>
        </w:rPr>
      </w:pPr>
      <w:r>
        <w:rPr>
          <w:rFonts w:ascii="Times New Roman" w:hAnsi="Times New Roman" w:eastAsia="Times New Roman" w:cs="Times New Roman"/>
          <w:sz w:val="20"/>
          <w:i w:val="true"/>
        </w:rPr>
        <w:t xml:space="preserve">In addition to the information set forth under Item 1A of Part I to our Annual Report on Form 10-K for the year ended December 31, 2017, the information set forth at the beginning of Management's Discussion and Analysis entitled "Special Note Regarding Forward-Looking Information," and updates noted below, you should consider that there are numerous and varied risks, known and unknown, that may prevent us from achieving our goals.  If any of these risks actually occur, our business, financial condition or results of operation may be materially and adversely affected.  In such case, the trading price of our common stock could decline and investors could lose all or part of their investment. These risk factors may not identify all risks that we face and our operations could also be affected by factors that are not presently known to us or that we currently consider to be immaterial to our operations.</w:t>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We have a history of net losses, expect future losses and cannot assure you that we will achieve profitability.</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We have incurred significant net losses and negative cash flow from operations for most periods since our inception, which has resulted in a total accumulated deficit of </w:t>
      </w:r>
      <w:r>
        <w:rPr>
          <w:rFonts w:ascii="Times New Roman" w:hAnsi="Times New Roman" w:eastAsia="Times New Roman" w:cs="Times New Roman"/>
          <w:sz w:val="20"/>
        </w:rPr>
        <w:t xml:space="preserve">$52,401,946</w:t>
      </w:r>
      <w:r>
        <w:rPr>
          <w:rFonts w:ascii="Times New Roman" w:hAnsi="Times New Roman" w:eastAsia="Times New Roman" w:cs="Times New Roman"/>
          <w:sz w:val="20"/>
        </w:rPr>
        <w:t xml:space="preserve">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For the </w:t>
      </w:r>
      <w:r>
        <w:rPr>
          <w:rFonts w:ascii="Times New Roman" w:hAnsi="Times New Roman" w:eastAsia="Times New Roman" w:cs="Times New Roman"/>
          <w:sz w:val="20"/>
        </w:rPr>
        <w:t xml:space="preserve">nine months</w:t>
      </w:r>
      <w:r>
        <w:rPr>
          <w:rFonts w:ascii="Times New Roman" w:hAnsi="Times New Roman" w:eastAsia="Times New Roman" w:cs="Times New Roman"/>
          <w:sz w:val="20"/>
        </w:rPr>
        <w:t xml:space="preserve"> ended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we had a net loss of </w:t>
      </w:r>
      <w:r>
        <w:rPr>
          <w:rFonts w:ascii="Times New Roman" w:hAnsi="Times New Roman" w:eastAsia="Times New Roman" w:cs="Times New Roman"/>
          <w:sz w:val="20"/>
        </w:rPr>
        <w:t xml:space="preserve">$5,025,704</w:t>
      </w:r>
      <w:r>
        <w:rPr>
          <w:rFonts w:ascii="Times New Roman" w:hAnsi="Times New Roman" w:eastAsia="Times New Roman" w:cs="Times New Roman"/>
          <w:sz w:val="20"/>
        </w:rPr>
        <w:t xml:space="preserve">, including a </w:t>
      </w:r>
      <w:r>
        <w:rPr>
          <w:rFonts w:ascii="Times New Roman" w:hAnsi="Times New Roman" w:eastAsia="Times New Roman" w:cs="Times New Roman"/>
          <w:sz w:val="20"/>
        </w:rPr>
        <w:t xml:space="preserve">$4,890,651</w:t>
      </w:r>
      <w:r>
        <w:rPr>
          <w:rFonts w:ascii="Times New Roman" w:hAnsi="Times New Roman" w:eastAsia="Times New Roman" w:cs="Times New Roman"/>
          <w:sz w:val="20"/>
        </w:rPr>
        <w:t xml:space="preserve"> loss from operations and we expect to incur a net loss for the fiscal year 2018.</w:t>
      </w:r>
    </w:p>
    <w:p>
      <w:pPr>
        <w:ind w:firstLine="7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8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We have seen a year-over-year decrease in revenue in the three quarters of 2018 and believe revenue related to our Managed Services in the fourth quarter of 2018 will also reflect a decrease year-over-year. We have not achieved profitability and cannot be certain that we will be able to realize sufficient revenue to achieve profitability. Therefore, we may need to develop a plan to raise additional capital or make further reductions in our operating expenses in order to achieve profitability.</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We have raised and will need to raise additional capital to meet our business requirements and purchase obligations in the future and such capital raising may be costly or difficult to obtain and could dilute current stockholders’ ownership interests.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have incurred losses since inception and expect to continue to incur losses until we are able to significantly grow our revenues. Our cash balance as of </w:t>
      </w:r>
      <w:r>
        <w:rPr>
          <w:rFonts w:ascii="Times New Roman" w:hAnsi="Times New Roman" w:eastAsia="Times New Roman" w:cs="Times New Roman"/>
          <w:sz w:val="20"/>
        </w:rPr>
        <w:t xml:space="preserve">September 30, 2018</w:t>
      </w:r>
      <w:r>
        <w:rPr>
          <w:rFonts w:ascii="Times New Roman" w:hAnsi="Times New Roman" w:eastAsia="Times New Roman" w:cs="Times New Roman"/>
          <w:sz w:val="20"/>
        </w:rPr>
        <w:t xml:space="preserve"> was </w:t>
      </w:r>
      <w:r>
        <w:rPr>
          <w:rFonts w:ascii="Times New Roman" w:hAnsi="Times New Roman" w:eastAsia="Times New Roman" w:cs="Times New Roman"/>
          <w:sz w:val="20"/>
        </w:rPr>
        <w:t xml:space="preserve">$3,864,676</w:t>
      </w:r>
      <w:r>
        <w:rPr>
          <w:rFonts w:ascii="Times New Roman" w:hAnsi="Times New Roman" w:eastAsia="Times New Roman" w:cs="Times New Roman"/>
          <w:sz w:val="20"/>
        </w:rPr>
        <w:t xml:space="preserve">. On July 2, 2018 and September 21, 2018, we completed two separate underwritten public offerings for the sale of 3,556,000 and 1,407,333 shares of our common stock at a public offering price of $1.00 and $1.50 per share, respectively. The net proceeds for all shares sold by us in the public offerings were approximately $5.0 million after deducting underwriting discounts and commissions and estimated offering expenses. However, we expect additional financing transactions will be necessary to meet our business requirements and purchase obligations.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have seen a year-over-year decrease in revenue in the first three quarters of 2018 and believe revenue from Managed Services will also decrease year-over-year in the fourth quarter of 2018 due to the lower bookings received in the fourth quarter of 2017 through the third quarter of 2018. Our revenue results from numerous individual one-time orders, which we cannot predict with reasonable certainty. If our annual revenue continues to decline from prior year levels at a rate similar to or greater than the decline in the first three quarters of 2018 and future commitments do not increase, we will need additional financing to maintain and expand our business. Such financing may not be available on favorable terms, if at all. Any additional capital raised through the sale of equity or equity linked securities may dilute current stockholders’ ownership percentages and could also result in a decrease in the market value of our equity securities. The terms of any securities issued by us in future capital transactions may be more favorable to new investors, and may include preferences, superior voting rights and the issuance of warrants or other derivative securities, which may have a further dilutive effect on the holders of any of our securities then outstanding.</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If we are unable to obtain such additional financing on a timely basis or generate sufficient revenues from operations, we may have to curtail our activities and growth plans, reduce expenses, and/or sell assets, perhaps on unfavorable terms, which would have a material adverse effect on our business, financial condition and results of operations, and ultimately we could be forced to discontinue our operations and liquidate, in which event it is unlikely that stockholders would receive any distribution on their shares.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In addition, we may incur substantial costs in pursuing future capital financing, including investment banking fees, legal fees, accounting fees, securities law compliance fees, printing and distribution expenses and other costs. We may be required to bear the costs even if we are unable to successfully complete any such capital financing. We may also be required to recognize non-cash expenses in connection with certain securities we issue, such as convertible promissory notes and warrants, which may adversely impact our financial results.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We will need to raise additional capital to finance obligations relating to recent acquisitions if we are not able to obtain stockholder approval to satisfy such obligations by payment in shares of common stock.</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We have future purchase obligations related to our acquisitions of ZenContent in July 2016 and TapInfluence in July 2018. We are obligated to make certain deferred payments of the respective purchase prices of those acquisitions, which may be made in common stock at our election. We do not have enough cash to cover these current obligations and intend to rely on our ability to issue shares of our common stock as payment, our ability to raise additional capital through the sale of equity or equity linked securities, or our ability to utilize or secure other debt financing to pay for our current obligations. The issuance of a substantial number of shares of our common stock to the former stockholders of TapInfluence or ZenContent or the perception that such issuances may occur could cause our stock price to decline, make it more difficult for us to raise funds through future offerings of our common stock or acquire other businesses using our common stock as consideration. In addition, such issuance would dilute your percentage of ownership of our common stock.</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Additionally, in order to finance these purchase obligations with issuances of our common stock, we are seeking stockholder approval under Nasdaq Marketplace Rules. However, we may not be successful in obtaining such stockholder approval, in which case we may need to seek alternative sources of financing.</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left"/>
        <w:spacing w:after="240"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We have been named as a defendant in securities class action and shareholder derivative lawsuits. This litigation, and any other similar or related claims or investigations, could result in substantial damages and cost and may divert management’s time and attention from our business</w:t>
      </w:r>
      <w:r>
        <w:rPr>
          <w:rFonts w:ascii="Times New Roman" w:hAnsi="Times New Roman" w:eastAsia="Times New Roman" w:cs="Times New Roman"/>
          <w:sz w:val="20"/>
          <w:b w:val="true"/>
        </w:rPr>
        <w:t xml:space="preserv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Soon after the announcement of a restatement of our financial statements included in our Annual Report on Form 10-K for the year ended December 31, 2017, we and certain of our officers and directors were named as parties in lawsuits relating to the restatement, which are ongoing.</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 securities class action lawsuit, </w:t>
      </w:r>
      <w:r>
        <w:rPr>
          <w:rFonts w:ascii="Times New Roman" w:hAnsi="Times New Roman" w:eastAsia="Times New Roman" w:cs="Times New Roman"/>
          <w:sz w:val="20"/>
          <w:i w:val="true"/>
        </w:rPr>
        <w:t xml:space="preserve">Julian Perez, individually, and on behalf of all others similarly situated v. IZEA, Inc., et al</w:t>
      </w:r>
      <w:r>
        <w:rPr>
          <w:rFonts w:ascii="Times New Roman" w:hAnsi="Times New Roman" w:eastAsia="Times New Roman" w:cs="Times New Roman"/>
          <w:sz w:val="20"/>
        </w:rPr>
        <w:t xml:space="preserve">., case number 2:18-cv-02784-SVW-GJS was instituted April 4, 2018 in the U.S. District Court for the Central District of California against us and certain of our executive officers on behalf of certain purchasers of our common stock. The plaintiffs seek to recover damages for investors under federal securities laws.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On July 3, 2018, a shareholder derivative lawsuit, Korene Stuart v. Edward H. Murphy et al., case number A-18-777135-C was instituted in the Eighth Judicial District Court of the State of Nevada, Clark County against certain executive officers and members of the Board of Directors for IZEA. IZEA has been named as a nominal defendant. The plaintiff seeks to recover damages on behalf of the company for purported breaches of the individual defendants’ fiduciary duties as directors and/or officers of IZEA, unjust enrichment, abuse of control, gross mismanagement, and waste of corporate assets in violation of state common law. We believe that the plaintiff’s allegations are without merit and intend to vigorously defend against the claims.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Additionally, on October 19, 2018, a shareholder derivative lawsuit, </w:t>
      </w:r>
      <w:r>
        <w:rPr>
          <w:rFonts w:ascii="Times New Roman" w:hAnsi="Times New Roman" w:eastAsia="Times New Roman" w:cs="Times New Roman"/>
          <w:sz w:val="20"/>
          <w:i w:val="true"/>
        </w:rPr>
        <w:t xml:space="preserve">Dennis E. Emond v. Edward H. Murphy et al.</w:t>
      </w:r>
      <w:r>
        <w:rPr>
          <w:rFonts w:ascii="Times New Roman" w:hAnsi="Times New Roman" w:eastAsia="Times New Roman" w:cs="Times New Roman"/>
          <w:sz w:val="20"/>
        </w:rPr>
        <w:t xml:space="preserve">, case number 2:18-cv-9040, was instituted in the U.S. District Court for the Central District of California against certain executive officers and members of the Board of Directors for IZEA.  IZEA has been named as a nominal defendant.  An amended complaint was filed on October 31, 2018.  The plaintiff seeks to recover damages on behalf of the company for purported breaches of the individual defendants’ fiduciary duties as directors and/or officers of IZEA, and gross mismanagement, and under federal securities laws. We believe that the plaintiff’s allegations are without merit and intend to vigorously defend against the claims.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These lawsuits, and any other similar or related claims or investigations, could result in the diversion of management’s time and attention away from business operations, which could harm our business and also harm our relationships with existing customers, vendors and business partners. The lawsuit may also materially damage our reputation and the value of our brand. Our legal expenses incurred in defending the lawsuit, and any other similar or related matters, could be significant, and a ruling against us, or any settlement, could have a material adverse effect on us.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There can be no assurance that any litigation to which we are, or in the future may become, a party will be resolved in our favor. These lawsuits and any other lawsuits that we may become party to are subject to inherent uncertainties, and the costs to us of defending litigation matters will depend upon many unknown factors. Any claim that is successfully decided against us may require us to pay substantial damages, including punitive damages, and other related fees. We may also determine that a settlement of one or more of the actions is in the best interest of the company and its shareholders.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Regardless of whether lawsuits are resolved in our favor or if we are the plaintiff or the defendant in the litigation, any lawsuits to which we are or may become a party will likely be expensive and time consuming to defend or resolve.</w:t>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t xml:space="preserve">Exercise of stock options, warrants and other securities will dilute your percentage of ownership and could cause our stock price to fall.</w:t>
      </w:r>
      <w:r>
        <w:rPr>
          <w:rFonts w:ascii="Times New Roman" w:hAnsi="Times New Roman" w:eastAsia="Times New Roman" w:cs="Times New Roman"/>
          <w:sz w:val="20"/>
          <w:b w:val="true"/>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As of </w:t>
      </w:r>
      <w:r>
        <w:rPr>
          <w:rFonts w:ascii="Times New Roman" w:hAnsi="Times New Roman" w:eastAsia="Times New Roman" w:cs="Times New Roman"/>
          <w:sz w:val="20"/>
        </w:rPr>
        <w:t xml:space="preserve">November 12, 2018</w:t>
      </w:r>
      <w:r>
        <w:rPr>
          <w:rFonts w:ascii="Times New Roman" w:hAnsi="Times New Roman" w:eastAsia="Times New Roman" w:cs="Times New Roman"/>
          <w:sz w:val="20"/>
        </w:rPr>
        <w:t xml:space="preserve">, we had </w:t>
      </w:r>
      <w:r>
        <w:rPr>
          <w:rFonts w:ascii="Times New Roman" w:hAnsi="Times New Roman" w:eastAsia="Times New Roman" w:cs="Times New Roman"/>
          <w:sz w:val="20"/>
        </w:rPr>
        <w:t xml:space="preserve">12,073,031</w:t>
      </w:r>
      <w:r>
        <w:rPr>
          <w:rFonts w:ascii="Times New Roman" w:hAnsi="Times New Roman" w:eastAsia="Times New Roman" w:cs="Times New Roman"/>
          <w:sz w:val="20"/>
        </w:rPr>
        <w:t xml:space="preserve"> shares of common stock issued, outstanding stock options to purchase </w:t>
      </w:r>
      <w:r>
        <w:rPr>
          <w:rFonts w:ascii="Times New Roman" w:hAnsi="Times New Roman" w:eastAsia="Times New Roman" w:cs="Times New Roman"/>
          <w:sz w:val="20"/>
        </w:rPr>
        <w:t xml:space="preserve">1,017,336</w:t>
      </w:r>
      <w:r>
        <w:rPr>
          <w:rFonts w:ascii="Times New Roman" w:hAnsi="Times New Roman" w:eastAsia="Times New Roman" w:cs="Times New Roman"/>
          <w:sz w:val="20"/>
        </w:rPr>
        <w:t xml:space="preserve"> shares of our common stock at an average exercise price of </w:t>
      </w:r>
      <w:r>
        <w:rPr>
          <w:rFonts w:ascii="Times New Roman" w:hAnsi="Times New Roman" w:eastAsia="Times New Roman" w:cs="Times New Roman"/>
          <w:sz w:val="20"/>
        </w:rPr>
        <w:t xml:space="preserve">$5.51</w:t>
      </w:r>
      <w:r>
        <w:rPr>
          <w:rFonts w:ascii="Times New Roman" w:hAnsi="Times New Roman" w:eastAsia="Times New Roman" w:cs="Times New Roman"/>
          <w:sz w:val="20"/>
        </w:rPr>
        <w:t xml:space="preserve"> per share, and outstanding warrants to purchase </w:t>
      </w:r>
      <w:r>
        <w:rPr>
          <w:rFonts w:ascii="Times New Roman" w:hAnsi="Times New Roman" w:eastAsia="Times New Roman" w:cs="Times New Roman"/>
          <w:sz w:val="20"/>
        </w:rPr>
        <w:t xml:space="preserve">414,036</w:t>
      </w:r>
      <w:r>
        <w:rPr>
          <w:rFonts w:ascii="Times New Roman" w:hAnsi="Times New Roman" w:eastAsia="Times New Roman" w:cs="Times New Roman"/>
          <w:sz w:val="20"/>
        </w:rPr>
        <w:t xml:space="preserve"> shares of our common stock at an average exercise price of </w:t>
      </w:r>
      <w:r>
        <w:rPr>
          <w:rFonts w:ascii="Times New Roman" w:hAnsi="Times New Roman" w:eastAsia="Times New Roman" w:cs="Times New Roman"/>
          <w:sz w:val="20"/>
        </w:rPr>
        <w:t xml:space="preserve">$8.57</w:t>
      </w:r>
      <w:r>
        <w:rPr>
          <w:rFonts w:ascii="Times New Roman" w:hAnsi="Times New Roman" w:eastAsia="Times New Roman" w:cs="Times New Roman"/>
          <w:sz w:val="20"/>
        </w:rPr>
        <w:t xml:space="preserve"> per share.</w:t>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We also have reserved shares to issue stock options, restricted stock or other awards to purchase or receive up to </w:t>
      </w:r>
      <w:r>
        <w:rPr>
          <w:rFonts w:ascii="Times New Roman" w:hAnsi="Times New Roman" w:eastAsia="Times New Roman" w:cs="Times New Roman"/>
          <w:sz w:val="20"/>
        </w:rPr>
        <w:t xml:space="preserve">298,927</w:t>
      </w:r>
      <w:r>
        <w:rPr>
          <w:rFonts w:ascii="Times New Roman" w:hAnsi="Times New Roman" w:eastAsia="Times New Roman" w:cs="Times New Roman"/>
          <w:sz w:val="20"/>
        </w:rPr>
        <w:t xml:space="preserve"> shares of common stock under our May 2011 Equity Incentive Plan and </w:t>
      </w:r>
      <w:r>
        <w:rPr>
          <w:rFonts w:ascii="Times New Roman" w:hAnsi="Times New Roman" w:eastAsia="Times New Roman" w:cs="Times New Roman"/>
          <w:sz w:val="20"/>
        </w:rPr>
        <w:t xml:space="preserve">22,405</w:t>
      </w:r>
      <w:r>
        <w:rPr>
          <w:rFonts w:ascii="Times New Roman" w:hAnsi="Times New Roman" w:eastAsia="Times New Roman" w:cs="Times New Roman"/>
          <w:sz w:val="20"/>
        </w:rPr>
        <w:t xml:space="preserve"> shares of common stock under our 2014 Employee Stock Purchase Plan. In the future, we may grant additional stock options, restricted stock units, warrants and convertible securities, as well as issue additional shares of common stock pursuant to our obligations under the stock purchase agreements in connection with our ZenContent and TapInfluence acquisitions. The exercise, conversion or exchange by holders of stock options, restricted stock units, warrants or convertible securities for shares of common stock, and the issuance of new shares of common stock for past acquisition obligations, shares of common stock issued as consideration in future acquisitions, and shares of common stock issued in future equity offerings will dilute the percentage ownership of our stockholders. Sales of a substantial number of shares of our common stock could cause the price of our common stock to fall and could impair our ability to raise capital by selling additional securities.</w:t>
      </w:r>
    </w:p>
    <w:p>
      <w:pPr>
        <w:jc w:val="left"/>
        <w:spacing w:line="288" w:lineRule="auto"/>
        <w:rPr>
          <w:rFonts w:ascii="Times New Roman" w:hAnsi="Times New Roman" w:eastAsia="Times New Roman" w:cs="Times New Roman"/>
          <w:sz w:val="20"/>
          <w:b w:val="true"/>
          <w:i w:val="true"/>
        </w:rPr>
      </w:pPr>
      <w:r>
        <w:rPr>
          <w:rFonts w:ascii="Times New Roman" w:hAnsi="Times New Roman" w:eastAsia="Times New Roman" w:cs="Times New Roman"/>
          <w:sz w:val="20"/>
          <w:b w:val="true"/>
          <w:i w:val="true"/>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 w:type="default"/>
          <w:footerReference r:id="rId33" w:type="default"/>
        </w:sectPr>
      </w:pPr>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r>
      <w:bookmarkStart w:id="52394" w:name="Item_2___Unregistered_Sales_of_Equity_Se"/>
      <w:bookmarkEnd w:id="52394"/>
    </w:p>
    <w:p>
      <w:pPr>
        <w:jc w:val="both"/>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2 – UNREGISTERED SALES OF EQUITY SECURITIES AND USE OF PROCEEDS</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There have been no unregistered sales of securities during the period covered by this Form 10-Q that have not been previously reported in a current report on Form 8-K.</w:t>
      </w:r>
    </w:p>
    <w:p>
      <w:pPr>
        <w:jc w:val="left"/>
        <w:spacing w:line="288" w:lineRule="auto"/>
        <w:rPr>
          <w:rFonts w:ascii="Times New Roman" w:hAnsi="Times New Roman" w:eastAsia="Times New Roman" w:cs="Times New Roman"/>
          <w:sz w:val="22"/>
        </w:rPr>
      </w:pPr>
      <w:r>
        <w:rPr>
          <w:rFonts w:ascii="Times New Roman" w:hAnsi="Times New Roman" w:eastAsia="Times New Roman" w:cs="Times New Roman"/>
          <w:sz w:val="22"/>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3 – DEFAULTS UPON SENIOR SECURITIES</w:t>
      </w:r>
      <w:bookmarkStart w:id="4165" w:name="Item_3___Defaults_Upon_Senior_Securities"/>
      <w:bookmarkEnd w:id="4165"/>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None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4 – MINE SAFETY DISCLOSURES</w:t>
      </w:r>
      <w:bookmarkStart w:id="29407" w:name="Item_4____Mine_Safety_Disclosures"/>
      <w:bookmarkEnd w:id="29407"/>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Not applicable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5" w:type="default"/>
          <w:footerReference r:id="rId6"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5 - OTHER INFORMATION</w:t>
      </w:r>
      <w:bookmarkStart w:id="204" w:name="Item_5___Other_Information"/>
      <w:bookmarkEnd w:id="204"/>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Not applicable.</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type w:val="continuous"/>
          <w:pgSz w:w="12240" w:h="15840"/>
          <w:pgMar w:top="860" w:left="1000" w:right="1000" w:bottom="860" w:footer="460" w:gutter="0" w:header="160"/>
          <w:headerReference r:id="rId1" w:type="default"/>
          <w:footerReference r:id="rId34" w:type="default"/>
        </w:sectPr>
      </w:pPr>
    </w:p>
    <w:p>
      <w:pPr>
        <w:jc w:val="left"/>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ITEM 6 – EXHIBITS</w:t>
      </w:r>
      <w:bookmarkStart w:id="317" w:name="Item_6___Exhibits"/>
      <w:bookmarkEnd w:id="317"/>
    </w:p>
    <w:p>
      <w:pPr>
        <w:jc w:val="left"/>
        <w:spacing w:before="120" w:after="140" w:line="240" w:lineRule="auto"/>
        <w:rPr>
          <w:rFonts w:ascii="Times New Roman" w:hAnsi="Times New Roman" w:eastAsia="Times New Roman" w:cs="Times New Roman"/>
          <w:sz w:val="20"/>
        </w:rPr>
      </w:pPr>
      <w:r>
        <w:rPr>
          <w:rFonts w:ascii="Times New Roman" w:hAnsi="Times New Roman" w:eastAsia="Times New Roman" w:cs="Times New Roman"/>
          <w:sz w:val="20"/>
        </w:rPr>
      </w:r>
    </w:p>
    <w:tbl>
      <w:tblPr>
        <w:tblW w:type="dxa" w:w="10040"/>
        <w:tblLayout w:type="fixed"/>
        <w:jc w:val="justify"/>
      </w:tblPr>
      <w:tblGrid>
        <w:gridCol w:w="600"/>
        <w:gridCol w:w="520"/>
        <w:gridCol w:w="8920"/>
      </w:tblGrid>
      <w:tr>
        <w:trPr>
          <w:trHeight w:hRule="exact" w:val="500"/>
        </w:trPr>
        <w:tc>
          <w:tcPr>
            <w:tcW w:type="dxa" w:w="1120"/>
            <w:tcMar>
              <w:left w:type="dxa" w:w="60"/>
              <w:right w:type="dxa" w:w="40"/>
            </w:tcMar>
            <w:hMerge w:val="restart"/>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Exhibit Number</w:t>
            </w:r>
          </w:p>
        </w:tc>
        <w:tc>
          <w:tcPr>
            <w:tcW w:type="dxa" w:w="0"/>
            <w:tcMar>
              <w:left w:type="dxa" w:w="60"/>
              <w:right w:type="dxa" w:w="0"/>
            </w:tcMar>
            <w:hMerge w:val="continue"/>
            <w:tcBorders/>
            <w:vAlign w:val="bottom"/>
          </w:tcPr>
          <w:p>
            <w:pPr>
              <w:jc w:val="left"/>
              <w:keepNext/>
              <w:keepLines/>
              <w:spacing w:before="40" w:after="40" w:line="240" w:lineRule="auto"/>
              <w:rPr/>
            </w:pPr>
            <w:r>
              <w:rPr/>
            </w:r>
          </w:p>
        </w:tc>
        <w:tc>
          <w:tcPr>
            <w:tcW w:type="dxa" w:w="8920"/>
            <w:tcMar>
              <w:left w:type="dxa" w:w="60"/>
              <w:right w:type="dxa" w:w="60"/>
            </w:tcMar>
            <w:hMerge w:val="restart"/>
            <w:tcBorders>
              <w:bottom w:val="single" w:sz="8"/>
            </w:tcBorders>
            <w:vAlign w:val="bottom"/>
          </w:tcPr>
          <w:p>
            <w:pPr>
              <w:jc w:val="center"/>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Description</w:t>
            </w:r>
          </w:p>
        </w:tc>
      </w:tr>
      <w:tr>
        <w:trPr>
          <w:trHeight w:hRule="exact" w:val="900"/>
        </w:trPr>
        <w:tc>
          <w:tcPr>
            <w:tcW w:type="dxa" w:w="600"/>
            <w:tcMar>
              <w:left w:type="dxa" w:w="60"/>
              <w:right w:type="dxa" w:w="40"/>
            </w:tcMar>
            <w:tcBorders>
              <w:top w:val="single" w:sz="8" w:space="0"/>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2.1</w:t>
            </w:r>
          </w:p>
        </w:tc>
        <w:tc>
          <w:tcPr>
            <w:tcW w:type="dxa" w:w="520"/>
            <w:tcMar>
              <w:left w:type="dxa" w:w="60"/>
              <w:right w:type="dxa" w:w="0"/>
            </w:tcMar>
            <w:tcBorders>
              <w:top w:val="single" w:sz="8" w:space="0"/>
            </w:tcBorders>
            <w:vAlign w:val="top"/>
          </w:tcPr>
          <w:p>
            <w:pPr>
              <w:jc w:val="left"/>
              <w:keepNext/>
              <w:keepLines/>
              <w:spacing w:before="40" w:after="40" w:line="240" w:lineRule="auto"/>
              <w:rPr/>
            </w:pPr>
            <w:r>
              <w:rPr/>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1">
              <w:r>
                <w:rPr>
                  <w:rFonts w:ascii="Times New Roman" w:hAnsi="Times New Roman" w:eastAsia="Times New Roman" w:cs="Times New Roman"/>
                  <w:sz w:val="20"/>
                  <w:color w:val="0000ff"/>
                  <w:u w:val="single" w:color="0000ff"/>
                </w:rPr>
                <w:t xml:space="preserve">Agreement and Plan of Merger, dated as of July 11, 2018, by and among IZEA, Inc., IZEA Merger Sub, Inc., TapInfluence, Inc., certain stockholders of TapInfluence, Inc. and the stockholders’ representative (Incorporated by reference to Exhibit 2.1 to the Company's Current Report on Form 8-K filed with the SEC on July 12, 2018).</w:t>
              </w:r>
            </w:hyperlink>
          </w:p>
        </w:tc>
      </w:tr>
      <w:tr>
        <w:trPr>
          <w:trHeight w:hRule="exact" w:val="9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2.2</w:t>
            </w:r>
          </w:p>
        </w:tc>
        <w:tc>
          <w:tcPr>
            <w:tcW w:type="dxa" w:w="520"/>
            <w:tcMar>
              <w:left w:type="dxa" w:w="60"/>
              <w:right w:type="dxa" w:w="0"/>
            </w:tcMar>
            <w:tcBorders/>
            <w:vAlign w:val="top"/>
          </w:tcPr>
          <w:p>
            <w:pPr>
              <w:jc w:val="left"/>
              <w:keepNext/>
              <w:keepLines/>
              <w:spacing w:before="40" w:after="40" w:line="240" w:lineRule="auto"/>
              <w:rPr/>
            </w:pPr>
            <w:r>
              <w:rPr/>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2">
              <w:r>
                <w:rPr>
                  <w:rFonts w:ascii="Times New Roman" w:hAnsi="Times New Roman" w:eastAsia="Times New Roman" w:cs="Times New Roman"/>
                  <w:sz w:val="20"/>
                  <w:color w:val="0000ff"/>
                  <w:u w:val="single" w:color="0000ff"/>
                </w:rPr>
                <w:t xml:space="preserve">Amendment No. 1 to Agreement and Plan of Merger, dated as of July 20, 2018, by and among IZEA, Inc., IZEA Merger Sub, Inc., TapInfluence, Inc., certain stockholders of TapInfluence, Inc. and the stockholders’ representative (Incorporated by reference to Exhibit 2.2 to the Company's Current Report on Form 8-K filed with the SEC on July 30, 2018).</w:t>
              </w:r>
            </w:hyperlink>
          </w:p>
        </w:tc>
      </w:tr>
      <w:tr>
        <w:trPr>
          <w:trHeight w:hRule="exact" w:val="7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w:t>
            </w:r>
          </w:p>
        </w:tc>
        <w:tc>
          <w:tcPr>
            <w:tcW w:type="dxa" w:w="520"/>
            <w:tcMar>
              <w:left w:type="dxa" w:w="60"/>
              <w:right w:type="dxa" w:w="0"/>
            </w:tcMar>
            <w:tcBorders/>
            <w:vAlign w:val="top"/>
          </w:tcPr>
          <w:p>
            <w:pPr>
              <w:jc w:val="left"/>
              <w:keepNext/>
              <w:keepLines/>
              <w:spacing w:before="40" w:after="40" w:line="240" w:lineRule="auto"/>
              <w:rPr/>
            </w:pPr>
            <w:r>
              <w:rPr/>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3">
              <w:r>
                <w:rPr>
                  <w:rFonts w:ascii="Times New Roman" w:hAnsi="Times New Roman" w:eastAsia="Times New Roman" w:cs="Times New Roman"/>
                  <w:sz w:val="20"/>
                  <w:color w:val="0000ff"/>
                  <w:u w:val="single" w:color="0000ff"/>
                </w:rPr>
                <w:t xml:space="preserve">Articles of Merger, filed with the Secretary of State of the State of Nevada effective August 20, 2018 (Incorporated by reference to Exhibit 3.1 to the Company's Current Report on Form 8-K filed with the SEC on August 23, 2018).</w:t>
              </w:r>
            </w:hyperlink>
          </w:p>
        </w:tc>
      </w:tr>
      <w:tr>
        <w:trPr>
          <w:trHeight w:hRule="exact" w:val="7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10.1</w:t>
            </w:r>
          </w:p>
        </w:tc>
        <w:tc>
          <w:tcPr>
            <w:tcW w:type="dxa" w:w="520"/>
            <w:tcMar>
              <w:left w:type="dxa" w:w="60"/>
              <w:right w:type="dxa" w:w="0"/>
            </w:tcMar>
            <w:tcBorders/>
            <w:vAlign w:val="top"/>
          </w:tcPr>
          <w:p>
            <w:pPr>
              <w:jc w:val="left"/>
              <w:keepNext/>
              <w:keepLines/>
              <w:spacing w:before="40" w:after="40" w:line="240" w:lineRule="auto"/>
              <w:rPr/>
            </w:pPr>
            <w:r>
              <w:rPr/>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4">
              <w:r>
                <w:rPr>
                  <w:rFonts w:ascii="Times New Roman" w:hAnsi="Times New Roman" w:eastAsia="Times New Roman" w:cs="Times New Roman"/>
                  <w:sz w:val="20"/>
                  <w:color w:val="0000ff"/>
                  <w:u w:val="single" w:color="0000ff"/>
                </w:rPr>
                <w:t xml:space="preserve">Amendment No. 1 to Stock Purchase Agreement, dated as of October 21, 2016, by and among IZEA, Inc., ZenContent, Inc. and the Stockholders of ZenContent, Inc. (Incorporated by reference to Exhibit 10.1 to the Company's Quarterly Report on Form 10-Q filed with the SEC on August 14, 2018).</w:t>
              </w:r>
            </w:hyperlink>
          </w:p>
        </w:tc>
      </w:tr>
      <w:tr>
        <w:trPr>
          <w:trHeight w:hRule="exact" w:val="7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10.2</w:t>
            </w:r>
          </w:p>
        </w:tc>
        <w:tc>
          <w:tcPr>
            <w:tcW w:type="dxa" w:w="520"/>
            <w:tcMar>
              <w:left w:type="dxa" w:w="60"/>
              <w:right w:type="dxa" w:w="0"/>
            </w:tcMar>
            <w:tcBorders/>
            <w:vAlign w:val="top"/>
          </w:tcPr>
          <w:p>
            <w:pPr>
              <w:jc w:val="left"/>
              <w:keepNext/>
              <w:keepLines/>
              <w:spacing w:before="40" w:after="40" w:line="240" w:lineRule="auto"/>
              <w:rPr/>
            </w:pPr>
            <w:r>
              <w:rPr/>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5">
              <w:r>
                <w:rPr>
                  <w:rFonts w:ascii="Times New Roman" w:hAnsi="Times New Roman" w:eastAsia="Times New Roman" w:cs="Times New Roman"/>
                  <w:sz w:val="20"/>
                  <w:color w:val="0000ff"/>
                  <w:u w:val="single" w:color="0000ff"/>
                </w:rPr>
                <w:t xml:space="preserve">Amendment No. 2 to Stock Purchase Agreement, dated as of July 17, 2018, by and among IZEA, Inc., ZenContent, Inc. and the Stockholders of ZenContent, Inc. (Incorporated by reference to Exhibit 10.2 to the Company's Quarterly Report on Form 10-Q filed with the SEC on August 14, 2018).</w:t>
              </w:r>
            </w:hyperlink>
          </w:p>
        </w:tc>
      </w:tr>
      <w:tr>
        <w:trPr>
          <w:trHeight w:hRule="exact" w:val="7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10.3</w:t>
            </w:r>
          </w:p>
        </w:tc>
        <w:tc>
          <w:tcPr>
            <w:tcW w:type="dxa" w:w="520"/>
            <w:tcMar>
              <w:left w:type="dxa" w:w="60"/>
              <w:right w:type="dxa" w:w="0"/>
            </w:tcMar>
            <w:tcBorders/>
            <w:vAlign w:val="top"/>
          </w:tcPr>
          <w:p>
            <w:pPr>
              <w:jc w:val="left"/>
              <w:keepNext/>
              <w:keepLines/>
              <w:spacing w:before="40" w:after="40" w:line="240" w:lineRule="auto"/>
              <w:rPr/>
            </w:pPr>
            <w:r>
              <w:rPr/>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6">
              <w:r>
                <w:rPr>
                  <w:rFonts w:ascii="Times New Roman" w:hAnsi="Times New Roman" w:eastAsia="Times New Roman" w:cs="Times New Roman"/>
                  <w:sz w:val="20"/>
                  <w:color w:val="0000ff"/>
                  <w:u w:val="single" w:color="0000ff"/>
                </w:rPr>
                <w:t xml:space="preserve">Employment Agreement between IZEA, Inc. and Michael Heald effective August 15, 2018 (Incorporated by reference to Exhibit 10.3 to the Company's Quarterly Report on Form 10-Q filed with the SEC on August 14, 2018).</w:t>
              </w:r>
            </w:hyperlink>
          </w:p>
        </w:tc>
      </w:tr>
      <w:tr>
        <w:trPr>
          <w:trHeight w:hRule="exact" w:val="5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10.4</w:t>
            </w:r>
          </w:p>
        </w:tc>
        <w:tc>
          <w:tcPr>
            <w:tcW w:type="dxa" w:w="52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7">
              <w:r>
                <w:rPr>
                  <w:rFonts w:ascii="Times New Roman" w:hAnsi="Times New Roman" w:eastAsia="Times New Roman" w:cs="Times New Roman"/>
                  <w:sz w:val="20"/>
                  <w:color w:val="0000ff"/>
                  <w:u w:val="single" w:color="0000ff"/>
                </w:rPr>
                <w:t xml:space="preserve">Business Financing Modification Agreement and Consent, dated as of August 30, 2018, by and among IZEA Worldwide, Inc., Ebyline, Inc., TapInfluence, Inc. and Western Alliance Bank.</w:t>
              </w:r>
            </w:hyperlink>
          </w:p>
        </w:tc>
      </w:tr>
      <w:tr>
        <w:trPr>
          <w:trHeight w:hRule="exact" w:val="3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31.1</w:t>
            </w:r>
          </w:p>
        </w:tc>
        <w:tc>
          <w:tcPr>
            <w:tcW w:type="dxa" w:w="52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8">
              <w:r>
                <w:rPr>
                  <w:rFonts w:ascii="Times New Roman" w:hAnsi="Times New Roman" w:eastAsia="Times New Roman" w:cs="Times New Roman"/>
                  <w:sz w:val="20"/>
                  <w:color w:val="0000ff"/>
                  <w:u w:val="single" w:color="0000ff"/>
                </w:rPr>
                <w:t xml:space="preserve">Certification of Principal Executive Officer pursuant to Section 302 of the Sarbanes-Oxley Act of 2002.</w:t>
              </w:r>
            </w:hyperlink>
          </w:p>
        </w:tc>
      </w:tr>
      <w:tr>
        <w:trPr>
          <w:trHeight w:hRule="exact" w:val="5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31.2</w:t>
            </w:r>
          </w:p>
        </w:tc>
        <w:tc>
          <w:tcPr>
            <w:tcW w:type="dxa" w:w="52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w:t>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9">
              <w:r>
                <w:rPr>
                  <w:rFonts w:ascii="Times New Roman" w:hAnsi="Times New Roman" w:eastAsia="Times New Roman" w:cs="Times New Roman"/>
                  <w:sz w:val="20"/>
                  <w:color w:val="0000ff"/>
                  <w:u w:val="single" w:color="0000ff"/>
                </w:rPr>
                <w:t xml:space="preserve">Certification of Principal Financial and Accounting Officer pursuant to Section 302 of the Sarbanes-Oxley Act of 2002.</w:t>
              </w:r>
            </w:hyperlink>
          </w:p>
        </w:tc>
      </w:tr>
      <w:tr>
        <w:trPr>
          <w:trHeight w:hRule="exact" w:val="5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32.1</w:t>
            </w:r>
          </w:p>
        </w:tc>
        <w:tc>
          <w:tcPr>
            <w:tcW w:type="dxa" w:w="52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(a)</w:t>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10">
              <w:r>
                <w:rPr>
                  <w:rFonts w:ascii="Times New Roman" w:hAnsi="Times New Roman" w:eastAsia="Times New Roman" w:cs="Times New Roman"/>
                  <w:sz w:val="20"/>
                  <w:color w:val="0000ff"/>
                  <w:u w:val="single" w:color="0000ff"/>
                </w:rPr>
                <w:t xml:space="preserve">Certification of Principal Executive Officer pursuant to 18 U.S.C. Section 1350, as adopted pursuant to Section 906 of the Sarbanes-Oxley Act of 2002.</w:t>
              </w:r>
            </w:hyperlink>
          </w:p>
        </w:tc>
      </w:tr>
      <w:tr>
        <w:trPr>
          <w:trHeight w:hRule="exact" w:val="500"/>
        </w:trPr>
        <w:tc>
          <w:tcPr>
            <w:tcW w:type="dxa" w:w="60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32.2</w:t>
            </w:r>
          </w:p>
        </w:tc>
        <w:tc>
          <w:tcPr>
            <w:tcW w:type="dxa" w:w="52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(a)</w:t>
            </w:r>
          </w:p>
        </w:tc>
        <w:tc>
          <w:tcPr>
            <w:tcW w:type="dxa" w:w="89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hyperlink r:id="hyp_11">
              <w:r>
                <w:rPr>
                  <w:rFonts w:ascii="Times New Roman" w:hAnsi="Times New Roman" w:eastAsia="Times New Roman" w:cs="Times New Roman"/>
                  <w:sz w:val="20"/>
                  <w:color w:val="0000ff"/>
                  <w:u w:val="single" w:color="0000ff"/>
                </w:rPr>
                <w:t xml:space="preserve">Certification of Principal Financial and Accounting Officer pursuant to 18 U.S.C. Section 1350, as adopted pursuant to Section 906 of the Sarbanes-Oxley Act of 2002.</w:t>
              </w:r>
            </w:hyperlink>
          </w:p>
        </w:tc>
      </w:tr>
      <w:tr>
        <w:trPr>
          <w:trHeight w:hRule="exact" w:val="1100"/>
        </w:trPr>
        <w:tc>
          <w:tcPr>
            <w:tcW w:type="dxa" w:w="600"/>
            <w:tcMar>
              <w:left w:type="dxa" w:w="60"/>
              <w:right w:type="dxa" w:w="0"/>
            </w:tcMar>
            <w:tcBorders/>
            <w:vAlign w:val="top"/>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101</w:t>
            </w:r>
          </w:p>
        </w:tc>
        <w:tc>
          <w:tcPr>
            <w:tcW w:type="dxa" w:w="520"/>
            <w:tcMar>
              <w:left w:type="dxa" w:w="60"/>
              <w:right w:type="dxa" w:w="40"/>
            </w:tcMar>
            <w:tcBorders/>
            <w:vAlign w:val="top"/>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 (b)</w:t>
            </w:r>
          </w:p>
        </w:tc>
        <w:tc>
          <w:tcPr>
            <w:tcW w:type="dxa" w:w="8920"/>
            <w:tcMar>
              <w:left w:type="dxa" w:w="60"/>
              <w:right w:type="dxa" w:w="40"/>
            </w:tcMar>
            <w:tcBorders/>
            <w:vAlign w:val="bottom"/>
          </w:tcPr>
          <w:p>
            <w:pPr>
              <w:jc w:val="lef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The following materials from IZEA, Inc.'s Annual Report on Form 10-Q for the quarter ended June 30, 2018 are formatted in XBRL (eXtensible Business Reporting Language):  (i) the Unaudited Consolidated Balance Sheets, (ii) the Unaudited Consolidated Statements of Operations, (iii) the Unaudited Consolidated Statement of Stockholders' Equity, (iv) the Unaudited Consolidated Statements of Cash Flow, and (iv) Notes to the Unaudited Consolidated Financial Statements.</w:t>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720" w:firstLine="-72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Filed or furnished herewith.</w:t>
      </w:r>
    </w:p>
    <w:p>
      <w:pPr>
        <w:ind w:left="720" w:firstLine="-72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	</w:t>
      </w:r>
    </w:p>
    <w:p>
      <w:pPr>
        <w:ind w:left="720"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(a)	In accordance with Item 601of Regulation S-K, this Exhibit is hereby furnished to the SEC as an accompanying document and is not deemed “filed” for purposes of Section 18 of the Securities Exchange Act of 1934, as amended (the “Exchange Act”) or otherwise subject to the liabilities of that Section, nor shall it be deemed incorporated by reference into any filing under the Securities Act of 1933.</w:t>
      </w:r>
    </w:p>
    <w:p>
      <w:pPr>
        <w:ind w:left="720" w:firstLine="-720"/>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ind w:left="720" w:firstLine="-720"/>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(b)	In accordance with Rule 406T of Regulation S-T, the XBRL related information in Exhibit 101 to this Quarterly Report on Form 10-Q shall not be deemed to be “filed” for purposes of Section 18 of the Exchange Act, or otherwise subject to the liability of that section, and shall not be incorporated by reference into any registration statement or other document filed under the Securities Act of 1933, as amended, or the Exchange Act, except as shall be expressly set forth by specific reference in such filing.</w:t>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sectPr>
          <w:pgNumType w:fmt="decimal" w:chapSep="period"/>
          <w:pgSz w:w="12240" w:h="15840"/>
          <w:pgMar w:top="860" w:left="1000" w:right="1000" w:bottom="860" w:footer="460" w:gutter="0" w:header="160"/>
          <w:headerReference r:id="rId1" w:type="default"/>
          <w:footerReference r:id="rId35" w:type="default"/>
        </w:sectPr>
      </w:pP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SIGNATURES</w:t>
      </w:r>
      <w:bookmarkStart w:id="60561" w:name="Signatures"/>
      <w:bookmarkEnd w:id="60561"/>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after="140" w:line="288" w:lineRule="auto"/>
        <w:rPr>
          <w:rFonts w:ascii="Times New Roman" w:hAnsi="Times New Roman" w:eastAsia="Times New Roman" w:cs="Times New Roman"/>
          <w:sz w:val="20"/>
        </w:rPr>
      </w:pPr>
      <w:r>
        <w:rPr>
          <w:rFonts w:ascii="Times New Roman" w:hAnsi="Times New Roman" w:eastAsia="Times New Roman" w:cs="Times New Roman"/>
          <w:sz w:val="20"/>
        </w:rPr>
        <w:t xml:space="preserve">Pursuant to the requirements of Section 13 or 15(d) of the Securities Exchange Act of 1934, the Registrant has duly caused this Quarterly Report to be signed on its behalf by the undersigned, thereunto duly authorized.</w:t>
      </w:r>
    </w:p>
    <w:tbl>
      <w:tblPr>
        <w:tblW w:type="dxa" w:w="10240"/>
        <w:tblLayout w:type="fixed"/>
        <w:jc w:val="justify"/>
      </w:tblPr>
      <w:tblGrid>
        <w:gridCol w:w="3120"/>
        <w:gridCol w:w="500"/>
        <w:gridCol w:w="6620"/>
      </w:tblGrid>
      <w:tr>
        <w:trPr>
          <w:trHeight w:hRule="exact" w:val="480"/>
        </w:trPr>
        <w:tc>
          <w:tcPr>
            <w:tcW w:type="dxa" w:w="3120"/>
            <w:tcMar>
              <w:left w:type="dxa" w:w="60"/>
              <w:right w:type="dxa" w:w="0"/>
            </w:tcMar>
            <w:tcBorders/>
            <w:vAlign w:val="top"/>
          </w:tcPr>
          <w:p>
            <w:pPr>
              <w:jc w:val="left"/>
              <w:keepNext/>
              <w:keepLines/>
              <w:spacing w:before="40" w:after="40" w:line="240" w:lineRule="auto"/>
              <w:rPr/>
            </w:pPr>
            <w:r>
              <w:rPr/>
            </w:r>
          </w:p>
        </w:tc>
        <w:tc>
          <w:tcPr>
            <w:tcW w:type="dxa" w:w="7120"/>
            <w:tcMar>
              <w:left w:type="dxa" w:w="60"/>
              <w:right w:type="dxa" w:w="40"/>
            </w:tcMar>
            <w:hMerge w:val="restart"/>
            <w:tcBorders/>
            <w:vAlign w:val="bottom"/>
          </w:tcPr>
          <w:p>
            <w:pPr>
              <w:jc w:val="left"/>
              <w:keepNext/>
              <w:keepLines/>
              <w:spacing w:before="40" w:after="40" w:line="240" w:lineRule="auto"/>
              <w:rPr>
                <w:rFonts w:ascii="Times New Roman" w:hAnsi="Times New Roman" w:eastAsia="Times New Roman" w:cs="Times New Roman"/>
                <w:sz w:val="20"/>
                <w:b w:val="true"/>
              </w:rPr>
            </w:pPr>
            <w:r>
              <w:rPr>
                <w:rFonts w:ascii="Times New Roman" w:hAnsi="Times New Roman" w:eastAsia="Times New Roman" w:cs="Times New Roman"/>
                <w:sz w:val="20"/>
                <w:b w:val="true"/>
                <w:color w:val="000000"/>
              </w:rPr>
              <w:t xml:space="preserve">IZEA Worldwide, Inc.</w:t>
              <w:br w:type="textWrapping"/>
              <w:t xml:space="preserve">a Nevada corporation</w:t>
            </w:r>
          </w:p>
        </w:tc>
        <w:tc>
          <w:tcPr>
            <w:tcW w:type="dxa" w:w="0"/>
            <w:tcMar>
              <w:left w:type="dxa" w:w="60"/>
              <w:right w:type="dxa" w:w="0"/>
            </w:tcMar>
            <w:hMerge w:val="continue"/>
            <w:tcBorders/>
            <w:vAlign w:val="bottom"/>
          </w:tcPr>
          <w:p>
            <w:pPr>
              <w:jc w:val="left"/>
              <w:keepNext/>
              <w:keepLines/>
              <w:spacing w:before="40" w:after="40" w:line="240" w:lineRule="auto"/>
              <w:rPr/>
            </w:pPr>
            <w:r>
              <w:rPr/>
            </w:r>
          </w:p>
        </w:tc>
      </w:tr>
      <w:tr>
        <w:trPr>
          <w:trHeight w:hRule="exact" w:val="360"/>
        </w:trPr>
        <w:tc>
          <w:tcPr>
            <w:tcW w:type="dxa" w:w="3120"/>
            <w:tcMar>
              <w:left w:type="dxa" w:w="60"/>
              <w:right w:type="dxa" w:w="0"/>
            </w:tcMar>
            <w:hMerge w:val="restart"/>
            <w:tcBorders/>
            <w:vAlign w:val="top"/>
          </w:tcPr>
          <w:p>
            <w:pPr>
              <w:jc w:val="left"/>
              <w:keepNext/>
              <w:keepLines/>
              <w:spacing w:before="40" w:after="40" w:line="240" w:lineRule="auto"/>
              <w:rPr/>
            </w:pPr>
            <w:r>
              <w:rPr/>
            </w:r>
          </w:p>
        </w:tc>
        <w:tc>
          <w:tcPr>
            <w:tcW w:type="dxa" w:w="500"/>
            <w:tcMar>
              <w:left w:type="dxa" w:w="60"/>
              <w:right w:type="dxa" w:w="0"/>
            </w:tcMar>
            <w:tcBorders/>
            <w:vAlign w:val="top"/>
          </w:tcPr>
          <w:p>
            <w:pPr>
              <w:jc w:val="left"/>
              <w:keepNext/>
              <w:keepLines/>
              <w:spacing w:before="40" w:after="40" w:line="240" w:lineRule="auto"/>
              <w:rPr/>
            </w:pPr>
            <w:r>
              <w:rPr/>
            </w:r>
          </w:p>
        </w:tc>
        <w:tc>
          <w:tcPr>
            <w:tcW w:type="dxa" w:w="6620"/>
            <w:tcMar>
              <w:left w:type="dxa" w:w="60"/>
              <w:right w:type="dxa" w:w="0"/>
            </w:tcMar>
            <w:tcBorders/>
            <w:vAlign w:val="top"/>
          </w:tcPr>
          <w:p>
            <w:pPr>
              <w:jc w:val="left"/>
              <w:keepNext/>
              <w:keepLines/>
              <w:spacing w:before="40" w:after="40" w:line="240" w:lineRule="auto"/>
              <w:rPr/>
            </w:pPr>
            <w:r>
              <w:rPr/>
            </w:r>
          </w:p>
        </w:tc>
      </w:tr>
      <w:tr>
        <w:trPr>
          <w:trHeight w:hRule="exact" w:val="280"/>
        </w:trPr>
        <w:tc>
          <w:tcPr>
            <w:tcW w:type="dxa" w:w="3120"/>
            <w:tcMar>
              <w:left w:type="dxa" w:w="60"/>
              <w:right w:type="dxa" w:w="40"/>
            </w:tcMar>
            <w:tcBorders/>
            <w:vAlign w:val="top"/>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November 14, 2018</w:t>
            </w:r>
          </w:p>
        </w:tc>
        <w:tc>
          <w:tcPr>
            <w:tcW w:type="dxa" w:w="500"/>
            <w:tcMar>
              <w:left w:type="dxa" w:w="60"/>
              <w:right w:type="dxa" w:w="40"/>
            </w:tcMar>
            <w:tcBorders/>
            <w:vAlign w:val="center"/>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By:</w:t>
            </w:r>
          </w:p>
        </w:tc>
        <w:tc>
          <w:tcPr>
            <w:tcW w:type="dxa" w:w="6620"/>
            <w:tcMar>
              <w:left w:type="dxa" w:w="60"/>
              <w:right w:type="dxa" w:w="40"/>
            </w:tcMar>
            <w:tcBorders>
              <w:bottom w:val="single" w:sz="16"/>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 Edward H. Murphy</w:t>
            </w:r>
          </w:p>
        </w:tc>
      </w:tr>
      <w:tr>
        <w:trPr>
          <w:trHeight w:hRule="exact" w:val="700"/>
        </w:trPr>
        <w:tc>
          <w:tcPr>
            <w:tcW w:type="dxa" w:w="3120"/>
            <w:tcMar>
              <w:left w:type="dxa" w:w="60"/>
              <w:right w:type="dxa" w:w="0"/>
            </w:tcMar>
            <w:tcBorders/>
            <w:vAlign w:val="top"/>
          </w:tcPr>
          <w:p>
            <w:pPr>
              <w:jc w:val="left"/>
              <w:keepNext/>
              <w:keepLines/>
              <w:spacing w:before="40" w:after="40" w:line="240" w:lineRule="auto"/>
              <w:rPr/>
            </w:pPr>
            <w:r>
              <w:rPr/>
            </w:r>
          </w:p>
        </w:tc>
        <w:tc>
          <w:tcPr>
            <w:tcW w:type="dxa" w:w="500"/>
            <w:tcMar>
              <w:left w:type="dxa" w:w="60"/>
              <w:right w:type="dxa" w:w="0"/>
            </w:tcMar>
            <w:tcBorders/>
            <w:vAlign w:val="top"/>
          </w:tcPr>
          <w:p>
            <w:pPr>
              <w:jc w:val="left"/>
              <w:keepNext/>
              <w:keepLines/>
              <w:spacing w:before="40" w:after="40" w:line="240" w:lineRule="auto"/>
              <w:rPr/>
            </w:pPr>
            <w:r>
              <w:rPr/>
            </w:r>
          </w:p>
        </w:tc>
        <w:tc>
          <w:tcPr>
            <w:tcW w:type="dxa" w:w="6620"/>
            <w:tcMar>
              <w:left w:type="dxa" w:w="60"/>
              <w:right w:type="dxa" w:w="40"/>
            </w:tcMar>
            <w:tcBorders/>
            <w:vAlign w:val="bottom"/>
            <w:vAlign w:val="bottom"/>
            <w:vAlign w:val="bottom"/>
          </w:tcPr>
          <w:p>
            <w:pPr>
              <w:jc w:val="left"/>
              <w:keepNext/>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Edward H. Murphy</w:t>
            </w:r>
          </w:p>
          <w:p>
            <w:pPr>
              <w:jc w:val="left"/>
              <w:keepNex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Chairman, President and Chief Executive Officer</w:t>
            </w:r>
          </w:p>
          <w:p>
            <w:pPr>
              <w:jc w:val="left"/>
              <w:keepNext/>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(Principal Executive Officer)</w:t>
            </w:r>
          </w:p>
        </w:tc>
      </w:tr>
      <w:tr>
        <w:trPr>
          <w:trHeight w:hRule="exact" w:val="360"/>
        </w:trPr>
        <w:tc>
          <w:tcPr>
            <w:tcW w:type="dxa" w:w="3120"/>
            <w:tcMar>
              <w:left w:type="dxa" w:w="60"/>
              <w:right w:type="dxa" w:w="0"/>
            </w:tcMar>
            <w:tcBorders/>
            <w:vAlign w:val="top"/>
          </w:tcPr>
          <w:p>
            <w:pPr>
              <w:jc w:val="left"/>
              <w:keepNext/>
              <w:keepLines/>
              <w:spacing w:before="40" w:after="40" w:line="240" w:lineRule="auto"/>
              <w:rPr/>
            </w:pPr>
            <w:r>
              <w:rPr/>
            </w:r>
          </w:p>
        </w:tc>
        <w:tc>
          <w:tcPr>
            <w:tcW w:type="dxa" w:w="500"/>
            <w:tcMar>
              <w:left w:type="dxa" w:w="60"/>
              <w:right w:type="dxa" w:w="0"/>
            </w:tcMar>
            <w:tcBorders/>
            <w:vAlign w:val="top"/>
          </w:tcPr>
          <w:p>
            <w:pPr>
              <w:jc w:val="left"/>
              <w:keepNext/>
              <w:keepLines/>
              <w:spacing w:before="40" w:after="40" w:line="240" w:lineRule="auto"/>
              <w:rPr/>
            </w:pPr>
            <w:r>
              <w:rPr/>
            </w:r>
          </w:p>
        </w:tc>
        <w:tc>
          <w:tcPr>
            <w:tcW w:type="dxa" w:w="6620"/>
            <w:tcMar>
              <w:left w:type="dxa" w:w="60"/>
              <w:right w:type="dxa" w:w="0"/>
            </w:tcMar>
            <w:tcBorders/>
            <w:vAlign w:val="bottom"/>
          </w:tcPr>
          <w:p>
            <w:pPr>
              <w:jc w:val="left"/>
              <w:keepNext/>
              <w:keepLines/>
              <w:spacing w:before="40" w:after="40" w:line="240" w:lineRule="auto"/>
              <w:rPr/>
            </w:pPr>
            <w:r>
              <w:rPr/>
            </w:r>
          </w:p>
        </w:tc>
      </w:tr>
      <w:tr>
        <w:trPr>
          <w:trHeight w:hRule="exact" w:val="300"/>
        </w:trPr>
        <w:tc>
          <w:tcPr>
            <w:tcW w:type="dxa" w:w="3120"/>
            <w:tcMar>
              <w:left w:type="dxa" w:w="60"/>
              <w:right w:type="dxa" w:w="40"/>
            </w:tcMar>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November 14, 2018</w:t>
            </w:r>
          </w:p>
        </w:tc>
        <w:tc>
          <w:tcPr>
            <w:tcW w:type="dxa" w:w="500"/>
            <w:tcMar>
              <w:left w:type="dxa" w:w="60"/>
              <w:right w:type="dxa" w:w="40"/>
            </w:tcMar>
            <w:tcBorders/>
            <w:vAlign w:val="center"/>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By:</w:t>
            </w:r>
          </w:p>
        </w:tc>
        <w:tc>
          <w:tcPr>
            <w:tcW w:type="dxa" w:w="6620"/>
            <w:tcMar>
              <w:left w:type="dxa" w:w="60"/>
              <w:right w:type="dxa" w:w="40"/>
            </w:tcMar>
            <w:tcBorders>
              <w:bottom w:val="single" w:sz="16"/>
            </w:tcBorders>
            <w:vAlign w:val="bottom"/>
          </w:tcPr>
          <w:p>
            <w:pPr>
              <w:jc w:val="left"/>
              <w:keepNext/>
              <w:keepLines/>
              <w:spacing w:before="40" w:after="40" w:line="240" w:lineRule="auto"/>
              <w:rPr>
                <w:rFonts w:ascii="Times New Roman" w:hAnsi="Times New Roman" w:eastAsia="Times New Roman" w:cs="Times New Roman"/>
                <w:sz w:val="20"/>
              </w:rPr>
            </w:pPr>
            <w:r>
              <w:rPr>
                <w:rFonts w:ascii="Times New Roman" w:hAnsi="Times New Roman" w:eastAsia="Times New Roman" w:cs="Times New Roman"/>
                <w:sz w:val="20"/>
                <w:color w:val="000000"/>
              </w:rPr>
              <w:t xml:space="preserve">/s/ Michael R. Heald</w:t>
            </w:r>
          </w:p>
        </w:tc>
      </w:tr>
      <w:tr>
        <w:trPr>
          <w:trHeight w:hRule="exact" w:val="700"/>
        </w:trPr>
        <w:tc>
          <w:tcPr>
            <w:tcW w:type="dxa" w:w="3120"/>
            <w:tcMar>
              <w:left w:type="dxa" w:w="60"/>
              <w:right w:type="dxa" w:w="0"/>
            </w:tcMar>
            <w:tcBorders/>
            <w:vAlign w:val="top"/>
          </w:tcPr>
          <w:p>
            <w:pPr>
              <w:jc w:val="left"/>
              <w:keepLines/>
              <w:spacing w:before="40" w:after="40" w:line="240" w:lineRule="auto"/>
              <w:rPr/>
            </w:pPr>
            <w:r>
              <w:rPr/>
            </w:r>
          </w:p>
        </w:tc>
        <w:tc>
          <w:tcPr>
            <w:tcW w:type="dxa" w:w="500"/>
            <w:tcMar>
              <w:left w:type="dxa" w:w="60"/>
              <w:right w:type="dxa" w:w="0"/>
            </w:tcMar>
            <w:tcBorders/>
            <w:vAlign w:val="top"/>
          </w:tcPr>
          <w:p>
            <w:pPr>
              <w:jc w:val="left"/>
              <w:keepLines/>
              <w:spacing w:before="40" w:after="40" w:line="240" w:lineRule="auto"/>
              <w:rPr/>
            </w:pPr>
            <w:r>
              <w:rPr/>
            </w:r>
          </w:p>
        </w:tc>
        <w:tc>
          <w:tcPr>
            <w:tcW w:type="dxa" w:w="6620"/>
            <w:tcMar>
              <w:left w:type="dxa" w:w="60"/>
              <w:right w:type="dxa" w:w="40"/>
            </w:tcMar>
            <w:tcBorders/>
            <w:vAlign w:val="bottom"/>
            <w:vAlign w:val="bottom"/>
            <w:vAlign w:val="bottom"/>
          </w:tcPr>
          <w:p>
            <w:pPr>
              <w:jc w:val="left"/>
              <w:keepLines/>
              <w:spacing w:before="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Michael R. Heald</w:t>
            </w:r>
          </w:p>
          <w:p>
            <w:pPr>
              <w:jc w:val="left"/>
              <w:keepLines/>
              <w:spacing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Chief Financial Officer</w:t>
            </w:r>
          </w:p>
          <w:p>
            <w:pPr>
              <w:jc w:val="left"/>
              <w:keepLines/>
              <w:spacing w:after="40" w:line="240" w:lineRule="auto"/>
              <w:rPr>
                <w:rFonts w:ascii="Times New Roman" w:hAnsi="Times New Roman" w:eastAsia="Times New Roman" w:cs="Times New Roman"/>
                <w:sz w:val="20"/>
              </w:rPr>
            </w:pPr>
            <w:r>
              <w:rPr>
                <w:rFonts w:ascii="Times New Roman" w:hAnsi="Times New Roman" w:eastAsia="Times New Roman" w:cs="Times New Roman"/>
                <w:sz w:val="20"/>
              </w:rPr>
              <w:t xml:space="preserve">(Principal Financial and Accounting Officer)</w:t>
            </w:r>
          </w:p>
        </w:tc>
      </w:tr>
    </w:tbl>
    <w:p>
      <w:pPr>
        <w:jc w:val="both"/>
        <w:spacing w:before="60"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41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both"/>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p>
      <w:pPr>
        <w:jc w:val="left"/>
        <w:spacing w:line="288" w:lineRule="auto"/>
        <w:rPr>
          <w:rFonts w:ascii="Times New Roman" w:hAnsi="Times New Roman" w:eastAsia="Times New Roman" w:cs="Times New Roman"/>
          <w:sz w:val="20"/>
        </w:rPr>
      </w:pPr>
      <w:r>
        <w:rPr>
          <w:rFonts w:ascii="Times New Roman" w:hAnsi="Times New Roman" w:eastAsia="Times New Roman" w:cs="Times New Roman"/>
          <w:sz w:val="20"/>
        </w:rPr>
      </w:r>
    </w:p>
    <w:sectPr>
      <w:pgNumType w:fmt="decimal" w:chapSep="period"/>
      <w:pgSz w:w="12240" w:h="15840"/>
      <w:pgMar w:top="860" w:left="1000" w:right="1000" w:bottom="860" w:footer="460" w:gutter="0" w:header="160"/>
      <w:headerReference r:id="rId1" w:type="default"/>
      <w:footerReference r:id="rId36" w:type="default"/>
    </w:sectPr>
  </w:body>
</w:document>
</file>

<file path=word/footer1.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file>

<file path=word/footer10.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1.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2.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3.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4.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ind/>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5.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6.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7.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8.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19.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0.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ind/>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1.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2.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3.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4.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5.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6.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7.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8.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29.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3.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30.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4.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5.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6.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7.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8.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footer9.xml><?xml version="1.0" encoding="utf-8"?>
<w:ft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rPr>
    </w:pPr>
    <w:r>
      <w:rPr>
        <w:rFonts w:ascii="Times New Roman" w:hAnsi="Times New Roman" w:eastAsia="Times New Roman" w:cs="Times New Roman"/>
        <w:sz w:val="20"/>
      </w:rPr>
      <w:pgNum/>
    </w:r>
  </w:p>
</w:ftr>
</file>

<file path=word/header1.xml><?xml version="1.0" encoding="utf-8"?>
<w:hd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left"/>
      <w:spacing w:line="288" w:lineRule="auto"/>
      <w:rPr>
        <w:rFonts w:ascii="Times New Roman" w:hAnsi="Times New Roman" w:eastAsia="Times New Roman" w:cs="Times New Roman"/>
        <w:sz w:val="16"/>
      </w:rPr>
    </w:pPr>
    <w:hyperlink w:anchor="Table_of_Contents">
      <w:r>
        <w:rPr>
          <w:rFonts w:ascii="Times New Roman" w:hAnsi="Times New Roman" w:eastAsia="Times New Roman" w:cs="Times New Roman"/>
          <w:sz w:val="16"/>
          <w:color w:val="0000ff"/>
          <w:u w:val="single" w:color="0000ff"/>
        </w:rPr>
        <w:t xml:space="preserve">Table of Contents</w:t>
      </w:r>
    </w:hyperlink>
  </w:p>
</w:hdr>
</file>

<file path=word/header2.xml><?xml version="1.0" encoding="utf-8"?>
<w:hd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left"/>
      <w:spacing w:line="288" w:lineRule="auto"/>
      <w:rPr>
        <w:rFonts w:ascii="Times New Roman" w:hAnsi="Times New Roman" w:eastAsia="Times New Roman" w:cs="Times New Roman"/>
        <w:sz w:val="16"/>
      </w:rPr>
    </w:pPr>
    <w:hyperlink w:anchor="Table_of_Contents">
      <w:r>
        <w:rPr>
          <w:rFonts w:ascii="Times New Roman" w:hAnsi="Times New Roman" w:eastAsia="Times New Roman" w:cs="Times New Roman"/>
          <w:sz w:val="16"/>
          <w:color w:val="0000ff"/>
          <w:u w:val="single" w:color="0000ff"/>
        </w:rPr>
        <w:t xml:space="preserve">Table of Contents</w:t>
      </w:r>
    </w:hyperlink>
  </w:p>
</w:hdr>
</file>

<file path=word/header3.xml><?xml version="1.0" encoding="utf-8"?>
<w:hd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IZEA Worldwide, Inc.</w:t>
    </w: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Notes to the Unaudited Consolidated Financial Statements</w:t>
    </w:r>
  </w:p>
</w:hdr>
</file>

<file path=word/header4.xml><?xml version="1.0" encoding="utf-8"?>
<w:hd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IZEA Worldwide, Inc.</w:t>
    </w: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Notes to the Unaudited Consolidated Financial Statements</w:t>
    </w:r>
  </w:p>
</w:hdr>
</file>

<file path=word/header5.xml><?xml version="1.0" encoding="utf-8"?>
<w:hd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file>

<file path=word/header6.xml><?xml version="1.0" encoding="utf-8"?>
<w:hdr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IZEA Worldwide, Inc.</w:t>
    </w:r>
  </w:p>
  <w:p>
    <w:pPr>
      <w:jc w:val="center"/>
      <w:spacing w:line="288" w:lineRule="auto"/>
      <w:rPr>
        <w:rFonts w:ascii="Times New Roman" w:hAnsi="Times New Roman" w:eastAsia="Times New Roman" w:cs="Times New Roman"/>
        <w:sz w:val="20"/>
        <w:b w:val="true"/>
      </w:rPr>
    </w:pPr>
    <w:r>
      <w:rPr>
        <w:rFonts w:ascii="Times New Roman" w:hAnsi="Times New Roman" w:eastAsia="Times New Roman" w:cs="Times New Roman"/>
        <w:sz w:val="20"/>
        <w:b w:val="true"/>
      </w:rPr>
      <w:t xml:space="preserve">Notes to the Unaudited Consolidated Financial Statements</w:t>
    </w:r>
  </w:p>
</w:hdr>
</file>

<file path=word/numbering.xml><?xml version="1.0" encoding="utf-8"?>
<w:numbering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abstractNum w:abstractNumId="171">
    <w:multiLevelType w:val="hybridMultilevel"/>
    <w:lvl w:ilvl="0">
      <w:numFmt w:val="bullet"/>
      <w:lvlJc w:val="justify"/>
      <w:lvlText w:val="• "/>
      <w:start w:val="1"/>
      <w:pPr>
        <w:ind w:hanging="360"/>
      </w:pPr>
      <w:rPr/>
    </w:lvl>
    <w:lvl w:ilvl="1">
      <w:numFmt w:val="decimalEnclosedCircle"/>
      <w:lvlJc w:val="justify"/>
      <w:lvlText w:val="◦ "/>
      <w:start w:val="1"/>
      <w:pPr>
        <w:ind w:hanging="360"/>
      </w:pPr>
      <w:rPr/>
    </w:lvl>
  </w:abstractNum>
  <w:abstractNum w:abstractNumId="201">
    <w:multiLevelType w:val="hybridMultilevel"/>
    <w:lvl w:ilvl="0">
      <w:numFmt w:val="bullet"/>
      <w:lvlJc w:val="left"/>
      <w:lvlText w:val="• "/>
      <w:start w:val="1"/>
      <w:pPr>
        <w:ind w:hanging="360"/>
      </w:pPr>
      <w:rPr/>
    </w:lvl>
  </w:abstractNum>
  <w:abstractNum w:abstractNumId="202">
    <w:multiLevelType w:val="hybridMultilevel"/>
    <w:lvl w:ilvl="0">
      <w:numFmt w:val="bullet"/>
      <w:lvlJc w:val="left"/>
      <w:lvlText w:val="• "/>
      <w:start w:val="1"/>
      <w:pPr>
        <w:ind w:hanging="360"/>
      </w:pPr>
      <w:rPr/>
    </w:lvl>
  </w:abstractNum>
  <w:abstractNum w:abstractNumId="251">
    <w:multiLevelType w:val="hybridMultilevel"/>
    <w:lvl w:ilvl="0">
      <w:numFmt w:val="bullet"/>
      <w:lvlJc w:val="left"/>
      <w:lvlText w:val="• "/>
      <w:start w:val="1"/>
      <w:pPr>
        <w:ind w:hanging="360"/>
      </w:pPr>
      <w:rPr/>
    </w:lvl>
  </w:abstractNum>
  <w:abstractNum w:abstractNumId="91">
    <w:multiLevelType w:val="hybridMultilevel"/>
    <w:lvl w:ilvl="0">
      <w:numFmt w:val="bullet"/>
      <w:lvlJc w:val="left"/>
      <w:lvlText w:val="• "/>
      <w:start w:val="1"/>
      <w:pPr>
        <w:ind w:hanging="360"/>
      </w:pPr>
      <w:rPr/>
    </w:lvl>
  </w:abstractNum>
  <w:num w:numId="171">
    <w:abstractNumId w:val="171"/>
  </w:num>
  <w:num w:numId="201">
    <w:abstractNumId w:val="201"/>
  </w:num>
  <w:num w:numId="202">
    <w:abstractNumId w:val="202"/>
  </w:num>
  <w:num w:numId="251">
    <w:abstractNumId w:val="251"/>
  </w:num>
  <w:num w:numId="91">
    <w:abstractNumId w:val="91"/>
  </w:num>
</w:numbering>
</file>

<file path=word/settings.xml><?xml version="1.0" encoding="utf-8"?>
<w:settings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decimalSymbol w:val=","/>
  <w:zoom w:val="100"/>
  <w:defaultTabStop w:val="720"/>
  <w:characterSpacingControl w:val="doNotCompress"/>
  <w:compat>
    <w:compatSetting w:name="compatibilityMode" w:uri="http://schemas.microsoft.com/office/word" w:val="12"/>
    <w:wpJustification/>
    <w:suppressTopSpacingWP/>
    <w:compatSetting w:name="overrideTableStyleFontSizeAndJustification" w:uri="http://schemas.microsoft.com/office/word" w:val="1"/>
    <w:compatSetting w:name="enableOpenTypeFeatures" w:uri="http://schemas.microsoft.com/office/word" w:val="1"/>
    <w:noLeading/>
    <w:noColumnbalance/>
    <w:compatSetting w:name="doNotFlipMirrorIndents" w:uri="http://schemas.microsoft.com/office/word" w:val="1"/>
  </w:compat>
</w:settings>
</file>

<file path=word/styles.xml><?xml version="1.0" encoding="utf-8"?>
<w:styles xmlns:a="http://schemas.openxmlformats.org/drawingml/2006/main" xmlns:dcterms="http://purl.org/dc/terms/" xmlns:ve="http://schemas.openxmlformats.org/markup-compatibility/2006" xmlns:dcmitype="http://purl.org/dc/dcmitype/" xmlns:pic="http://schemas.openxmlformats.org/drawingml/2006/picture" xmlns:dc="http://purl.org/dc/elements/1.1/" xmlns:o="urn:schemas-microsoft-com:office:office" xmlns:r="http://schemas.openxmlformats.org/officeDocument/2006/relationships" xmlns:w="http://schemas.openxmlformats.org/wordprocessingml/2006/main" xmlns:v="urn:schemas-microsoft-com:vml" xmlns:cp="http://schemas.openxmlformats.org/package/2006/metadata/core-properties" xmlns:wp="http://schemas.openxmlformats.org/drawingml/2006/wordprocessingDrawing" xmlns:xsi="http://www.w3.org/2001/XMLSchema-instance">
  <w:docDefaults>
    <w:rPrDefault>
      <w:rPr>
        <w:rFonts w:ascii="Times New Roman" w:hAnsi="Times New Roman" w:eastAsia="Times New Roman" w:cs="Times New Roman"/>
        <w:kern w:val="16"/>
      </w:rPr>
    </w:rPrDefault>
    <w:pPrDefault>
      <w:pPr>
        <w:spacing w:before="0" w:after="0" w:line="240" w:lineRule="auto"/>
        <w:widowControl w:val="true"/>
      </w:pPr>
    </w:pPrDefault>
  </w:docDefaults>
</w:styles>
</file>

<file path=word/_rels/document.xml.rels><?xml version='1.0' encoding='utf-8' standalone='yes'?>
<Relationships xmlns="http://schemas.openxmlformats.org/package/2006/relationships"><Relationship TargetMode="Internal" Type="http://schemas.openxmlformats.org/officeDocument/2006/relationships/styles" Id="d8f10e969" Target="styles.xml"/><Relationship TargetMode="Internal" Type="http://schemas.openxmlformats.org/officeDocument/2006/relationships/footer" Id="rId8" Target="footer6.xml"/><Relationship TargetMode="Internal" Type="http://schemas.openxmlformats.org/officeDocument/2006/relationships/footer" Id="rId29" Target="footer23.xml"/><Relationship TargetMode="Internal" Type="http://schemas.openxmlformats.org/officeDocument/2006/relationships/footer" Id="rId26" Target="footer20.xml"/><Relationship TargetMode="External" Type="http://schemas.openxmlformats.org/officeDocument/2006/relationships/hyperlink" Id="hyp_4" Target="http://www.sec.gov/Archives/edgar/data/1495231/000149523118000080/izea180630ex101zencontenta.htm"/><Relationship TargetMode="Internal" Type="http://schemas.openxmlformats.org/officeDocument/2006/relationships/footer" Id="rId21" Target="footer16.xml"/><Relationship TargetMode="Internal" Type="http://schemas.openxmlformats.org/officeDocument/2006/relationships/footer" Id="rId11" Target="footer8.xml"/><Relationship TargetMode="External" Type="http://schemas.openxmlformats.org/officeDocument/2006/relationships/hyperlink" Id="hyp_10" Target="izea180930ex321.htm"/><Relationship TargetMode="Internal" Type="http://schemas.openxmlformats.org/officeDocument/2006/relationships/footer" Id="rId17" Target="footer13.xml"/><Relationship TargetMode="Internal" Type="http://schemas.openxmlformats.org/officeDocument/2006/relationships/header" Id="rId10" Target="header3.xml"/><Relationship TargetMode="Internal" Type="http://schemas.openxmlformats.org/officeDocument/2006/relationships/footer" Id="rId20" Target="footer15.xml"/><Relationship TargetMode="Internal" Type="http://schemas.openxmlformats.org/officeDocument/2006/relationships/header" Id="rId1" Target="header1.xml"/><Relationship TargetMode="Internal" Type="http://schemas.openxmlformats.org/officeDocument/2006/relationships/footer" Id="rId12" Target="footer9.xml"/><Relationship TargetMode="Internal" Type="http://schemas.openxmlformats.org/officeDocument/2006/relationships/footer" Id="rId14" Target="footer10.xml"/><Relationship TargetMode="Internal" Type="http://schemas.openxmlformats.org/officeDocument/2006/relationships/footer" Id="rId36" Target="footer30.xml"/><Relationship TargetMode="Internal" Type="http://schemas.openxmlformats.org/officeDocument/2006/relationships/footer" Id="rId35" Target="footer29.xml"/><Relationship TargetMode="Internal" Type="http://schemas.openxmlformats.org/officeDocument/2006/relationships/numbering" Id="da54d9ac6" Target="numbering.xml"/><Relationship TargetMode="Internal" Type="http://schemas.openxmlformats.org/officeDocument/2006/relationships/footer" Id="rId24" Target="footer18.xml"/><Relationship TargetMode="Internal" Type="http://schemas.openxmlformats.org/officeDocument/2006/relationships/header" Id="rId22" Target="header6.xml"/><Relationship TargetMode="Internal" Type="http://schemas.openxmlformats.org/officeDocument/2006/relationships/footer" Id="rId33" Target="footer27.xml"/><Relationship TargetMode="Internal" Type="http://schemas.openxmlformats.org/officeDocument/2006/relationships/header" Id="rId19" Target="header5.xml"/><Relationship TargetMode="Internal" Type="http://schemas.openxmlformats.org/officeDocument/2006/relationships/footer" Id="rId28" Target="footer22.xml"/><Relationship TargetMode="Internal" Type="http://schemas.openxmlformats.org/officeDocument/2006/relationships/header" Id="rId13" Target="header4.xml"/><Relationship TargetMode="External" Type="http://schemas.openxmlformats.org/officeDocument/2006/relationships/hyperlink" Id="hyp_3" Target="http://www.sec.gov/Archives/edgar/data/1495231/000149523118000091/exhibit31izeaworldwidein.htm"/><Relationship TargetMode="External" Type="http://schemas.openxmlformats.org/officeDocument/2006/relationships/hyperlink" Id="hyp_7" Target="izea180930ex104.htm"/><Relationship TargetMode="Internal" Type="http://schemas.openxmlformats.org/officeDocument/2006/relationships/footer" Id="rId9" Target="footer7.xml"/><Relationship TargetMode="Internal" Type="http://schemas.openxmlformats.org/officeDocument/2006/relationships/footer" Id="rId30" Target="footer24.xml"/><Relationship TargetMode="Internal" Type="http://schemas.openxmlformats.org/officeDocument/2006/relationships/footer" Id="rId2" Target="footer1.xml"/><Relationship TargetMode="External" Type="http://schemas.openxmlformats.org/officeDocument/2006/relationships/hyperlink" Id="hyp_5" Target="http://www.sec.gov/Archives/edgar/data/1495231/000149523118000080/izea180630ex102zencontenta.htm"/><Relationship TargetMode="Internal" Type="http://schemas.openxmlformats.org/officeDocument/2006/relationships/footer" Id="rId16" Target="footer12.xml"/><Relationship TargetMode="Internal" Type="http://schemas.openxmlformats.org/officeDocument/2006/relationships/footer" Id="rId4" Target="footer3.xml"/><Relationship TargetMode="Internal" Type="http://schemas.openxmlformats.org/officeDocument/2006/relationships/footer" Id="rId32" Target="footer26.xml"/><Relationship TargetMode="Internal" Type="http://schemas.openxmlformats.org/officeDocument/2006/relationships/footer" Id="rId7" Target="footer5.xml"/><Relationship TargetMode="External" Type="http://schemas.openxmlformats.org/officeDocument/2006/relationships/hyperlink" Id="hyp_1" Target="http://www.sec.gov/Archives/edgar/data/1495231/000149523118000068/exhibit21mergeragreement20.htm"/><Relationship TargetMode="External" Type="http://schemas.openxmlformats.org/officeDocument/2006/relationships/hyperlink" Id="hyp_6" Target="http://www.sec.gov/Archives/edgar/data/1495231/000149523118000080/izea180630ex103employmenta.htm"/><Relationship TargetMode="External" Type="http://schemas.openxmlformats.org/officeDocument/2006/relationships/hyperlink" Id="hyp_9" Target="izea180930ex312.htm"/><Relationship TargetMode="Internal" Type="http://schemas.openxmlformats.org/officeDocument/2006/relationships/footer" Id="rId15" Target="footer11.xml"/><Relationship TargetMode="Internal" Type="http://schemas.openxmlformats.org/officeDocument/2006/relationships/footer" Id="rId27" Target="footer21.xml"/><Relationship TargetMode="Internal" Type="http://schemas.openxmlformats.org/officeDocument/2006/relationships/header" Id="rId5" Target="header2.xml"/><Relationship TargetMode="Internal" Type="http://schemas.openxmlformats.org/officeDocument/2006/relationships/footer" Id="rId34" Target="footer28.xml"/><Relationship TargetMode="Internal" Type="http://schemas.openxmlformats.org/officeDocument/2006/relationships/settings" Id="dc78b4e06" Target="settings.xml"/><Relationship TargetMode="Internal" Type="http://schemas.openxmlformats.org/officeDocument/2006/relationships/footer" Id="rId23" Target="footer17.xml"/><Relationship TargetMode="External" Type="http://schemas.openxmlformats.org/officeDocument/2006/relationships/hyperlink" Id="hyp_2" Target="http://www.sec.gov/Archives/edgar/data/1495231/000149523118000071/exhibit22mergeramendment20.htm"/><Relationship TargetMode="Internal" Type="http://schemas.openxmlformats.org/officeDocument/2006/relationships/footer" Id="rId18" Target="footer14.xml"/><Relationship TargetMode="Internal" Type="http://schemas.openxmlformats.org/officeDocument/2006/relationships/footer" Id="rId3" Target="footer2.xml"/><Relationship TargetMode="Internal" Type="http://schemas.openxmlformats.org/officeDocument/2006/relationships/footer" Id="rId25" Target="footer19.xml"/><Relationship TargetMode="Internal" Type="http://schemas.openxmlformats.org/officeDocument/2006/relationships/footer" Id="rId6" Target="footer4.xml"/><Relationship TargetMode="External" Type="http://schemas.openxmlformats.org/officeDocument/2006/relationships/hyperlink" Id="hyp_8" Target="izea180930ex311.htm"/><Relationship TargetMode="Internal" Type="http://schemas.openxmlformats.org/officeDocument/2006/relationships/footer" Id="rId31" Target="footer25.xml"/><Relationship TargetMode="External" Type="http://schemas.openxmlformats.org/officeDocument/2006/relationships/hyperlink" Id="hyp_11" Target="izea180930ex322.htm"/></Relationships>
</file>

<file path=word/_rels/footer1.xml.rels><?xml version='1.0' encoding='utf-8' standalone='yes'?>
<Relationships xmlns="http://schemas.openxmlformats.org/package/2006/relationships"/>
</file>

<file path=word/_rels/footer10.xml.rels><?xml version='1.0' encoding='utf-8' standalone='yes'?>
<Relationships xmlns="http://schemas.openxmlformats.org/package/2006/relationships"/>
</file>

<file path=word/_rels/footer11.xml.rels><?xml version='1.0' encoding='utf-8' standalone='yes'?>
<Relationships xmlns="http://schemas.openxmlformats.org/package/2006/relationships"/>
</file>

<file path=word/_rels/footer12.xml.rels><?xml version='1.0' encoding='utf-8' standalone='yes'?>
<Relationships xmlns="http://schemas.openxmlformats.org/package/2006/relationships"/>
</file>

<file path=word/_rels/footer13.xml.rels><?xml version='1.0' encoding='utf-8' standalone='yes'?>
<Relationships xmlns="http://schemas.openxmlformats.org/package/2006/relationships"/>
</file>

<file path=word/_rels/footer14.xml.rels><?xml version='1.0' encoding='utf-8' standalone='yes'?>
<Relationships xmlns="http://schemas.openxmlformats.org/package/2006/relationships"/>
</file>

<file path=word/_rels/footer15.xml.rels><?xml version='1.0' encoding='utf-8' standalone='yes'?>
<Relationships xmlns="http://schemas.openxmlformats.org/package/2006/relationships"/>
</file>

<file path=word/_rels/footer16.xml.rels><?xml version='1.0' encoding='utf-8' standalone='yes'?>
<Relationships xmlns="http://schemas.openxmlformats.org/package/2006/relationships"/>
</file>

<file path=word/_rels/footer17.xml.rels><?xml version='1.0' encoding='utf-8' standalone='yes'?>
<Relationships xmlns="http://schemas.openxmlformats.org/package/2006/relationships"/>
</file>

<file path=word/_rels/footer18.xml.rels><?xml version='1.0' encoding='utf-8' standalone='yes'?>
<Relationships xmlns="http://schemas.openxmlformats.org/package/2006/relationships"/>
</file>

<file path=word/_rels/footer19.xml.rels><?xml version='1.0' encoding='utf-8' standalone='yes'?>
<Relationships xmlns="http://schemas.openxmlformats.org/package/2006/relationships"/>
</file>

<file path=word/_rels/footer2.xml.rels><?xml version='1.0' encoding='utf-8' standalone='yes'?>
<Relationships xmlns="http://schemas.openxmlformats.org/package/2006/relationships"/>
</file>

<file path=word/_rels/footer20.xml.rels><?xml version='1.0' encoding='utf-8' standalone='yes'?>
<Relationships xmlns="http://schemas.openxmlformats.org/package/2006/relationships"/>
</file>

<file path=word/_rels/footer21.xml.rels><?xml version='1.0' encoding='utf-8' standalone='yes'?>
<Relationships xmlns="http://schemas.openxmlformats.org/package/2006/relationships"/>
</file>

<file path=word/_rels/footer22.xml.rels><?xml version='1.0' encoding='utf-8' standalone='yes'?>
<Relationships xmlns="http://schemas.openxmlformats.org/package/2006/relationships"/>
</file>

<file path=word/_rels/footer23.xml.rels><?xml version='1.0' encoding='utf-8' standalone='yes'?>
<Relationships xmlns="http://schemas.openxmlformats.org/package/2006/relationships"/>
</file>

<file path=word/_rels/footer24.xml.rels><?xml version='1.0' encoding='utf-8' standalone='yes'?>
<Relationships xmlns="http://schemas.openxmlformats.org/package/2006/relationships"/>
</file>

<file path=word/_rels/footer25.xml.rels><?xml version='1.0' encoding='utf-8' standalone='yes'?>
<Relationships xmlns="http://schemas.openxmlformats.org/package/2006/relationships"/>
</file>

<file path=word/_rels/footer26.xml.rels><?xml version='1.0' encoding='utf-8' standalone='yes'?>
<Relationships xmlns="http://schemas.openxmlformats.org/package/2006/relationships"/>
</file>

<file path=word/_rels/footer27.xml.rels><?xml version='1.0' encoding='utf-8' standalone='yes'?>
<Relationships xmlns="http://schemas.openxmlformats.org/package/2006/relationships"/>
</file>

<file path=word/_rels/footer28.xml.rels><?xml version='1.0' encoding='utf-8' standalone='yes'?>
<Relationships xmlns="http://schemas.openxmlformats.org/package/2006/relationships"/>
</file>

<file path=word/_rels/footer29.xml.rels><?xml version='1.0' encoding='utf-8' standalone='yes'?>
<Relationships xmlns="http://schemas.openxmlformats.org/package/2006/relationships"/>
</file>

<file path=word/_rels/footer3.xml.rels><?xml version='1.0' encoding='utf-8' standalone='yes'?>
<Relationships xmlns="http://schemas.openxmlformats.org/package/2006/relationships"/>
</file>

<file path=word/_rels/footer30.xml.rels><?xml version='1.0' encoding='utf-8' standalone='yes'?>
<Relationships xmlns="http://schemas.openxmlformats.org/package/2006/relationships"/>
</file>

<file path=word/_rels/footer4.xml.rels><?xml version='1.0' encoding='utf-8' standalone='yes'?>
<Relationships xmlns="http://schemas.openxmlformats.org/package/2006/relationships"/>
</file>

<file path=word/_rels/footer5.xml.rels><?xml version='1.0' encoding='utf-8' standalone='yes'?>
<Relationships xmlns="http://schemas.openxmlformats.org/package/2006/relationships"/>
</file>

<file path=word/_rels/footer6.xml.rels><?xml version='1.0' encoding='utf-8' standalone='yes'?>
<Relationships xmlns="http://schemas.openxmlformats.org/package/2006/relationships"/>
</file>

<file path=word/_rels/footer7.xml.rels><?xml version='1.0' encoding='utf-8' standalone='yes'?>
<Relationships xmlns="http://schemas.openxmlformats.org/package/2006/relationships"/>
</file>

<file path=word/_rels/footer8.xml.rels><?xml version='1.0' encoding='utf-8' standalone='yes'?>
<Relationships xmlns="http://schemas.openxmlformats.org/package/2006/relationships"/>
</file>

<file path=word/_rels/footer9.xml.rels><?xml version='1.0' encoding='utf-8' standalone='yes'?>
<Relationships xmlns="http://schemas.openxmlformats.org/package/2006/relationships"/>
</file>

<file path=word/_rels/header1.xml.rels><?xml version='1.0' encoding='utf-8' standalone='yes'?>
<Relationships xmlns="http://schemas.openxmlformats.org/package/2006/relationships"/>
</file>

<file path=word/_rels/header2.xml.rels><?xml version='1.0' encoding='utf-8' standalone='yes'?>
<Relationships xmlns="http://schemas.openxmlformats.org/package/2006/relationships"/>
</file>

<file path=word/_rels/header3.xml.rels><?xml version='1.0' encoding='utf-8' standalone='yes'?>
<Relationships xmlns="http://schemas.openxmlformats.org/package/2006/relationships"/>
</file>

<file path=word/_rels/header4.xml.rels><?xml version='1.0' encoding='utf-8' standalone='yes'?>
<Relationships xmlns="http://schemas.openxmlformats.org/package/2006/relationships"/>
</file>

<file path=word/_rels/header5.xml.rels><?xml version='1.0' encoding='utf-8' standalone='yes'?>
<Relationships xmlns="http://schemas.openxmlformats.org/package/2006/relationships"/>
</file>

<file path=word/_rels/header6.xml.rels><?xml version='1.0' encoding='utf-8' standalone='yes'?>
<Relationships xmlns="http://schemas.openxmlformats.org/package/2006/relationships"/>
</file>

<file path=docProps/app.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mitype="http://purl.org/dc/dcmitype/" xmlns:dcterms="http://purl.org/dc/terms/" xmlns:dc="http://purl.org/dc/elements/1.1/" xmlns:xsi="http://www.w3.org/2001/XMLSchema-instance">
  <dc:title/>
  <dc:subject/>
  <dc:creator>workiva.com</dc:creator>
  <cp:keywords/>
  <dc:description/>
  <cp:revision>1</cp:revision>
  <cp:lastModifiedBy/>
  <dcterms:created xsi:type="dcterms:W3CDTF">2018-11-14T19:09:58Z</dcterms:created>
  <dcterms:modified xsi:type="dcterms:W3CDTF">2018-11-14T19:09:58Z</dcterms:modified>
</cp:coreProperties>
</file>